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png" ContentType="image/png"/>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Default Extension="jpeg" ContentType="image/jpeg"/>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3"/>
        <w:spacing w:line="245" w:lineRule="exact"/>
        <w:ind w:left="2201" w:right="229"/>
        <w:jc w:val="center"/>
      </w:pPr>
      <w:r>
        <w:rPr/>
        <w:t>PROGRAMA DE MAESTRÍA Y DOCTORADO EN CIENCIAS</w:t>
      </w:r>
    </w:p>
    <w:p>
      <w:pPr>
        <w:spacing w:before="2"/>
        <w:ind w:left="2201" w:right="231" w:firstLine="0"/>
        <w:jc w:val="center"/>
        <w:rPr>
          <w:b/>
          <w:sz w:val="24"/>
        </w:rPr>
      </w:pPr>
      <w:r>
        <w:rPr>
          <w:b/>
          <w:sz w:val="24"/>
        </w:rPr>
        <w:t>AGROPECUARIAS Y RECURSOS NATURALES</w:t>
      </w:r>
    </w:p>
    <w:p>
      <w:pPr>
        <w:pStyle w:val="BodyText"/>
        <w:rPr>
          <w:b/>
        </w:rPr>
      </w:pPr>
    </w:p>
    <w:p>
      <w:pPr>
        <w:pStyle w:val="BodyText"/>
        <w:rPr>
          <w:b/>
        </w:rPr>
      </w:pPr>
    </w:p>
    <w:p>
      <w:pPr>
        <w:pStyle w:val="BodyText"/>
        <w:rPr>
          <w:b/>
        </w:rPr>
      </w:pPr>
    </w:p>
    <w:p>
      <w:pPr>
        <w:pStyle w:val="BodyText"/>
        <w:rPr>
          <w:b/>
        </w:rPr>
      </w:pPr>
    </w:p>
    <w:p>
      <w:pPr>
        <w:pStyle w:val="BodyText"/>
        <w:spacing w:before="6"/>
        <w:rPr>
          <w:b/>
          <w:sz w:val="31"/>
        </w:rPr>
      </w:pPr>
    </w:p>
    <w:p>
      <w:pPr>
        <w:spacing w:line="242" w:lineRule="auto" w:before="0"/>
        <w:ind w:left="2199" w:right="233" w:firstLine="0"/>
        <w:jc w:val="center"/>
        <w:rPr>
          <w:b/>
          <w:i/>
          <w:sz w:val="24"/>
        </w:rPr>
      </w:pPr>
      <w:r>
        <w:rPr>
          <w:b/>
          <w:sz w:val="24"/>
        </w:rPr>
        <w:t>Evaluación </w:t>
      </w:r>
      <w:r>
        <w:rPr>
          <w:b/>
          <w:i/>
          <w:sz w:val="24"/>
        </w:rPr>
        <w:t>in vitro </w:t>
      </w:r>
      <w:r>
        <w:rPr>
          <w:b/>
          <w:sz w:val="24"/>
        </w:rPr>
        <w:t>de la apoptosis de neutrófilos de vacas lecheras inducida por los tipos capsulares 5 y 8 de </w:t>
      </w:r>
      <w:r>
        <w:rPr>
          <w:b/>
          <w:i/>
          <w:sz w:val="24"/>
        </w:rPr>
        <w:t>Staphylococcus aureus</w:t>
      </w:r>
    </w:p>
    <w:p>
      <w:pPr>
        <w:pStyle w:val="BodyText"/>
        <w:rPr>
          <w:b/>
          <w:i/>
        </w:rPr>
      </w:pPr>
    </w:p>
    <w:p>
      <w:pPr>
        <w:pStyle w:val="BodyText"/>
        <w:spacing w:before="8"/>
        <w:rPr>
          <w:b/>
          <w:i/>
          <w:sz w:val="27"/>
        </w:rPr>
      </w:pPr>
    </w:p>
    <w:p>
      <w:pPr>
        <w:spacing w:before="0"/>
        <w:ind w:left="2201" w:right="224" w:firstLine="0"/>
        <w:jc w:val="center"/>
        <w:rPr>
          <w:sz w:val="44"/>
        </w:rPr>
      </w:pPr>
      <w:r>
        <w:rPr>
          <w:sz w:val="44"/>
        </w:rPr>
        <w:t>TESIS</w:t>
      </w:r>
    </w:p>
    <w:p>
      <w:pPr>
        <w:spacing w:before="301"/>
        <w:ind w:left="2198" w:right="233" w:firstLine="0"/>
        <w:jc w:val="center"/>
        <w:rPr>
          <w:sz w:val="26"/>
        </w:rPr>
      </w:pPr>
      <w:r>
        <w:rPr>
          <w:sz w:val="26"/>
        </w:rPr>
        <w:t>Que para obtener el grado de</w:t>
      </w:r>
    </w:p>
    <w:p>
      <w:pPr>
        <w:pStyle w:val="BodyText"/>
        <w:spacing w:before="4"/>
        <w:rPr>
          <w:sz w:val="25"/>
        </w:rPr>
      </w:pPr>
    </w:p>
    <w:p>
      <w:pPr>
        <w:spacing w:before="0"/>
        <w:ind w:left="2201" w:right="233" w:firstLine="0"/>
        <w:jc w:val="center"/>
        <w:rPr>
          <w:b/>
          <w:sz w:val="26"/>
        </w:rPr>
      </w:pPr>
      <w:r>
        <w:rPr>
          <w:b/>
          <w:sz w:val="26"/>
        </w:rPr>
        <w:t>Maestra en Ciencias Agropecuarias y Recursos Naturales</w:t>
      </w:r>
    </w:p>
    <w:p>
      <w:pPr>
        <w:pStyle w:val="BodyText"/>
        <w:rPr>
          <w:b/>
          <w:sz w:val="26"/>
        </w:rPr>
      </w:pPr>
    </w:p>
    <w:p>
      <w:pPr>
        <w:pStyle w:val="BodyText"/>
        <w:rPr>
          <w:b/>
          <w:sz w:val="26"/>
        </w:rPr>
      </w:pPr>
    </w:p>
    <w:p>
      <w:pPr>
        <w:pStyle w:val="BodyText"/>
        <w:rPr>
          <w:b/>
          <w:sz w:val="26"/>
        </w:rPr>
      </w:pPr>
    </w:p>
    <w:p>
      <w:pPr>
        <w:pStyle w:val="BodyText"/>
        <w:rPr>
          <w:b/>
          <w:sz w:val="30"/>
        </w:rPr>
      </w:pPr>
    </w:p>
    <w:p>
      <w:pPr>
        <w:spacing w:before="0"/>
        <w:ind w:left="2201" w:right="231" w:firstLine="0"/>
        <w:jc w:val="center"/>
        <w:rPr>
          <w:b/>
          <w:sz w:val="28"/>
        </w:rPr>
      </w:pPr>
      <w:r>
        <w:rPr>
          <w:b/>
          <w:sz w:val="28"/>
        </w:rPr>
        <w:t>P R E S E N T A:</w:t>
      </w:r>
    </w:p>
    <w:p>
      <w:pPr>
        <w:pStyle w:val="BodyText"/>
        <w:rPr>
          <w:b/>
          <w:sz w:val="28"/>
        </w:rPr>
      </w:pPr>
    </w:p>
    <w:p>
      <w:pPr>
        <w:pStyle w:val="BodyText"/>
        <w:rPr>
          <w:b/>
          <w:sz w:val="28"/>
        </w:rPr>
      </w:pPr>
    </w:p>
    <w:p>
      <w:pPr>
        <w:pStyle w:val="BodyText"/>
        <w:spacing w:before="3"/>
        <w:rPr>
          <w:b/>
          <w:sz w:val="28"/>
        </w:rPr>
      </w:pPr>
    </w:p>
    <w:p>
      <w:pPr>
        <w:spacing w:before="0"/>
        <w:ind w:left="2201" w:right="230" w:firstLine="0"/>
        <w:jc w:val="center"/>
        <w:rPr>
          <w:b/>
          <w:sz w:val="28"/>
        </w:rPr>
      </w:pPr>
      <w:r>
        <w:rPr>
          <w:b/>
          <w:sz w:val="28"/>
        </w:rPr>
        <w:t>BIOL. NANCY MONTOYA GARCÍA</w:t>
      </w:r>
    </w:p>
    <w:p>
      <w:pPr>
        <w:pStyle w:val="BodyText"/>
        <w:rPr>
          <w:b/>
          <w:sz w:val="28"/>
        </w:rPr>
      </w:pPr>
    </w:p>
    <w:p>
      <w:pPr>
        <w:pStyle w:val="BodyText"/>
        <w:rPr>
          <w:b/>
          <w:sz w:val="28"/>
        </w:rPr>
      </w:pPr>
    </w:p>
    <w:p>
      <w:pPr>
        <w:pStyle w:val="BodyText"/>
        <w:rPr>
          <w:b/>
          <w:sz w:val="28"/>
        </w:rPr>
      </w:pPr>
    </w:p>
    <w:p>
      <w:pPr>
        <w:pStyle w:val="BodyText"/>
        <w:spacing w:before="180"/>
        <w:ind w:left="5336"/>
      </w:pPr>
      <w:r>
        <w:rPr/>
        <w:t>TOLUCA MÉXICO, NOVIEMBRE 2013</w:t>
      </w:r>
    </w:p>
    <w:p>
      <w:pPr>
        <w:spacing w:after="0"/>
        <w:sectPr>
          <w:headerReference w:type="default" r:id="rId5"/>
          <w:type w:val="continuous"/>
          <w:pgSz w:w="12240" w:h="15840"/>
          <w:pgMar w:header="1223" w:top="2520" w:bottom="280" w:left="1040" w:right="1600"/>
        </w:sectPr>
      </w:pPr>
    </w:p>
    <w:p>
      <w:pPr>
        <w:pStyle w:val="Heading3"/>
        <w:spacing w:line="245" w:lineRule="exact"/>
        <w:ind w:left="2267" w:right="311"/>
        <w:jc w:val="center"/>
      </w:pPr>
      <w:r>
        <w:rPr/>
        <w:t>PROGRAMA DE MAESTRÍA EN CIENCIAS AGROPECUARIAS</w:t>
      </w:r>
    </w:p>
    <w:p>
      <w:pPr>
        <w:spacing w:before="2"/>
        <w:ind w:left="2257" w:right="311" w:firstLine="0"/>
        <w:jc w:val="center"/>
        <w:rPr>
          <w:b/>
          <w:sz w:val="24"/>
        </w:rPr>
      </w:pPr>
      <w:r>
        <w:rPr>
          <w:b/>
          <w:sz w:val="24"/>
        </w:rPr>
        <w:t>Y RECURSOS NATURALES</w:t>
      </w:r>
    </w:p>
    <w:p>
      <w:pPr>
        <w:pStyle w:val="BodyText"/>
        <w:rPr>
          <w:b/>
        </w:rPr>
      </w:pPr>
    </w:p>
    <w:p>
      <w:pPr>
        <w:pStyle w:val="BodyText"/>
        <w:rPr>
          <w:b/>
        </w:rPr>
      </w:pPr>
    </w:p>
    <w:p>
      <w:pPr>
        <w:pStyle w:val="BodyText"/>
        <w:rPr>
          <w:b/>
        </w:rPr>
      </w:pPr>
    </w:p>
    <w:p>
      <w:pPr>
        <w:pStyle w:val="BodyText"/>
        <w:spacing w:before="9"/>
        <w:rPr>
          <w:b/>
          <w:sz w:val="18"/>
        </w:rPr>
      </w:pPr>
    </w:p>
    <w:p>
      <w:pPr>
        <w:spacing w:line="242" w:lineRule="auto" w:before="0"/>
        <w:ind w:left="2257" w:right="311" w:firstLine="0"/>
        <w:jc w:val="center"/>
        <w:rPr>
          <w:b/>
          <w:i/>
          <w:sz w:val="24"/>
        </w:rPr>
      </w:pPr>
      <w:r>
        <w:rPr>
          <w:b/>
          <w:sz w:val="24"/>
        </w:rPr>
        <w:t>Evaluación </w:t>
      </w:r>
      <w:r>
        <w:rPr>
          <w:b/>
          <w:i/>
          <w:sz w:val="24"/>
        </w:rPr>
        <w:t>in vitro </w:t>
      </w:r>
      <w:r>
        <w:rPr>
          <w:b/>
          <w:sz w:val="24"/>
        </w:rPr>
        <w:t>de la apoptosis de neutrófilos de vacas lecheras inducida por los tipos capsulares 5 y 8 de </w:t>
      </w:r>
      <w:r>
        <w:rPr>
          <w:b/>
          <w:i/>
          <w:sz w:val="24"/>
        </w:rPr>
        <w:t>Staphylococcus aureus.</w:t>
      </w:r>
    </w:p>
    <w:p>
      <w:pPr>
        <w:pStyle w:val="BodyText"/>
        <w:rPr>
          <w:b/>
          <w:i/>
        </w:rPr>
      </w:pPr>
    </w:p>
    <w:p>
      <w:pPr>
        <w:pStyle w:val="BodyText"/>
        <w:spacing w:before="8"/>
        <w:rPr>
          <w:b/>
          <w:i/>
          <w:sz w:val="23"/>
        </w:rPr>
      </w:pPr>
    </w:p>
    <w:p>
      <w:pPr>
        <w:spacing w:before="0"/>
        <w:ind w:left="2265" w:right="311" w:firstLine="0"/>
        <w:jc w:val="center"/>
        <w:rPr>
          <w:sz w:val="32"/>
        </w:rPr>
      </w:pPr>
      <w:r>
        <w:rPr>
          <w:sz w:val="32"/>
        </w:rPr>
        <w:t>TESIS</w:t>
      </w:r>
    </w:p>
    <w:p>
      <w:pPr>
        <w:pStyle w:val="BodyText"/>
        <w:spacing w:before="279"/>
        <w:ind w:left="2266" w:right="311"/>
        <w:jc w:val="center"/>
      </w:pPr>
      <w:r>
        <w:rPr/>
        <w:t>Que para obtener el grado de</w:t>
      </w:r>
    </w:p>
    <w:p>
      <w:pPr>
        <w:pStyle w:val="BodyText"/>
      </w:pPr>
    </w:p>
    <w:p>
      <w:pPr>
        <w:pStyle w:val="BodyText"/>
        <w:spacing w:line="717" w:lineRule="auto"/>
        <w:ind w:left="2267" w:right="248"/>
        <w:jc w:val="center"/>
      </w:pPr>
      <w:r>
        <w:rPr/>
        <w:t>Maestra en Ciencias Agropecuarias y Recursos Naturales PRESENTA:</w:t>
      </w:r>
    </w:p>
    <w:p>
      <w:pPr>
        <w:pStyle w:val="Heading3"/>
        <w:spacing w:before="16"/>
        <w:ind w:left="2260" w:right="311"/>
        <w:jc w:val="center"/>
      </w:pPr>
      <w:r>
        <w:rPr/>
        <w:t>BIOL. NANCY MONTOYA GARCÍA</w:t>
      </w:r>
    </w:p>
    <w:p>
      <w:pPr>
        <w:pStyle w:val="BodyText"/>
        <w:rPr>
          <w:b/>
        </w:rPr>
      </w:pPr>
    </w:p>
    <w:p>
      <w:pPr>
        <w:pStyle w:val="BodyText"/>
        <w:spacing w:before="2"/>
        <w:rPr>
          <w:b/>
          <w:sz w:val="32"/>
        </w:rPr>
      </w:pPr>
    </w:p>
    <w:p>
      <w:pPr>
        <w:pStyle w:val="BodyText"/>
        <w:ind w:left="2267" w:right="311"/>
        <w:jc w:val="center"/>
      </w:pPr>
      <w:r>
        <w:rPr/>
        <w:t>COMITE DE TUTORES</w:t>
      </w:r>
    </w:p>
    <w:p>
      <w:pPr>
        <w:pStyle w:val="BodyText"/>
      </w:pPr>
    </w:p>
    <w:p>
      <w:pPr>
        <w:pStyle w:val="BodyText"/>
        <w:spacing w:line="242" w:lineRule="auto"/>
        <w:ind w:left="3684" w:right="1730"/>
        <w:jc w:val="center"/>
      </w:pPr>
      <w:r>
        <w:rPr/>
        <w:t>Dr. Valente Velázquez Ordoñez DIRECTOR DE TESIS</w:t>
      </w:r>
    </w:p>
    <w:p>
      <w:pPr>
        <w:pStyle w:val="BodyText"/>
        <w:spacing w:before="8"/>
        <w:rPr>
          <w:sz w:val="23"/>
        </w:rPr>
      </w:pPr>
    </w:p>
    <w:p>
      <w:pPr>
        <w:pStyle w:val="BodyText"/>
        <w:spacing w:before="1"/>
        <w:ind w:left="3684" w:right="1731"/>
        <w:jc w:val="center"/>
      </w:pPr>
      <w:r>
        <w:rPr/>
        <w:t>Dra. Claudia Giovanna Peñuelas Rivas Dr. Jorge Pablo Acosta Dibarrat ASESORES</w:t>
      </w:r>
    </w:p>
    <w:p>
      <w:pPr>
        <w:pStyle w:val="BodyText"/>
      </w:pPr>
    </w:p>
    <w:p>
      <w:pPr>
        <w:pStyle w:val="BodyText"/>
      </w:pPr>
    </w:p>
    <w:p>
      <w:pPr>
        <w:pStyle w:val="BodyText"/>
        <w:spacing w:before="11"/>
        <w:rPr>
          <w:sz w:val="31"/>
        </w:rPr>
      </w:pPr>
    </w:p>
    <w:p>
      <w:pPr>
        <w:pStyle w:val="BodyText"/>
        <w:ind w:left="5316"/>
      </w:pPr>
      <w:r>
        <w:rPr/>
        <w:t>TOLUCA MÉXICO, NOVIEMBRE 2013</w:t>
      </w:r>
    </w:p>
    <w:p>
      <w:pPr>
        <w:spacing w:after="0"/>
        <w:sectPr>
          <w:pgSz w:w="12240" w:h="15840"/>
          <w:pgMar w:header="1223" w:footer="0" w:top="2560" w:bottom="280" w:left="1060" w:right="1600"/>
        </w:sectPr>
      </w:pPr>
    </w:p>
    <w:p>
      <w:pPr>
        <w:pStyle w:val="BodyText"/>
        <w:spacing w:before="4"/>
        <w:rPr>
          <w:rFonts w:ascii="Times New Roman"/>
          <w:sz w:val="17"/>
        </w:rPr>
      </w:pPr>
    </w:p>
    <w:p>
      <w:pPr>
        <w:spacing w:after="0"/>
        <w:rPr>
          <w:rFonts w:ascii="Times New Roman"/>
          <w:sz w:val="17"/>
        </w:rPr>
        <w:sectPr>
          <w:headerReference w:type="default" r:id="rId6"/>
          <w:pgSz w:w="12240" w:h="15840"/>
          <w:pgMar w:header="0" w:footer="0" w:top="1500" w:bottom="280" w:left="1720" w:right="1720"/>
        </w:sectPr>
      </w:pPr>
    </w:p>
    <w:p>
      <w:pPr>
        <w:pStyle w:val="BodyText"/>
        <w:rPr>
          <w:rFonts w:ascii="Times New Roman"/>
          <w:sz w:val="20"/>
        </w:rPr>
      </w:pPr>
    </w:p>
    <w:p>
      <w:pPr>
        <w:pStyle w:val="Heading1"/>
        <w:spacing w:before="193"/>
        <w:ind w:left="3027" w:right="3031"/>
        <w:jc w:val="center"/>
      </w:pPr>
      <w:bookmarkStart w:name="_bookmark0" w:id="1"/>
      <w:bookmarkEnd w:id="1"/>
      <w:r>
        <w:rPr>
          <w:b w:val="0"/>
        </w:rPr>
      </w:r>
      <w:r>
        <w:rPr/>
        <w:t>RESUMEN</w:t>
      </w:r>
    </w:p>
    <w:p>
      <w:pPr>
        <w:pStyle w:val="BodyText"/>
        <w:rPr>
          <w:b/>
          <w:sz w:val="28"/>
        </w:rPr>
      </w:pPr>
    </w:p>
    <w:p>
      <w:pPr>
        <w:pStyle w:val="BodyText"/>
        <w:spacing w:before="1"/>
        <w:rPr>
          <w:b/>
        </w:rPr>
      </w:pPr>
    </w:p>
    <w:p>
      <w:pPr>
        <w:pStyle w:val="Heading3"/>
        <w:spacing w:line="242" w:lineRule="auto"/>
        <w:ind w:right="164"/>
        <w:jc w:val="both"/>
      </w:pPr>
      <w:r>
        <w:rPr/>
        <w:t>EVALUACIÓN </w:t>
      </w:r>
      <w:r>
        <w:rPr>
          <w:i/>
        </w:rPr>
        <w:t>in vitro </w:t>
      </w:r>
      <w:r>
        <w:rPr/>
        <w:t>DE LA APOPTOSIS DE NEUTRÓFILOS DE VACAS LECHERAS    INDUCIDA   POR    LOS    TIPOS    CAPSULARES    5    Y    8 DE</w:t>
      </w:r>
    </w:p>
    <w:p>
      <w:pPr>
        <w:pStyle w:val="Heading4"/>
        <w:spacing w:line="276" w:lineRule="exact"/>
        <w:rPr>
          <w:i/>
        </w:rPr>
      </w:pPr>
      <w:r>
        <w:rPr>
          <w:i/>
        </w:rPr>
        <w:t>Staphylococcus aureus.</w:t>
      </w:r>
    </w:p>
    <w:p>
      <w:pPr>
        <w:pStyle w:val="BodyText"/>
        <w:rPr>
          <w:b/>
          <w:i/>
        </w:rPr>
      </w:pPr>
    </w:p>
    <w:p>
      <w:pPr>
        <w:pStyle w:val="BodyText"/>
        <w:spacing w:before="10"/>
        <w:rPr>
          <w:b/>
          <w:i/>
          <w:sz w:val="35"/>
        </w:rPr>
      </w:pPr>
    </w:p>
    <w:p>
      <w:pPr>
        <w:pStyle w:val="BodyText"/>
        <w:spacing w:line="360" w:lineRule="auto"/>
        <w:ind w:left="159" w:right="153"/>
        <w:jc w:val="both"/>
      </w:pPr>
      <w:r>
        <w:rPr>
          <w:i/>
        </w:rPr>
        <w:t>Staphylococcus aureus </w:t>
      </w:r>
      <w:r>
        <w:rPr/>
        <w:t>es el principal patógeno causante de la mastitis bovina, la infección de la glándula mamaria por esta bacteria</w:t>
      </w:r>
      <w:r>
        <w:rPr>
          <w:color w:val="006FC0"/>
        </w:rPr>
        <w:t>, </w:t>
      </w:r>
      <w:r>
        <w:rPr/>
        <w:t>se acentúa por los factores de virulencia; destacando el exopolisacarido capsular del que predominan los serotipos CP5 y CP8 en la infección mamaria. Los neutrófilos (PMN) en la  glándula mamaria, constituye la primera barrera de defensa celular en la resistencia a la infección intraglandular mamaria. Para evaluar el efecto de los serotipos capsulares CP5 y CP8 de </w:t>
      </w:r>
      <w:r>
        <w:rPr>
          <w:i/>
        </w:rPr>
        <w:t>S. aureus </w:t>
      </w:r>
      <w:r>
        <w:rPr/>
        <w:t>sobre la fagocitosis y apoptosis </w:t>
      </w:r>
      <w:r>
        <w:rPr>
          <w:i/>
          <w:spacing w:val="-3"/>
        </w:rPr>
        <w:t>in </w:t>
      </w:r>
      <w:r>
        <w:rPr>
          <w:i/>
        </w:rPr>
        <w:t>vitro </w:t>
      </w:r>
      <w:r>
        <w:rPr/>
        <w:t>de neutrófilos de bovinos lecheros, se utilizaron neutrófilos de sangre de vacas lecheras concentrados por el método de lisis hipotónica de eritrocitos  </w:t>
      </w:r>
      <w:r>
        <w:rPr>
          <w:spacing w:val="27"/>
        </w:rPr>
        <w:t> </w:t>
      </w:r>
      <w:r>
        <w:rPr/>
        <w:t>LHE.</w:t>
      </w:r>
    </w:p>
    <w:p>
      <w:pPr>
        <w:pStyle w:val="BodyText"/>
        <w:spacing w:line="352" w:lineRule="auto" w:before="7"/>
        <w:ind w:left="159" w:right="155"/>
        <w:jc w:val="both"/>
      </w:pPr>
      <w:r>
        <w:rPr/>
        <w:t>El ensayo </w:t>
      </w:r>
      <w:r>
        <w:rPr>
          <w:i/>
        </w:rPr>
        <w:t>in vitro </w:t>
      </w:r>
      <w:r>
        <w:rPr/>
        <w:t>de de fagocitosis se realizó por triplicado, con una suspensión de bacterias de 2 x 10</w:t>
      </w:r>
      <w:r>
        <w:rPr>
          <w:position w:val="11"/>
          <w:sz w:val="16"/>
        </w:rPr>
        <w:t>8 </w:t>
      </w:r>
      <w:r>
        <w:rPr/>
        <w:t>CFU/mL., conjugada con fluoresceína para cada serotipo capsular y el tipo compacto. A partir de los ensayos, se determinó la capacidad de fagocitosis de neutrófilos (CFN) e índice de fagocitosis de neutrófilos (IFN) observados  en  el  microscopio  de   epifluorescencia UV.  La  apoptosis se evaluó</w:t>
      </w:r>
    </w:p>
    <w:p>
      <w:pPr>
        <w:pStyle w:val="BodyText"/>
        <w:spacing w:line="360" w:lineRule="auto" w:before="11"/>
        <w:ind w:left="159" w:right="154"/>
        <w:jc w:val="both"/>
      </w:pPr>
      <w:r>
        <w:rPr/>
        <w:t>mediante el método de microscopia de fondo claro teñido con May Grünwald- Giemsa y por epifluorescencia de acuerdo a las características morfológicas observadas en las células. Los resultados obtenidos para CFN fueron: Cepa compacta (CC) 86.50±0.31, Cepa capsular 5 (CP5) 74.98±2.44 y Cepa capsular 8(CP8) 82.22±1.50. El IFN obtenidos por la técnica de microscopia de fondo claro para los diferentes grupos fueron: CC 6.13±2.93, CP5 4.88±0.13, CP8 5.22±0.10. Los valores de IFN por la técnica de epifluorescencia fueron: CC 7.62±0.55, CP5 4.67±0.29 y CP8 5.53±0.40. En ambas técnicas el IFN muestra diferencias entre los tratamientos y el grupo control (p&lt;0.05). Los valores obtenidos de la inducción de apoptosis por la técnica de microscopia de campo claro fueron: Control positivo</w:t>
      </w:r>
    </w:p>
    <w:p>
      <w:pPr>
        <w:spacing w:after="0" w:line="360" w:lineRule="auto"/>
        <w:jc w:val="both"/>
        <w:sectPr>
          <w:headerReference w:type="default" r:id="rId7"/>
          <w:footerReference w:type="default" r:id="rId8"/>
          <w:pgSz w:w="12240" w:h="15840"/>
          <w:pgMar w:header="726" w:footer="1527" w:top="1200" w:bottom="1720" w:left="1540" w:right="1540"/>
          <w:pgNumType w:start="1"/>
        </w:sectPr>
      </w:pPr>
    </w:p>
    <w:p>
      <w:pPr>
        <w:pStyle w:val="BodyText"/>
        <w:spacing w:before="8"/>
        <w:rPr>
          <w:sz w:val="15"/>
        </w:rPr>
      </w:pPr>
    </w:p>
    <w:p>
      <w:pPr>
        <w:pStyle w:val="BodyText"/>
        <w:spacing w:before="69"/>
        <w:ind w:left="159"/>
        <w:jc w:val="both"/>
      </w:pPr>
      <w:r>
        <w:rPr/>
        <w:t>C(+)   97.7±1.28,   Control   negativo   C(-)   27.13±1.85   CC   35.44±2.56,      CP5</w:t>
      </w:r>
    </w:p>
    <w:p>
      <w:pPr>
        <w:pStyle w:val="BodyText"/>
        <w:spacing w:line="362" w:lineRule="auto" w:before="137"/>
        <w:ind w:left="159" w:right="162"/>
        <w:jc w:val="both"/>
      </w:pPr>
      <w:r>
        <w:rPr/>
        <w:t>60.07±4.21, CP8 45.57±4.34. El porcentaje de inducción de apoptosis para la técnica de epifluorescencia empleando Bromuro de Etidio y Naranja de Acridina fueron: C(+) 95.61±2.66, C(-) 20.2±1.77, CC 26.50±1.65, CP5 52.78±3.29, CP8</w:t>
      </w:r>
    </w:p>
    <w:p>
      <w:pPr>
        <w:pStyle w:val="BodyText"/>
        <w:spacing w:line="360" w:lineRule="auto"/>
        <w:ind w:left="159" w:right="155"/>
        <w:jc w:val="both"/>
      </w:pPr>
      <w:r>
        <w:rPr/>
        <w:t>41.33±2.32. Al evaluar el porcentaje de inducción de la apoptosis mediante la detección de fosfatidilserina se obtuvieron los siguientes valores: C(+) 94.63±1.68, C(-) 19.17±1.81, CC 28.87±2.82, CP5 54.80±3.15 y CP8 46.17±2.17.  En    ambas</w:t>
      </w:r>
    </w:p>
    <w:p>
      <w:pPr>
        <w:pStyle w:val="BodyText"/>
        <w:spacing w:line="360" w:lineRule="auto" w:before="3"/>
        <w:ind w:left="159" w:right="156"/>
        <w:jc w:val="both"/>
      </w:pPr>
      <w:r>
        <w:rPr/>
        <w:t>técnicas se observaron diferencias (p&lt;0.05) entre los tratamientos y los grupos controles. Así mismo el serotipo CP5 indujo mayor porcentaje de apoptosis y fue fagocitado en menor proporción que CP8 y CC. Los resultados indicas que la cepa CP5 posiblemente sea más virulenta. Existen diferencias en la actividad de fagocitosis </w:t>
      </w:r>
      <w:r>
        <w:rPr>
          <w:i/>
        </w:rPr>
        <w:t>in vitro </w:t>
      </w:r>
      <w:r>
        <w:rPr/>
        <w:t>entre los tipos capsulares 5 y 8 y en su capacidad para inducir apoptosis de neutrófilos bovinos.</w:t>
      </w:r>
    </w:p>
    <w:p>
      <w:pPr>
        <w:pStyle w:val="BodyText"/>
        <w:spacing w:before="4"/>
        <w:rPr>
          <w:sz w:val="32"/>
        </w:rPr>
      </w:pPr>
    </w:p>
    <w:p>
      <w:pPr>
        <w:pStyle w:val="BodyText"/>
        <w:spacing w:line="275" w:lineRule="exact"/>
        <w:ind w:left="159"/>
        <w:jc w:val="both"/>
      </w:pPr>
      <w:r>
        <w:rPr/>
        <w:t>Palabras claves: apoptosis, fagocitosis, neutrófilos, serotipos capsulares,</w:t>
      </w:r>
    </w:p>
    <w:p>
      <w:pPr>
        <w:spacing w:line="275" w:lineRule="exact" w:before="0"/>
        <w:ind w:left="159" w:right="0" w:firstLine="0"/>
        <w:jc w:val="both"/>
        <w:rPr>
          <w:sz w:val="24"/>
        </w:rPr>
      </w:pPr>
      <w:r>
        <w:rPr>
          <w:i/>
          <w:sz w:val="24"/>
        </w:rPr>
        <w:t>Staphylococcus aureus</w:t>
      </w:r>
      <w:r>
        <w:rPr>
          <w:sz w:val="24"/>
        </w:rPr>
        <w:t>,</w:t>
      </w:r>
    </w:p>
    <w:p>
      <w:pPr>
        <w:spacing w:after="0" w:line="275" w:lineRule="exact"/>
        <w:jc w:val="both"/>
        <w:rPr>
          <w:sz w:val="24"/>
        </w:rPr>
        <w:sectPr>
          <w:pgSz w:w="12240" w:h="15840"/>
          <w:pgMar w:header="726" w:footer="1527" w:top="1200" w:bottom="1720" w:left="1540" w:right="1540"/>
        </w:sectPr>
      </w:pPr>
    </w:p>
    <w:p>
      <w:pPr>
        <w:pStyle w:val="BodyText"/>
        <w:spacing w:before="3"/>
        <w:rPr>
          <w:sz w:val="15"/>
        </w:rPr>
      </w:pPr>
    </w:p>
    <w:p>
      <w:pPr>
        <w:pStyle w:val="Heading3"/>
        <w:spacing w:before="69"/>
        <w:ind w:left="3031" w:right="3031"/>
        <w:jc w:val="center"/>
      </w:pPr>
      <w:r>
        <w:rPr/>
        <w:t>ABSTRACT</w:t>
      </w:r>
    </w:p>
    <w:p>
      <w:pPr>
        <w:spacing w:before="137"/>
        <w:ind w:left="159" w:right="0" w:firstLine="0"/>
        <w:jc w:val="both"/>
        <w:rPr>
          <w:b/>
          <w:sz w:val="24"/>
        </w:rPr>
      </w:pPr>
      <w:r>
        <w:rPr>
          <w:b/>
          <w:color w:val="212121"/>
          <w:sz w:val="24"/>
        </w:rPr>
        <w:t>EVALUATION  OF  APOPTOSIS  </w:t>
      </w:r>
      <w:r>
        <w:rPr>
          <w:b/>
          <w:i/>
          <w:color w:val="212121"/>
          <w:spacing w:val="-3"/>
          <w:sz w:val="24"/>
        </w:rPr>
        <w:t>In  </w:t>
      </w:r>
      <w:r>
        <w:rPr>
          <w:b/>
          <w:i/>
          <w:color w:val="212121"/>
          <w:sz w:val="24"/>
        </w:rPr>
        <w:t>vitro  </w:t>
      </w:r>
      <w:r>
        <w:rPr>
          <w:b/>
          <w:color w:val="212121"/>
          <w:sz w:val="24"/>
        </w:rPr>
        <w:t>OF  DAIRY  COWS   </w:t>
      </w:r>
      <w:r>
        <w:rPr>
          <w:b/>
          <w:color w:val="212121"/>
          <w:spacing w:val="55"/>
          <w:sz w:val="24"/>
        </w:rPr>
        <w:t> </w:t>
      </w:r>
      <w:r>
        <w:rPr>
          <w:b/>
          <w:color w:val="212121"/>
          <w:sz w:val="24"/>
        </w:rPr>
        <w:t>NEUTROPHILS</w:t>
      </w:r>
    </w:p>
    <w:p>
      <w:pPr>
        <w:spacing w:before="137"/>
        <w:ind w:left="159" w:right="0" w:firstLine="0"/>
        <w:jc w:val="both"/>
        <w:rPr>
          <w:b/>
          <w:i/>
          <w:sz w:val="24"/>
        </w:rPr>
      </w:pPr>
      <w:r>
        <w:rPr>
          <w:b/>
          <w:color w:val="212121"/>
          <w:sz w:val="24"/>
        </w:rPr>
        <w:t>INDUCED  FOR  CAPSULAR  TYPES  5  AND  8  OF  </w:t>
      </w:r>
      <w:r>
        <w:rPr>
          <w:b/>
          <w:i/>
          <w:color w:val="212121"/>
          <w:sz w:val="24"/>
        </w:rPr>
        <w:t>Staphylococcus   aureus.</w:t>
      </w:r>
    </w:p>
    <w:p>
      <w:pPr>
        <w:pStyle w:val="BodyText"/>
        <w:rPr>
          <w:b/>
          <w:i/>
        </w:rPr>
      </w:pPr>
    </w:p>
    <w:p>
      <w:pPr>
        <w:pStyle w:val="BodyText"/>
        <w:spacing w:before="7"/>
        <w:rPr>
          <w:b/>
          <w:i/>
        </w:rPr>
      </w:pPr>
    </w:p>
    <w:p>
      <w:pPr>
        <w:pStyle w:val="BodyText"/>
        <w:spacing w:line="360" w:lineRule="auto" w:before="1"/>
        <w:ind w:left="159" w:right="153"/>
        <w:jc w:val="both"/>
      </w:pPr>
      <w:r>
        <w:rPr>
          <w:i/>
          <w:color w:val="212121"/>
        </w:rPr>
        <w:t>Staphylococcus aureus </w:t>
      </w:r>
      <w:r>
        <w:rPr>
          <w:color w:val="212121"/>
        </w:rPr>
        <w:t>is the major pathogen causing bovine mastitis, the mammary glans infection by this bacterium, is accentuated by virulence factors, highlighting the capsular exopolysaccharide predominant serotypes CP5 and CP8 in breast infection. Neutrophils (PMN) in the mammary gland are the first cellular defense barrier resistance intraglandular mammary infection. To evaluate the effect of capsular serotypes CP5 and CP8 of </w:t>
      </w:r>
      <w:r>
        <w:rPr>
          <w:i/>
          <w:color w:val="212121"/>
        </w:rPr>
        <w:t>S. aureus </w:t>
      </w:r>
      <w:r>
        <w:rPr>
          <w:color w:val="212121"/>
        </w:rPr>
        <w:t>on phagocytosis </w:t>
      </w:r>
      <w:r>
        <w:rPr>
          <w:i/>
          <w:color w:val="212121"/>
        </w:rPr>
        <w:t>in vitro </w:t>
      </w:r>
      <w:r>
        <w:rPr>
          <w:color w:val="212121"/>
        </w:rPr>
        <w:t>and neutrophil apoptosis of dairy cattle were used blood neutrophils concentrated dairy cows by the of hypotonic erythrocyte lysis (LHE) method.</w:t>
      </w:r>
    </w:p>
    <w:p>
      <w:pPr>
        <w:pStyle w:val="BodyText"/>
        <w:spacing w:line="360" w:lineRule="auto" w:before="7"/>
        <w:ind w:left="159" w:right="154"/>
        <w:jc w:val="both"/>
      </w:pPr>
      <w:r>
        <w:rPr>
          <w:color w:val="212121"/>
        </w:rPr>
        <w:t>The </w:t>
      </w:r>
      <w:r>
        <w:rPr>
          <w:i/>
          <w:color w:val="212121"/>
          <w:spacing w:val="-3"/>
        </w:rPr>
        <w:t>in </w:t>
      </w:r>
      <w:r>
        <w:rPr>
          <w:i/>
          <w:color w:val="212121"/>
        </w:rPr>
        <w:t>vitro </w:t>
      </w:r>
      <w:r>
        <w:rPr>
          <w:color w:val="212121"/>
        </w:rPr>
        <w:t>phagocytosis trials was performed in triplicate, with a bacterial suspension of 2x108 CFU/mL. conjugated with fluorescein each capsular serotype and compact. From testing, </w:t>
      </w:r>
      <w:r>
        <w:rPr>
          <w:color w:val="212121"/>
          <w:spacing w:val="-3"/>
        </w:rPr>
        <w:t>we </w:t>
      </w:r>
      <w:r>
        <w:rPr>
          <w:color w:val="212121"/>
        </w:rPr>
        <w:t>determined the capacity of phagocytosis (CFN) and the phagocytic index of neutrophils (IFN) observed in the UV fluorescence microscope. Apoptosis was determined by light microscopy background staining with May Grünwald-Giemsa and by epifluorescence according to the morphological characteristics observed in cells. The results obtained for the CFN were compact strain (CC) 86.50±0.31, capsular strain 5 (CP5) 74.98±2.44 and capsular strain 8 (CP8) 82.22±1.50. The IFN obtained by the light microscopy technique for the different groups were: CC 6.13±2.93, CP5 4.88±0.13, CP8 5.22±0.10. The values of IFN, by epifluorescence technique were: CC 7.62±0.55, CP5 4.67±0.29 and</w:t>
      </w:r>
      <w:r>
        <w:rPr>
          <w:color w:val="212121"/>
          <w:spacing w:val="-13"/>
        </w:rPr>
        <w:t> </w:t>
      </w:r>
      <w:r>
        <w:rPr>
          <w:color w:val="212121"/>
        </w:rPr>
        <w:t>CP8</w:t>
      </w:r>
    </w:p>
    <w:p>
      <w:pPr>
        <w:pStyle w:val="BodyText"/>
        <w:spacing w:line="360" w:lineRule="auto" w:before="3"/>
        <w:ind w:left="159" w:right="151"/>
        <w:jc w:val="both"/>
      </w:pPr>
      <w:r>
        <w:rPr>
          <w:color w:val="212121"/>
        </w:rPr>
        <w:t>5.53 ± 0.40. In both techniques the IFN show differences between treatments and the control group (p&lt;0.05). The values obtained for the induction of apoptosis by the technique of light microscopy were positive control C(+) 97.7±1.28 negative control C (-)27.13±1.85, CC 35.44±2.56, CP5 60.07±4.21, CP8 45.57±4.34. The percentage of apoptosis induction for epifluorescence technique using ethidium bromide and acridine orange were: C(+) 95.61±2.66, C(-) 20.2±1.77, CC 26.50±1.65, CP5 52.78±3.29, CP8 41.33±2.32. In trial the percentage of</w:t>
      </w:r>
      <w:r>
        <w:rPr>
          <w:color w:val="212121"/>
          <w:spacing w:val="63"/>
        </w:rPr>
        <w:t> </w:t>
      </w:r>
      <w:r>
        <w:rPr>
          <w:color w:val="212121"/>
        </w:rPr>
        <w:t>apoptosis</w:t>
      </w:r>
    </w:p>
    <w:p>
      <w:pPr>
        <w:spacing w:after="0" w:line="360" w:lineRule="auto"/>
        <w:jc w:val="both"/>
        <w:sectPr>
          <w:pgSz w:w="12240" w:h="15840"/>
          <w:pgMar w:header="726" w:footer="1527" w:top="1200" w:bottom="1720" w:left="1540" w:right="1540"/>
        </w:sectPr>
      </w:pPr>
    </w:p>
    <w:p>
      <w:pPr>
        <w:pStyle w:val="BodyText"/>
        <w:spacing w:before="8"/>
        <w:rPr>
          <w:sz w:val="15"/>
        </w:rPr>
      </w:pPr>
    </w:p>
    <w:p>
      <w:pPr>
        <w:pStyle w:val="BodyText"/>
        <w:spacing w:line="360" w:lineRule="auto" w:before="69"/>
        <w:ind w:left="159" w:right="154"/>
        <w:jc w:val="both"/>
      </w:pPr>
      <w:r>
        <w:rPr>
          <w:color w:val="212121"/>
        </w:rPr>
        <w:t>induction by detecting phosphatidylserine yielded the following values: C(+) 94.63±1.68,   C(-)   19.17±1.81,   CC   28.87±2.82,   CP5   54.80±3.15   and   </w:t>
      </w:r>
      <w:r>
        <w:rPr>
          <w:color w:val="212121"/>
          <w:spacing w:val="52"/>
        </w:rPr>
        <w:t> </w:t>
      </w:r>
      <w:r>
        <w:rPr>
          <w:color w:val="212121"/>
        </w:rPr>
        <w:t>CP8</w:t>
      </w:r>
    </w:p>
    <w:p>
      <w:pPr>
        <w:pStyle w:val="BodyText"/>
        <w:spacing w:line="360" w:lineRule="auto" w:before="2"/>
        <w:ind w:left="159" w:right="155"/>
        <w:jc w:val="both"/>
      </w:pPr>
      <w:r>
        <w:rPr>
          <w:color w:val="212121"/>
        </w:rPr>
        <w:t>46.17±2.17. In both techniques differences were observed (p&lt;0.05) between treatments and the control groups. The CP5 serotype induced higher percentage of apoptosis and was swallowed up by less than CP8 and CC. The results are indicating that the strain may be more virulent CP5. There are  differences  in activity </w:t>
      </w:r>
      <w:r>
        <w:rPr>
          <w:i/>
          <w:color w:val="212121"/>
        </w:rPr>
        <w:t>in vitro </w:t>
      </w:r>
      <w:r>
        <w:rPr>
          <w:color w:val="212121"/>
        </w:rPr>
        <w:t>phagocytosis between capsular types 5 and 8 and in its ability to induce apoptosis of bovine neutrophils.</w:t>
      </w:r>
    </w:p>
    <w:p>
      <w:pPr>
        <w:pStyle w:val="BodyText"/>
      </w:pPr>
    </w:p>
    <w:p>
      <w:pPr>
        <w:spacing w:before="144"/>
        <w:ind w:left="159" w:right="0" w:firstLine="0"/>
        <w:jc w:val="both"/>
        <w:rPr>
          <w:sz w:val="24"/>
        </w:rPr>
      </w:pPr>
      <w:r>
        <w:rPr>
          <w:color w:val="212121"/>
          <w:sz w:val="24"/>
        </w:rPr>
        <w:t>Keywords:  apoptosis,  capsular  setorypes,  neutrophils,  </w:t>
      </w:r>
      <w:r>
        <w:rPr>
          <w:i/>
          <w:color w:val="212121"/>
          <w:sz w:val="24"/>
        </w:rPr>
        <w:t>Staphylococcus   aureus</w:t>
      </w:r>
      <w:r>
        <w:rPr>
          <w:color w:val="212121"/>
          <w:sz w:val="24"/>
        </w:rPr>
        <w:t>,</w:t>
      </w:r>
    </w:p>
    <w:p>
      <w:pPr>
        <w:pStyle w:val="BodyText"/>
        <w:spacing w:before="137"/>
        <w:ind w:left="159"/>
        <w:jc w:val="both"/>
      </w:pPr>
      <w:r>
        <w:rPr>
          <w:color w:val="212121"/>
        </w:rPr>
        <w:t>,phagocytosis,</w:t>
      </w:r>
    </w:p>
    <w:p>
      <w:pPr>
        <w:spacing w:after="0"/>
        <w:jc w:val="both"/>
        <w:sectPr>
          <w:pgSz w:w="12240" w:h="15840"/>
          <w:pgMar w:header="726" w:footer="1527" w:top="1200" w:bottom="1720" w:left="1540" w:right="1540"/>
        </w:sectPr>
      </w:pPr>
    </w:p>
    <w:p>
      <w:pPr>
        <w:pStyle w:val="BodyText"/>
        <w:rPr>
          <w:sz w:val="20"/>
        </w:rPr>
      </w:pPr>
    </w:p>
    <w:p>
      <w:pPr>
        <w:pStyle w:val="BodyText"/>
        <w:spacing w:before="8"/>
        <w:rPr>
          <w:sz w:val="19"/>
        </w:rPr>
      </w:pPr>
    </w:p>
    <w:p>
      <w:pPr>
        <w:pStyle w:val="Heading1"/>
        <w:ind w:left="159"/>
        <w:jc w:val="both"/>
      </w:pPr>
      <w:r>
        <w:rPr/>
        <w:t>AGRADECIMIENTOS INSTITUCIONALES</w:t>
      </w:r>
    </w:p>
    <w:p>
      <w:pPr>
        <w:pStyle w:val="BodyText"/>
        <w:rPr>
          <w:b/>
          <w:sz w:val="28"/>
        </w:rPr>
      </w:pPr>
    </w:p>
    <w:p>
      <w:pPr>
        <w:pStyle w:val="BodyText"/>
        <w:spacing w:line="276" w:lineRule="auto" w:before="186"/>
        <w:ind w:left="159" w:right="159"/>
        <w:jc w:val="both"/>
      </w:pPr>
      <w:r>
        <w:rPr/>
        <w:t>A la Universidad Autónoma del Estado de México</w:t>
      </w:r>
      <w:r>
        <w:rPr>
          <w:b/>
        </w:rPr>
        <w:t>, </w:t>
      </w:r>
      <w:r>
        <w:rPr/>
        <w:t>por el financiamiento otorgado al proyecto de investigación: Caracterización genotípica de </w:t>
      </w:r>
      <w:r>
        <w:rPr>
          <w:i/>
        </w:rPr>
        <w:t>Staphylococcus aureus </w:t>
      </w:r>
      <w:r>
        <w:rPr/>
        <w:t>de tipo capsular en aislamientos obtenidos de hatos lecheros de producción familiar del Valle de Toluca. PROMEP: Fortalecimiento de cuerpos académicos 2010.</w:t>
      </w:r>
    </w:p>
    <w:p>
      <w:pPr>
        <w:pStyle w:val="BodyText"/>
        <w:spacing w:line="273" w:lineRule="auto" w:before="207"/>
        <w:ind w:left="159" w:right="156"/>
        <w:jc w:val="both"/>
      </w:pPr>
      <w:r>
        <w:rPr/>
        <w:t>Al Consejo Nacional de Ciencia y Tecnología (CONACYT), por la beca otorgada para la realización de estos estudios de maestría en el Programa de Maestría en Ciencias Agropecuarias y Recursos Naturales de la Universidad Autónoma del Estado de México PCARN-UAEM</w:t>
      </w:r>
    </w:p>
    <w:p>
      <w:pPr>
        <w:pStyle w:val="BodyText"/>
        <w:spacing w:before="205"/>
        <w:ind w:left="159"/>
        <w:jc w:val="both"/>
      </w:pPr>
      <w:r>
        <w:rPr/>
        <w:t>Al CONACYT por el apoyo complementario para estudiantes becadas CONACYT</w:t>
      </w:r>
    </w:p>
    <w:p>
      <w:pPr>
        <w:pStyle w:val="BodyText"/>
        <w:rPr>
          <w:sz w:val="21"/>
        </w:rPr>
      </w:pPr>
    </w:p>
    <w:p>
      <w:pPr>
        <w:pStyle w:val="BodyText"/>
        <w:spacing w:line="276" w:lineRule="auto" w:before="1"/>
        <w:ind w:left="159" w:right="157"/>
        <w:jc w:val="both"/>
      </w:pPr>
      <w:r>
        <w:rPr/>
        <w:t>Al Consejo Nacional de Ciencia y Tecnología COMECYT</w:t>
      </w:r>
      <w:r>
        <w:rPr>
          <w:b/>
        </w:rPr>
        <w:t>, </w:t>
      </w:r>
      <w:r>
        <w:rPr/>
        <w:t>por el otorgamiento de  la beca de titulación de posgrado para la obtención del grado de</w:t>
      </w:r>
      <w:r>
        <w:rPr>
          <w:spacing w:val="-24"/>
        </w:rPr>
        <w:t> </w:t>
      </w:r>
      <w:r>
        <w:rPr/>
        <w:t>maestría</w:t>
      </w:r>
      <w:r>
        <w:rPr>
          <w:color w:val="006FC0"/>
        </w:rPr>
        <w:t>.</w:t>
      </w:r>
    </w:p>
    <w:p>
      <w:pPr>
        <w:pStyle w:val="BodyText"/>
        <w:spacing w:line="276" w:lineRule="auto" w:before="202"/>
        <w:ind w:left="159" w:right="153"/>
        <w:jc w:val="both"/>
      </w:pPr>
      <w:r>
        <w:rPr/>
        <w:t>Al Centro de Investigación y Estudios Avanzados en Salud Animal (CIESA) por las facilidades otorgadas en la realización de la fase experimental del trabajo de tesis de grado.</w:t>
      </w:r>
    </w:p>
    <w:p>
      <w:pPr>
        <w:pStyle w:val="BodyText"/>
        <w:spacing w:line="276" w:lineRule="auto" w:before="202"/>
        <w:ind w:left="159" w:right="154"/>
        <w:jc w:val="both"/>
      </w:pPr>
      <w:r>
        <w:rPr/>
        <w:t>A la posta zootécnica de la Facultad de Medicina Veterinaria y Zootecnia, por las facilidades brindadas al permitir el manejo de los animales donadores y la obtención de muestras para realizar los ensayos de laboratorio</w:t>
      </w:r>
    </w:p>
    <w:p>
      <w:pPr>
        <w:spacing w:after="0" w:line="276" w:lineRule="auto"/>
        <w:jc w:val="both"/>
        <w:sectPr>
          <w:pgSz w:w="12240" w:h="15840"/>
          <w:pgMar w:header="726" w:footer="1527" w:top="1200" w:bottom="1720" w:left="1540" w:right="1540"/>
        </w:sectPr>
      </w:pPr>
    </w:p>
    <w:p>
      <w:pPr>
        <w:pStyle w:val="BodyText"/>
        <w:spacing w:before="10"/>
        <w:rPr>
          <w:sz w:val="14"/>
        </w:rPr>
      </w:pPr>
    </w:p>
    <w:p>
      <w:pPr>
        <w:pStyle w:val="Heading3"/>
        <w:spacing w:before="69"/>
        <w:ind w:right="0"/>
        <w:jc w:val="both"/>
      </w:pPr>
      <w:r>
        <w:rPr/>
        <w:t>AGRADECIMIENTOS</w:t>
      </w:r>
    </w:p>
    <w:p>
      <w:pPr>
        <w:pStyle w:val="BodyText"/>
        <w:rPr>
          <w:b/>
        </w:rPr>
      </w:pPr>
    </w:p>
    <w:p>
      <w:pPr>
        <w:pStyle w:val="BodyText"/>
        <w:rPr>
          <w:b/>
        </w:rPr>
      </w:pPr>
    </w:p>
    <w:p>
      <w:pPr>
        <w:pStyle w:val="BodyText"/>
        <w:spacing w:line="276" w:lineRule="auto" w:before="214"/>
        <w:ind w:left="159" w:right="157"/>
        <w:jc w:val="both"/>
      </w:pPr>
      <w:r>
        <w:rPr/>
        <w:t>A los miembros de mi comité de tutores Dr. Valente Velázquez Ordoñez, Dra. Claudia Giovanna Peñuelas Rivas y Dr. Jorge Acosta Dibarrat por guiarme durante este proceso.</w:t>
      </w:r>
    </w:p>
    <w:p>
      <w:pPr>
        <w:pStyle w:val="BodyText"/>
        <w:spacing w:line="271" w:lineRule="auto" w:before="202"/>
        <w:ind w:left="159" w:right="157"/>
        <w:jc w:val="both"/>
      </w:pPr>
      <w:r>
        <w:rPr/>
        <w:t>Al todo el personal del Centro de Investigación y Estudios Avanzados en Salud Animal.</w:t>
      </w:r>
    </w:p>
    <w:p>
      <w:pPr>
        <w:pStyle w:val="BodyText"/>
        <w:spacing w:line="271" w:lineRule="auto" w:before="212"/>
        <w:ind w:left="159" w:right="159"/>
        <w:jc w:val="both"/>
      </w:pPr>
      <w:r>
        <w:rPr/>
        <w:t>A mis compañeros del laboratorio por compartirme sus conocimientos, en especial a Víctor, Ricardo, Saúl, Eloy y Raquel.</w:t>
      </w:r>
    </w:p>
    <w:p>
      <w:pPr>
        <w:pStyle w:val="BodyText"/>
        <w:spacing w:before="207"/>
        <w:ind w:left="159"/>
        <w:jc w:val="both"/>
      </w:pPr>
      <w:r>
        <w:rPr/>
        <w:t>A Ana y Mago por las anécdotas compartidas</w:t>
      </w:r>
    </w:p>
    <w:p>
      <w:pPr>
        <w:pStyle w:val="BodyText"/>
        <w:spacing w:before="6"/>
        <w:rPr>
          <w:sz w:val="21"/>
        </w:rPr>
      </w:pPr>
    </w:p>
    <w:p>
      <w:pPr>
        <w:pStyle w:val="BodyText"/>
        <w:spacing w:line="271" w:lineRule="auto"/>
        <w:ind w:left="159" w:right="155"/>
        <w:jc w:val="both"/>
      </w:pPr>
      <w:r>
        <w:rPr/>
        <w:t>A los miembros del sínodo: Dra. Adriana Gutiérrez Castillo, MC. José Luis Carlos Bedolla Cedeño. Dra. María Uxua Alonso Fresán.</w:t>
      </w:r>
    </w:p>
    <w:p>
      <w:pPr>
        <w:pStyle w:val="BodyText"/>
        <w:spacing w:before="207"/>
        <w:ind w:left="159"/>
        <w:jc w:val="both"/>
      </w:pPr>
      <w:r>
        <w:rPr/>
        <w:t>A la MC. Ada Elía por su orientación para mi ingreso al posgrado.</w:t>
      </w:r>
    </w:p>
    <w:p>
      <w:pPr>
        <w:spacing w:after="0"/>
        <w:jc w:val="both"/>
        <w:sectPr>
          <w:pgSz w:w="12240" w:h="15840"/>
          <w:pgMar w:header="726" w:footer="1527" w:top="1200" w:bottom="1720" w:left="1540" w:right="1540"/>
        </w:sectPr>
      </w:pPr>
    </w:p>
    <w:p>
      <w:pPr>
        <w:pStyle w:val="BodyText"/>
        <w:spacing w:before="5"/>
        <w:rPr>
          <w:sz w:val="15"/>
        </w:rPr>
      </w:pPr>
    </w:p>
    <w:p>
      <w:pPr>
        <w:pStyle w:val="Heading1"/>
        <w:spacing w:before="64"/>
        <w:ind w:left="159" w:right="3245"/>
      </w:pPr>
      <w:r>
        <w:rPr/>
        <w:t>DEDICATORIA</w:t>
      </w:r>
    </w:p>
    <w:p>
      <w:pPr>
        <w:pStyle w:val="BodyText"/>
        <w:rPr>
          <w:b/>
          <w:sz w:val="28"/>
        </w:rPr>
      </w:pPr>
    </w:p>
    <w:p>
      <w:pPr>
        <w:pStyle w:val="BodyText"/>
        <w:rPr>
          <w:b/>
          <w:sz w:val="28"/>
        </w:rPr>
      </w:pPr>
    </w:p>
    <w:p>
      <w:pPr>
        <w:pStyle w:val="BodyText"/>
        <w:spacing w:line="242" w:lineRule="auto" w:before="181"/>
        <w:ind w:left="159" w:right="3245"/>
      </w:pPr>
      <w:r>
        <w:rPr/>
        <w:t>A mis princesas que son la parte más importante de mi vida, por iluminarme con la paz de su sonrisa.</w:t>
      </w:r>
    </w:p>
    <w:p>
      <w:pPr>
        <w:pStyle w:val="BodyText"/>
      </w:pPr>
    </w:p>
    <w:p>
      <w:pPr>
        <w:pStyle w:val="BodyText"/>
      </w:pPr>
    </w:p>
    <w:p>
      <w:pPr>
        <w:pStyle w:val="BodyText"/>
        <w:spacing w:before="9"/>
        <w:rPr>
          <w:sz w:val="23"/>
        </w:rPr>
      </w:pPr>
    </w:p>
    <w:p>
      <w:pPr>
        <w:pStyle w:val="BodyText"/>
        <w:ind w:left="159" w:right="3245"/>
      </w:pPr>
      <w:r>
        <w:rPr/>
        <w:t>A mis papas por su apoyo y amor incondicional.</w:t>
      </w:r>
    </w:p>
    <w:p>
      <w:pPr>
        <w:pStyle w:val="BodyText"/>
      </w:pPr>
    </w:p>
    <w:p>
      <w:pPr>
        <w:pStyle w:val="BodyText"/>
      </w:pPr>
    </w:p>
    <w:p>
      <w:pPr>
        <w:pStyle w:val="BodyText"/>
        <w:spacing w:before="209"/>
        <w:ind w:left="159" w:right="3245"/>
      </w:pPr>
      <w:r>
        <w:rPr/>
        <w:t>A mis hermanos por su cariño y respeto.</w:t>
      </w:r>
    </w:p>
    <w:p>
      <w:pPr>
        <w:pStyle w:val="BodyText"/>
      </w:pPr>
    </w:p>
    <w:p>
      <w:pPr>
        <w:pStyle w:val="BodyText"/>
      </w:pPr>
    </w:p>
    <w:p>
      <w:pPr>
        <w:pStyle w:val="BodyText"/>
        <w:spacing w:before="204"/>
        <w:ind w:left="159" w:right="3245"/>
      </w:pPr>
      <w:r>
        <w:rPr/>
        <w:t>A mi cuñada y sobrino</w:t>
      </w:r>
    </w:p>
    <w:p>
      <w:pPr>
        <w:pStyle w:val="BodyText"/>
      </w:pPr>
    </w:p>
    <w:p>
      <w:pPr>
        <w:pStyle w:val="BodyText"/>
      </w:pPr>
    </w:p>
    <w:p>
      <w:pPr>
        <w:pStyle w:val="BodyText"/>
        <w:spacing w:before="209"/>
        <w:ind w:left="159" w:right="3245"/>
      </w:pPr>
      <w:r>
        <w:rPr/>
        <w:t>A Juan por su apoyo.</w:t>
      </w:r>
    </w:p>
    <w:p>
      <w:pPr>
        <w:spacing w:after="0"/>
        <w:sectPr>
          <w:pgSz w:w="12240" w:h="15840"/>
          <w:pgMar w:header="726" w:footer="1527" w:top="1200" w:bottom="1720" w:left="1540" w:right="1540"/>
        </w:sectPr>
      </w:pPr>
    </w:p>
    <w:p>
      <w:pPr>
        <w:pStyle w:val="BodyText"/>
        <w:rPr>
          <w:sz w:val="20"/>
        </w:rPr>
      </w:pPr>
    </w:p>
    <w:p>
      <w:pPr>
        <w:pStyle w:val="BodyText"/>
        <w:spacing w:before="5"/>
        <w:rPr>
          <w:sz w:val="19"/>
        </w:rPr>
      </w:pPr>
    </w:p>
    <w:p>
      <w:pPr>
        <w:pStyle w:val="Heading3"/>
        <w:spacing w:before="70"/>
        <w:ind w:left="3028" w:right="3031"/>
        <w:jc w:val="center"/>
      </w:pPr>
      <w:r>
        <w:rPr/>
        <w:t>CONTENIDO</w:t>
      </w:r>
    </w:p>
    <w:p>
      <w:pPr>
        <w:spacing w:after="0"/>
        <w:jc w:val="center"/>
        <w:sectPr>
          <w:pgSz w:w="12240" w:h="15840"/>
          <w:pgMar w:header="726" w:footer="1527" w:top="1200" w:bottom="1984" w:left="1540" w:right="1540"/>
        </w:sectPr>
      </w:pPr>
    </w:p>
    <w:sdt>
      <w:sdtPr>
        <w:docPartObj>
          <w:docPartGallery w:val="Table of Contents"/>
          <w:docPartUnique/>
        </w:docPartObj>
      </w:sdtPr>
      <w:sdtEndPr/>
      <w:sdtContent>
        <w:p>
          <w:pPr>
            <w:pStyle w:val="TOC1"/>
            <w:tabs>
              <w:tab w:pos="8991" w:val="right" w:leader="dot"/>
            </w:tabs>
            <w:spacing w:before="41"/>
            <w:ind w:left="159" w:firstLine="0"/>
          </w:pPr>
          <w:hyperlink w:history="true" w:anchor="_bookmark0">
            <w:r>
              <w:rPr/>
              <w:t>RESUMEN</w:t>
              <w:tab/>
              <w:t>i</w:t>
            </w:r>
          </w:hyperlink>
        </w:p>
        <w:p>
          <w:pPr>
            <w:pStyle w:val="TOC1"/>
            <w:tabs>
              <w:tab w:pos="8990" w:val="right" w:leader="dot"/>
            </w:tabs>
            <w:spacing w:before="243"/>
            <w:ind w:left="159" w:firstLine="0"/>
          </w:pPr>
          <w:hyperlink w:history="true" w:anchor="_bookmark1">
            <w:r>
              <w:rPr/>
              <w:t>INDICE</w:t>
            </w:r>
            <w:r>
              <w:rPr>
                <w:spacing w:val="-4"/>
              </w:rPr>
              <w:t> </w:t>
            </w:r>
            <w:r>
              <w:rPr/>
              <w:t>DE</w:t>
            </w:r>
            <w:r>
              <w:rPr>
                <w:spacing w:val="-3"/>
              </w:rPr>
              <w:t> </w:t>
            </w:r>
            <w:r>
              <w:rPr/>
              <w:t>ABREVIATURA</w:t>
              <w:tab/>
              <w:t>x</w:t>
            </w:r>
          </w:hyperlink>
        </w:p>
        <w:p>
          <w:pPr>
            <w:pStyle w:val="TOC1"/>
            <w:tabs>
              <w:tab w:pos="8990" w:val="right" w:leader="dot"/>
            </w:tabs>
            <w:ind w:left="159" w:firstLine="0"/>
          </w:pPr>
          <w:hyperlink w:history="true" w:anchor="_bookmark2">
            <w:r>
              <w:rPr/>
              <w:t>ÍNDICE</w:t>
            </w:r>
            <w:r>
              <w:rPr>
                <w:spacing w:val="-3"/>
              </w:rPr>
              <w:t> </w:t>
            </w:r>
            <w:r>
              <w:rPr/>
              <w:t>DE</w:t>
            </w:r>
            <w:r>
              <w:rPr>
                <w:spacing w:val="-2"/>
              </w:rPr>
              <w:t> </w:t>
            </w:r>
            <w:r>
              <w:rPr/>
              <w:t>CUADROS</w:t>
              <w:tab/>
              <w:t>xii</w:t>
            </w:r>
          </w:hyperlink>
        </w:p>
        <w:p>
          <w:pPr>
            <w:pStyle w:val="TOC1"/>
            <w:tabs>
              <w:tab w:pos="8991" w:val="right" w:leader="dot"/>
            </w:tabs>
            <w:ind w:left="159" w:firstLine="0"/>
          </w:pPr>
          <w:hyperlink w:history="true" w:anchor="_bookmark3">
            <w:r>
              <w:rPr/>
              <w:t>ÍNDICE</w:t>
            </w:r>
            <w:r>
              <w:rPr>
                <w:spacing w:val="-4"/>
              </w:rPr>
              <w:t> </w:t>
            </w:r>
            <w:r>
              <w:rPr/>
              <w:t>DE</w:t>
            </w:r>
            <w:r>
              <w:rPr>
                <w:spacing w:val="-3"/>
              </w:rPr>
              <w:t> </w:t>
            </w:r>
            <w:r>
              <w:rPr/>
              <w:t>GRÁFICAS</w:t>
              <w:tab/>
              <w:t>xiii</w:t>
            </w:r>
          </w:hyperlink>
        </w:p>
        <w:p>
          <w:pPr>
            <w:pStyle w:val="TOC1"/>
            <w:tabs>
              <w:tab w:pos="8990" w:val="right" w:leader="dot"/>
            </w:tabs>
            <w:spacing w:before="238"/>
            <w:ind w:left="159" w:firstLine="0"/>
          </w:pPr>
          <w:hyperlink w:history="true" w:anchor="_bookmark4">
            <w:r>
              <w:rPr/>
              <w:t>ÍNDICE</w:t>
            </w:r>
            <w:r>
              <w:rPr>
                <w:spacing w:val="-3"/>
              </w:rPr>
              <w:t> </w:t>
            </w:r>
            <w:r>
              <w:rPr/>
              <w:t>DE</w:t>
            </w:r>
            <w:r>
              <w:rPr>
                <w:spacing w:val="-2"/>
              </w:rPr>
              <w:t> </w:t>
            </w:r>
            <w:r>
              <w:rPr/>
              <w:t>FIGURAS</w:t>
              <w:tab/>
              <w:t>xiv</w:t>
            </w:r>
          </w:hyperlink>
        </w:p>
        <w:p>
          <w:pPr>
            <w:pStyle w:val="TOC1"/>
            <w:numPr>
              <w:ilvl w:val="0"/>
              <w:numId w:val="1"/>
            </w:numPr>
            <w:tabs>
              <w:tab w:pos="428" w:val="left" w:leader="none"/>
              <w:tab w:pos="8989" w:val="right" w:leader="dot"/>
            </w:tabs>
            <w:spacing w:line="240" w:lineRule="auto" w:before="242" w:after="0"/>
            <w:ind w:left="428" w:right="0" w:hanging="269"/>
            <w:jc w:val="left"/>
          </w:pPr>
          <w:hyperlink w:history="true" w:anchor="_bookmark5">
            <w:r>
              <w:rPr/>
              <w:t>INTRODUCCIÓN</w:t>
              <w:tab/>
              <w:t>1</w:t>
            </w:r>
          </w:hyperlink>
        </w:p>
        <w:p>
          <w:pPr>
            <w:pStyle w:val="TOC1"/>
            <w:numPr>
              <w:ilvl w:val="0"/>
              <w:numId w:val="1"/>
            </w:numPr>
            <w:tabs>
              <w:tab w:pos="428" w:val="left" w:leader="none"/>
              <w:tab w:pos="8989" w:val="right" w:leader="dot"/>
            </w:tabs>
            <w:spacing w:line="240" w:lineRule="auto" w:before="242" w:after="0"/>
            <w:ind w:left="428" w:right="0" w:hanging="269"/>
            <w:jc w:val="left"/>
          </w:pPr>
          <w:hyperlink w:history="true" w:anchor="_bookmark6">
            <w:r>
              <w:rPr/>
              <w:t>REVISIÓN</w:t>
            </w:r>
            <w:r>
              <w:rPr>
                <w:spacing w:val="-1"/>
              </w:rPr>
              <w:t> </w:t>
            </w:r>
            <w:r>
              <w:rPr/>
              <w:t>DE</w:t>
            </w:r>
            <w:r>
              <w:rPr>
                <w:spacing w:val="-4"/>
              </w:rPr>
              <w:t> </w:t>
            </w:r>
            <w:r>
              <w:rPr/>
              <w:t>LITERATURA</w:t>
              <w:tab/>
              <w:t>3</w:t>
            </w:r>
          </w:hyperlink>
        </w:p>
        <w:p>
          <w:pPr>
            <w:pStyle w:val="TOC3"/>
            <w:tabs>
              <w:tab w:pos="8989" w:val="right" w:leader="dot"/>
            </w:tabs>
            <w:spacing w:line="271" w:lineRule="auto" w:before="248"/>
            <w:ind w:left="380" w:right="168" w:firstLine="0"/>
          </w:pPr>
          <w:hyperlink w:history="true" w:anchor="_bookmark7">
            <w:r>
              <w:rPr/>
              <w:t>INFECCIÓN DE LA GLÁNDULA MAMARIA BOVINA POR Staphylococcus</w:t>
            </w:r>
          </w:hyperlink>
          <w:r>
            <w:rPr/>
            <w:t> </w:t>
          </w:r>
          <w:hyperlink w:history="true" w:anchor="_bookmark7">
            <w:r>
              <w:rPr/>
              <w:t>aureus</w:t>
              <w:tab/>
              <w:t>3</w:t>
            </w:r>
          </w:hyperlink>
        </w:p>
        <w:p>
          <w:pPr>
            <w:pStyle w:val="TOC3"/>
            <w:tabs>
              <w:tab w:pos="8989" w:val="right" w:leader="dot"/>
            </w:tabs>
            <w:spacing w:line="271" w:lineRule="auto" w:before="212"/>
            <w:ind w:left="380" w:right="168" w:firstLine="0"/>
          </w:pPr>
          <w:hyperlink w:history="true" w:anchor="_bookmark8">
            <w:r>
              <w:rPr/>
              <w:t>LOS NEUTRÓFILOS EN LA RESPUESTA INMUNE INNATA DE LA</w:t>
            </w:r>
            <w:r>
              <w:rPr>
                <w:spacing w:val="-27"/>
              </w:rPr>
              <w:t> </w:t>
            </w:r>
            <w:r>
              <w:rPr/>
              <w:t>GLÁNDULA</w:t>
            </w:r>
          </w:hyperlink>
          <w:r>
            <w:rPr/>
            <w:t> </w:t>
          </w:r>
          <w:hyperlink w:history="true" w:anchor="_bookmark8">
            <w:r>
              <w:rPr/>
              <w:t>MAMARIA</w:t>
              <w:tab/>
              <w:t>5</w:t>
            </w:r>
          </w:hyperlink>
        </w:p>
        <w:p>
          <w:pPr>
            <w:pStyle w:val="TOC3"/>
            <w:tabs>
              <w:tab w:pos="8990" w:val="right" w:leader="dot"/>
            </w:tabs>
            <w:spacing w:before="208"/>
            <w:ind w:left="380" w:firstLine="0"/>
          </w:pPr>
          <w:hyperlink w:history="true" w:anchor="_bookmark9">
            <w:r>
              <w:rPr/>
              <w:t>PROCESO DE APOPTOSIS Y NECROSIS DE</w:t>
            </w:r>
            <w:r>
              <w:rPr>
                <w:spacing w:val="-13"/>
              </w:rPr>
              <w:t> </w:t>
            </w:r>
            <w:r>
              <w:rPr/>
              <w:t>NEUTRÓFILOS</w:t>
            </w:r>
            <w:r>
              <w:rPr>
                <w:spacing w:val="-3"/>
              </w:rPr>
              <w:t> </w:t>
            </w:r>
            <w:r>
              <w:rPr/>
              <w:t>BOVINOS</w:t>
              <w:tab/>
              <w:t>11</w:t>
            </w:r>
          </w:hyperlink>
        </w:p>
        <w:p>
          <w:pPr>
            <w:pStyle w:val="TOC1"/>
            <w:numPr>
              <w:ilvl w:val="0"/>
              <w:numId w:val="1"/>
            </w:numPr>
            <w:tabs>
              <w:tab w:pos="428" w:val="left" w:leader="none"/>
              <w:tab w:pos="8990" w:val="right" w:leader="dot"/>
            </w:tabs>
            <w:spacing w:line="240" w:lineRule="auto" w:before="237" w:after="0"/>
            <w:ind w:left="428" w:right="0" w:hanging="269"/>
            <w:jc w:val="left"/>
          </w:pPr>
          <w:hyperlink w:history="true" w:anchor="_bookmark10">
            <w:r>
              <w:rPr/>
              <w:t>JUSTIFICACIÓN</w:t>
              <w:tab/>
              <w:t>15</w:t>
            </w:r>
          </w:hyperlink>
        </w:p>
        <w:p>
          <w:pPr>
            <w:pStyle w:val="TOC1"/>
            <w:numPr>
              <w:ilvl w:val="0"/>
              <w:numId w:val="1"/>
            </w:numPr>
            <w:tabs>
              <w:tab w:pos="428" w:val="left" w:leader="none"/>
              <w:tab w:pos="8990" w:val="right" w:leader="dot"/>
            </w:tabs>
            <w:spacing w:line="240" w:lineRule="auto" w:before="242" w:after="0"/>
            <w:ind w:left="428" w:right="0" w:hanging="269"/>
            <w:jc w:val="left"/>
          </w:pPr>
          <w:hyperlink w:history="true" w:anchor="_bookmark11">
            <w:r>
              <w:rPr/>
              <w:t>HIPÓTESIS</w:t>
              <w:tab/>
              <w:t>16</w:t>
            </w:r>
          </w:hyperlink>
        </w:p>
        <w:p>
          <w:pPr>
            <w:pStyle w:val="TOC1"/>
            <w:numPr>
              <w:ilvl w:val="0"/>
              <w:numId w:val="1"/>
            </w:numPr>
            <w:tabs>
              <w:tab w:pos="428" w:val="left" w:leader="none"/>
              <w:tab w:pos="8990" w:val="right" w:leader="dot"/>
            </w:tabs>
            <w:spacing w:line="240" w:lineRule="auto" w:before="242" w:after="0"/>
            <w:ind w:left="428" w:right="0" w:hanging="269"/>
            <w:jc w:val="left"/>
          </w:pPr>
          <w:hyperlink w:history="true" w:anchor="_bookmark12">
            <w:r>
              <w:rPr/>
              <w:t>OBJETIVOS</w:t>
              <w:tab/>
              <w:t>17</w:t>
            </w:r>
          </w:hyperlink>
        </w:p>
        <w:p>
          <w:pPr>
            <w:pStyle w:val="TOC1"/>
            <w:numPr>
              <w:ilvl w:val="0"/>
              <w:numId w:val="1"/>
            </w:numPr>
            <w:tabs>
              <w:tab w:pos="428" w:val="left" w:leader="none"/>
              <w:tab w:pos="8990" w:val="right" w:leader="dot"/>
            </w:tabs>
            <w:spacing w:line="240" w:lineRule="auto" w:before="243" w:after="0"/>
            <w:ind w:left="428" w:right="0" w:hanging="269"/>
            <w:jc w:val="left"/>
          </w:pPr>
          <w:hyperlink w:history="true" w:anchor="_bookmark13">
            <w:r>
              <w:rPr/>
              <w:t>MATERIAL</w:t>
            </w:r>
            <w:r>
              <w:rPr>
                <w:spacing w:val="-1"/>
              </w:rPr>
              <w:t> </w:t>
            </w:r>
            <w:r>
              <w:rPr/>
              <w:t>Y</w:t>
            </w:r>
            <w:r>
              <w:rPr>
                <w:spacing w:val="-3"/>
              </w:rPr>
              <w:t> </w:t>
            </w:r>
            <w:r>
              <w:rPr/>
              <w:t>MÉTODO</w:t>
              <w:tab/>
              <w:t>18</w:t>
            </w:r>
          </w:hyperlink>
        </w:p>
        <w:p>
          <w:pPr>
            <w:pStyle w:val="TOC2"/>
            <w:numPr>
              <w:ilvl w:val="1"/>
              <w:numId w:val="1"/>
            </w:numPr>
            <w:tabs>
              <w:tab w:pos="852" w:val="left" w:leader="none"/>
              <w:tab w:pos="8990" w:val="right" w:leader="dot"/>
            </w:tabs>
            <w:spacing w:line="240" w:lineRule="auto" w:before="237" w:after="0"/>
            <w:ind w:left="851" w:right="0" w:hanging="471"/>
            <w:jc w:val="left"/>
          </w:pPr>
          <w:hyperlink w:history="true" w:anchor="_bookmark14">
            <w:r>
              <w:rPr/>
              <w:t>Zona</w:t>
            </w:r>
            <w:r>
              <w:rPr>
                <w:spacing w:val="-1"/>
              </w:rPr>
              <w:t> </w:t>
            </w:r>
            <w:r>
              <w:rPr/>
              <w:t>de</w:t>
            </w:r>
            <w:r>
              <w:rPr>
                <w:spacing w:val="-1"/>
              </w:rPr>
              <w:t> </w:t>
            </w:r>
            <w:r>
              <w:rPr/>
              <w:t>muestreo</w:t>
              <w:tab/>
              <w:t>18</w:t>
            </w:r>
          </w:hyperlink>
        </w:p>
        <w:p>
          <w:pPr>
            <w:pStyle w:val="TOC3"/>
            <w:numPr>
              <w:ilvl w:val="1"/>
              <w:numId w:val="2"/>
            </w:numPr>
            <w:tabs>
              <w:tab w:pos="784" w:val="left" w:leader="none"/>
              <w:tab w:pos="8990" w:val="right" w:leader="dot"/>
            </w:tabs>
            <w:spacing w:line="240" w:lineRule="auto" w:before="242" w:after="0"/>
            <w:ind w:left="783" w:right="0" w:hanging="403"/>
            <w:jc w:val="left"/>
          </w:pPr>
          <w:hyperlink w:history="true" w:anchor="_bookmark15">
            <w:r>
              <w:rPr/>
              <w:t>Población animal</w:t>
            </w:r>
            <w:r>
              <w:rPr>
                <w:spacing w:val="3"/>
              </w:rPr>
              <w:t> </w:t>
            </w:r>
            <w:r>
              <w:rPr/>
              <w:t>en</w:t>
            </w:r>
            <w:r>
              <w:rPr>
                <w:spacing w:val="-5"/>
              </w:rPr>
              <w:t> </w:t>
            </w:r>
            <w:r>
              <w:rPr/>
              <w:t>estudio</w:t>
              <w:tab/>
              <w:t>18</w:t>
            </w:r>
          </w:hyperlink>
        </w:p>
        <w:p>
          <w:pPr>
            <w:pStyle w:val="TOC3"/>
            <w:numPr>
              <w:ilvl w:val="1"/>
              <w:numId w:val="2"/>
            </w:numPr>
            <w:tabs>
              <w:tab w:pos="784" w:val="left" w:leader="none"/>
              <w:tab w:pos="8990" w:val="right" w:leader="dot"/>
            </w:tabs>
            <w:spacing w:line="240" w:lineRule="auto" w:before="243" w:after="0"/>
            <w:ind w:left="783" w:right="0" w:hanging="403"/>
            <w:jc w:val="left"/>
          </w:pPr>
          <w:hyperlink w:history="true" w:anchor="_bookmark16">
            <w:r>
              <w:rPr/>
              <w:t>Grupo</w:t>
            </w:r>
            <w:r>
              <w:rPr>
                <w:spacing w:val="-1"/>
              </w:rPr>
              <w:t> </w:t>
            </w:r>
            <w:r>
              <w:rPr/>
              <w:t>de</w:t>
            </w:r>
            <w:r>
              <w:rPr>
                <w:spacing w:val="-1"/>
              </w:rPr>
              <w:t> </w:t>
            </w:r>
            <w:r>
              <w:rPr/>
              <w:t>animales</w:t>
              <w:tab/>
              <w:t>18</w:t>
            </w:r>
          </w:hyperlink>
        </w:p>
        <w:p>
          <w:pPr>
            <w:pStyle w:val="TOC3"/>
            <w:numPr>
              <w:ilvl w:val="1"/>
              <w:numId w:val="2"/>
            </w:numPr>
            <w:tabs>
              <w:tab w:pos="784" w:val="left" w:leader="none"/>
              <w:tab w:pos="8990" w:val="right" w:leader="dot"/>
            </w:tabs>
            <w:spacing w:line="240" w:lineRule="auto" w:before="242" w:after="0"/>
            <w:ind w:left="783" w:right="0" w:hanging="403"/>
            <w:jc w:val="left"/>
          </w:pPr>
          <w:hyperlink w:history="true" w:anchor="_bookmark17">
            <w:r>
              <w:rPr/>
              <w:t>Procedimiento de</w:t>
            </w:r>
            <w:r>
              <w:rPr>
                <w:spacing w:val="-1"/>
              </w:rPr>
              <w:t> </w:t>
            </w:r>
            <w:r>
              <w:rPr/>
              <w:t>diagnóstico</w:t>
              <w:tab/>
              <w:t>19</w:t>
            </w:r>
          </w:hyperlink>
        </w:p>
        <w:p>
          <w:pPr>
            <w:pStyle w:val="TOC3"/>
            <w:numPr>
              <w:ilvl w:val="1"/>
              <w:numId w:val="2"/>
            </w:numPr>
            <w:tabs>
              <w:tab w:pos="784" w:val="left" w:leader="none"/>
              <w:tab w:pos="8990" w:val="right" w:leader="dot"/>
            </w:tabs>
            <w:spacing w:line="240" w:lineRule="auto" w:before="242" w:after="0"/>
            <w:ind w:left="783" w:right="0" w:hanging="403"/>
            <w:jc w:val="left"/>
          </w:pPr>
          <w:hyperlink w:history="true" w:anchor="_bookmark18">
            <w:r>
              <w:rPr/>
              <w:t>Diseño</w:t>
            </w:r>
            <w:r>
              <w:rPr>
                <w:spacing w:val="-1"/>
              </w:rPr>
              <w:t> </w:t>
            </w:r>
            <w:r>
              <w:rPr/>
              <w:t>del</w:t>
            </w:r>
            <w:r>
              <w:rPr>
                <w:spacing w:val="-1"/>
              </w:rPr>
              <w:t> </w:t>
            </w:r>
            <w:r>
              <w:rPr/>
              <w:t>experimento</w:t>
              <w:tab/>
              <w:t>19</w:t>
            </w:r>
          </w:hyperlink>
        </w:p>
        <w:p>
          <w:pPr>
            <w:pStyle w:val="TOC3"/>
            <w:numPr>
              <w:ilvl w:val="1"/>
              <w:numId w:val="2"/>
            </w:numPr>
            <w:tabs>
              <w:tab w:pos="784" w:val="left" w:leader="none"/>
              <w:tab w:pos="8990" w:val="right" w:leader="dot"/>
            </w:tabs>
            <w:spacing w:line="240" w:lineRule="auto" w:before="238" w:after="0"/>
            <w:ind w:left="783" w:right="0" w:hanging="403"/>
            <w:jc w:val="left"/>
          </w:pPr>
          <w:hyperlink w:history="true" w:anchor="_bookmark19">
            <w:r>
              <w:rPr/>
              <w:t>Aislamiento de neutrófilos</w:t>
            </w:r>
            <w:r>
              <w:rPr>
                <w:spacing w:val="-5"/>
              </w:rPr>
              <w:t> </w:t>
            </w:r>
            <w:r>
              <w:rPr/>
              <w:t>de</w:t>
            </w:r>
            <w:r>
              <w:rPr>
                <w:spacing w:val="-1"/>
              </w:rPr>
              <w:t> </w:t>
            </w:r>
            <w:r>
              <w:rPr/>
              <w:t>bovinos</w:t>
              <w:tab/>
              <w:t>20</w:t>
            </w:r>
          </w:hyperlink>
        </w:p>
        <w:p>
          <w:pPr>
            <w:pStyle w:val="TOC3"/>
            <w:numPr>
              <w:ilvl w:val="1"/>
              <w:numId w:val="2"/>
            </w:numPr>
            <w:tabs>
              <w:tab w:pos="784" w:val="left" w:leader="none"/>
              <w:tab w:pos="8990" w:val="right" w:leader="dot"/>
            </w:tabs>
            <w:spacing w:line="240" w:lineRule="auto" w:before="242" w:after="0"/>
            <w:ind w:left="783" w:right="0" w:hanging="403"/>
            <w:jc w:val="left"/>
          </w:pPr>
          <w:hyperlink w:history="true" w:anchor="_bookmark20">
            <w:r>
              <w:rPr/>
              <w:t>Producción de la cápsula</w:t>
            </w:r>
            <w:r>
              <w:rPr>
                <w:spacing w:val="-9"/>
              </w:rPr>
              <w:t> </w:t>
            </w:r>
            <w:r>
              <w:rPr/>
              <w:t>in</w:t>
            </w:r>
            <w:r>
              <w:rPr>
                <w:spacing w:val="-1"/>
              </w:rPr>
              <w:t> </w:t>
            </w:r>
            <w:r>
              <w:rPr/>
              <w:t>vitro</w:t>
              <w:tab/>
              <w:t>21</w:t>
            </w:r>
          </w:hyperlink>
        </w:p>
        <w:p>
          <w:pPr>
            <w:pStyle w:val="TOC3"/>
            <w:numPr>
              <w:ilvl w:val="1"/>
              <w:numId w:val="2"/>
            </w:numPr>
            <w:tabs>
              <w:tab w:pos="851" w:val="left" w:leader="none"/>
              <w:tab w:pos="8990" w:val="right" w:leader="dot"/>
            </w:tabs>
            <w:spacing w:line="240" w:lineRule="auto" w:before="242" w:after="0"/>
            <w:ind w:left="850" w:right="0" w:hanging="470"/>
            <w:jc w:val="left"/>
          </w:pPr>
          <w:hyperlink w:history="true" w:anchor="_bookmark21">
            <w:r>
              <w:rPr/>
              <w:t>Evaluación de la actividad de fagocitosis</w:t>
            </w:r>
            <w:r>
              <w:rPr>
                <w:spacing w:val="-11"/>
              </w:rPr>
              <w:t> </w:t>
            </w:r>
            <w:r>
              <w:rPr/>
              <w:t>in</w:t>
            </w:r>
            <w:r>
              <w:rPr>
                <w:spacing w:val="-1"/>
              </w:rPr>
              <w:t> </w:t>
            </w:r>
            <w:r>
              <w:rPr/>
              <w:t>vitro</w:t>
              <w:tab/>
              <w:t>21</w:t>
            </w:r>
          </w:hyperlink>
        </w:p>
        <w:p>
          <w:pPr>
            <w:pStyle w:val="TOC4"/>
            <w:tabs>
              <w:tab w:pos="8990" w:val="right" w:leader="dot"/>
            </w:tabs>
            <w:spacing w:before="245"/>
            <w:ind w:left="601" w:firstLine="0"/>
          </w:pPr>
          <w:hyperlink w:history="true" w:anchor="_bookmark22">
            <w:r>
              <w:rPr/>
              <w:t>Microscopia óptica</w:t>
            </w:r>
            <w:r>
              <w:rPr>
                <w:spacing w:val="-5"/>
              </w:rPr>
              <w:t> </w:t>
            </w:r>
            <w:r>
              <w:rPr/>
              <w:t>y</w:t>
            </w:r>
            <w:r>
              <w:rPr>
                <w:spacing w:val="-1"/>
              </w:rPr>
              <w:t> </w:t>
            </w:r>
            <w:r>
              <w:rPr/>
              <w:t>epifluorescencia</w:t>
              <w:tab/>
              <w:t>21</w:t>
            </w:r>
          </w:hyperlink>
        </w:p>
        <w:p>
          <w:pPr>
            <w:pStyle w:val="TOC3"/>
            <w:numPr>
              <w:ilvl w:val="1"/>
              <w:numId w:val="2"/>
            </w:numPr>
            <w:tabs>
              <w:tab w:pos="784" w:val="left" w:leader="none"/>
              <w:tab w:pos="8990" w:val="right" w:leader="dot"/>
            </w:tabs>
            <w:spacing w:line="240" w:lineRule="auto" w:before="242" w:after="0"/>
            <w:ind w:left="783" w:right="0" w:hanging="403"/>
            <w:jc w:val="left"/>
          </w:pPr>
          <w:hyperlink w:history="true" w:anchor="_bookmark23">
            <w:r>
              <w:rPr/>
              <w:t>Evaluación de la apoptosis in vitro</w:t>
            </w:r>
            <w:r>
              <w:rPr>
                <w:spacing w:val="-11"/>
              </w:rPr>
              <w:t> </w:t>
            </w:r>
            <w:r>
              <w:rPr/>
              <w:t>de</w:t>
            </w:r>
            <w:r>
              <w:rPr>
                <w:spacing w:val="-5"/>
              </w:rPr>
              <w:t> </w:t>
            </w:r>
            <w:r>
              <w:rPr/>
              <w:t>neutrófilos</w:t>
              <w:tab/>
              <w:t>22</w:t>
            </w:r>
          </w:hyperlink>
        </w:p>
        <w:p>
          <w:pPr>
            <w:pStyle w:val="TOC4"/>
            <w:tabs>
              <w:tab w:pos="8990" w:val="right" w:leader="dot"/>
            </w:tabs>
            <w:spacing w:before="238"/>
            <w:ind w:left="601" w:firstLine="0"/>
          </w:pPr>
          <w:hyperlink w:history="true" w:anchor="_bookmark24">
            <w:r>
              <w:rPr/>
              <w:t>6.9.1 Microscopio de</w:t>
            </w:r>
            <w:r>
              <w:rPr>
                <w:spacing w:val="-4"/>
              </w:rPr>
              <w:t> </w:t>
            </w:r>
            <w:r>
              <w:rPr/>
              <w:t>campo</w:t>
            </w:r>
            <w:r>
              <w:rPr>
                <w:spacing w:val="-1"/>
              </w:rPr>
              <w:t> </w:t>
            </w:r>
            <w:r>
              <w:rPr/>
              <w:t>claro</w:t>
              <w:tab/>
              <w:t>22</w:t>
            </w:r>
          </w:hyperlink>
        </w:p>
        <w:p>
          <w:pPr>
            <w:pStyle w:val="TOC4"/>
            <w:tabs>
              <w:tab w:pos="8990" w:val="right" w:leader="dot"/>
            </w:tabs>
            <w:ind w:left="601" w:firstLine="0"/>
          </w:pPr>
          <w:hyperlink w:history="true" w:anchor="_bookmark25">
            <w:r>
              <w:rPr/>
              <w:t>6.8.2 Epifluorescencia</w:t>
              <w:tab/>
              <w:t>22</w:t>
            </w:r>
          </w:hyperlink>
        </w:p>
        <w:p>
          <w:pPr>
            <w:pStyle w:val="TOC3"/>
            <w:tabs>
              <w:tab w:pos="8990" w:val="right" w:leader="dot"/>
            </w:tabs>
            <w:ind w:left="380" w:firstLine="0"/>
          </w:pPr>
          <w:hyperlink w:history="true" w:anchor="_bookmark26">
            <w:r>
              <w:rPr/>
              <w:t>6.9 Evaluación de</w:t>
            </w:r>
            <w:r>
              <w:rPr>
                <w:spacing w:val="-1"/>
              </w:rPr>
              <w:t> </w:t>
            </w:r>
            <w:r>
              <w:rPr/>
              <w:t>resultados</w:t>
              <w:tab/>
              <w:t>23</w:t>
            </w:r>
          </w:hyperlink>
        </w:p>
        <w:p>
          <w:pPr>
            <w:pStyle w:val="TOC1"/>
            <w:numPr>
              <w:ilvl w:val="0"/>
              <w:numId w:val="1"/>
            </w:numPr>
            <w:tabs>
              <w:tab w:pos="428" w:val="left" w:leader="none"/>
              <w:tab w:pos="8990" w:val="right" w:leader="dot"/>
            </w:tabs>
            <w:spacing w:line="240" w:lineRule="auto" w:before="243" w:after="0"/>
            <w:ind w:left="428" w:right="0" w:hanging="269"/>
            <w:jc w:val="left"/>
          </w:pPr>
          <w:hyperlink w:history="true" w:anchor="_bookmark27">
            <w:r>
              <w:rPr/>
              <w:t>RESULTADOS</w:t>
              <w:tab/>
              <w:t>24</w:t>
            </w:r>
          </w:hyperlink>
        </w:p>
        <w:p>
          <w:pPr>
            <w:pStyle w:val="TOC3"/>
            <w:numPr>
              <w:ilvl w:val="1"/>
              <w:numId w:val="3"/>
            </w:numPr>
            <w:tabs>
              <w:tab w:pos="784" w:val="left" w:leader="none"/>
              <w:tab w:pos="8990" w:val="right" w:leader="dot"/>
            </w:tabs>
            <w:spacing w:line="240" w:lineRule="auto" w:before="237" w:after="0"/>
            <w:ind w:left="783" w:right="0" w:hanging="403"/>
            <w:jc w:val="left"/>
          </w:pPr>
          <w:hyperlink w:history="true" w:anchor="_bookmark28">
            <w:r>
              <w:rPr/>
              <w:t>POBLACIÓN ANIMAL</w:t>
            </w:r>
            <w:r>
              <w:rPr>
                <w:spacing w:val="-1"/>
              </w:rPr>
              <w:t> </w:t>
            </w:r>
            <w:r>
              <w:rPr/>
              <w:t>EN</w:t>
            </w:r>
            <w:r>
              <w:rPr>
                <w:spacing w:val="3"/>
              </w:rPr>
              <w:t> </w:t>
            </w:r>
            <w:r>
              <w:rPr/>
              <w:t>ESTUDIO</w:t>
              <w:tab/>
              <w:t>24</w:t>
            </w:r>
          </w:hyperlink>
        </w:p>
        <w:p>
          <w:pPr>
            <w:pStyle w:val="TOC3"/>
            <w:numPr>
              <w:ilvl w:val="1"/>
              <w:numId w:val="3"/>
            </w:numPr>
            <w:tabs>
              <w:tab w:pos="784" w:val="left" w:leader="none"/>
              <w:tab w:pos="8990" w:val="right" w:leader="dot"/>
            </w:tabs>
            <w:spacing w:line="240" w:lineRule="auto" w:before="242" w:after="0"/>
            <w:ind w:left="783" w:right="0" w:hanging="403"/>
            <w:jc w:val="left"/>
          </w:pPr>
          <w:hyperlink w:history="true" w:anchor="_bookmark29">
            <w:r>
              <w:rPr/>
              <w:t>AISLAMIENTO</w:t>
            </w:r>
            <w:r>
              <w:rPr>
                <w:spacing w:val="-1"/>
              </w:rPr>
              <w:t> </w:t>
            </w:r>
            <w:r>
              <w:rPr/>
              <w:t>DE</w:t>
            </w:r>
            <w:r>
              <w:rPr>
                <w:spacing w:val="-4"/>
              </w:rPr>
              <w:t> </w:t>
            </w:r>
            <w:r>
              <w:rPr/>
              <w:t>NEUTRÓFILOS</w:t>
              <w:tab/>
              <w:t>25</w:t>
            </w:r>
          </w:hyperlink>
        </w:p>
        <w:p>
          <w:pPr>
            <w:pStyle w:val="TOC3"/>
            <w:numPr>
              <w:ilvl w:val="1"/>
              <w:numId w:val="3"/>
            </w:numPr>
            <w:tabs>
              <w:tab w:pos="784" w:val="left" w:leader="none"/>
              <w:tab w:pos="8990" w:val="right" w:leader="dot"/>
            </w:tabs>
            <w:spacing w:line="240" w:lineRule="auto" w:before="242" w:after="0"/>
            <w:ind w:left="783" w:right="0" w:hanging="403"/>
            <w:jc w:val="left"/>
          </w:pPr>
          <w:hyperlink w:history="true" w:anchor="_bookmark30">
            <w:r>
              <w:rPr/>
              <w:t>MICROSCOPIA DE</w:t>
            </w:r>
            <w:r>
              <w:rPr>
                <w:spacing w:val="-5"/>
              </w:rPr>
              <w:t> </w:t>
            </w:r>
            <w:r>
              <w:rPr/>
              <w:t>CAMPO</w:t>
            </w:r>
            <w:r>
              <w:rPr>
                <w:spacing w:val="-1"/>
              </w:rPr>
              <w:t> </w:t>
            </w:r>
            <w:r>
              <w:rPr/>
              <w:t>CLARO</w:t>
              <w:tab/>
              <w:t>26</w:t>
            </w:r>
          </w:hyperlink>
        </w:p>
        <w:p>
          <w:pPr>
            <w:pStyle w:val="TOC4"/>
            <w:numPr>
              <w:ilvl w:val="2"/>
              <w:numId w:val="3"/>
            </w:numPr>
            <w:tabs>
              <w:tab w:pos="1206" w:val="left" w:leader="none"/>
              <w:tab w:pos="8990" w:val="right" w:leader="dot"/>
            </w:tabs>
            <w:spacing w:line="240" w:lineRule="auto" w:before="243" w:after="0"/>
            <w:ind w:left="1205" w:right="0" w:hanging="604"/>
            <w:jc w:val="left"/>
          </w:pPr>
          <w:hyperlink w:history="true" w:anchor="_bookmark31">
            <w:r>
              <w:rPr/>
              <w:t>Evaluación de la actividad de fagocitosis</w:t>
            </w:r>
            <w:r>
              <w:rPr>
                <w:spacing w:val="-10"/>
              </w:rPr>
              <w:t> </w:t>
            </w:r>
            <w:r>
              <w:rPr>
                <w:i/>
                <w:spacing w:val="-3"/>
              </w:rPr>
              <w:t>in</w:t>
            </w:r>
            <w:r>
              <w:rPr>
                <w:i/>
                <w:spacing w:val="-1"/>
              </w:rPr>
              <w:t> </w:t>
            </w:r>
            <w:r>
              <w:rPr>
                <w:i/>
              </w:rPr>
              <w:t>vitro</w:t>
            </w:r>
            <w:r>
              <w:rPr/>
              <w:tab/>
              <w:t>26</w:t>
            </w:r>
          </w:hyperlink>
        </w:p>
        <w:p>
          <w:pPr>
            <w:pStyle w:val="TOC4"/>
            <w:numPr>
              <w:ilvl w:val="2"/>
              <w:numId w:val="3"/>
            </w:numPr>
            <w:tabs>
              <w:tab w:pos="1206" w:val="left" w:leader="none"/>
              <w:tab w:pos="8990" w:val="right" w:leader="dot"/>
            </w:tabs>
            <w:spacing w:line="240" w:lineRule="auto" w:before="242" w:after="0"/>
            <w:ind w:left="1205" w:right="0" w:hanging="604"/>
            <w:jc w:val="left"/>
          </w:pPr>
          <w:hyperlink w:history="true" w:anchor="_bookmark32">
            <w:r>
              <w:rPr/>
              <w:t>Evaluación de la apoptosis </w:t>
            </w:r>
            <w:r>
              <w:rPr>
                <w:i/>
                <w:spacing w:val="-3"/>
              </w:rPr>
              <w:t>in </w:t>
            </w:r>
            <w:r>
              <w:rPr>
                <w:i/>
              </w:rPr>
              <w:t>vitro </w:t>
            </w:r>
            <w:r>
              <w:rPr/>
              <w:t>de</w:t>
            </w:r>
            <w:r>
              <w:rPr>
                <w:spacing w:val="-1"/>
              </w:rPr>
              <w:t> </w:t>
            </w:r>
            <w:r>
              <w:rPr/>
              <w:t>neutrófilos</w:t>
              <w:tab/>
              <w:t>28</w:t>
            </w:r>
          </w:hyperlink>
        </w:p>
        <w:p>
          <w:pPr>
            <w:pStyle w:val="TOC3"/>
            <w:numPr>
              <w:ilvl w:val="1"/>
              <w:numId w:val="3"/>
            </w:numPr>
            <w:tabs>
              <w:tab w:pos="784" w:val="left" w:leader="none"/>
              <w:tab w:pos="8990" w:val="right" w:leader="dot"/>
            </w:tabs>
            <w:spacing w:line="240" w:lineRule="auto" w:before="237" w:after="0"/>
            <w:ind w:left="783" w:right="0" w:hanging="403"/>
            <w:jc w:val="left"/>
          </w:pPr>
          <w:hyperlink w:history="true" w:anchor="_bookmark33">
            <w:r>
              <w:rPr/>
              <w:t>EPIFLUORESCENCIA</w:t>
              <w:tab/>
              <w:t>29</w:t>
            </w:r>
          </w:hyperlink>
        </w:p>
        <w:p>
          <w:pPr>
            <w:pStyle w:val="TOC4"/>
            <w:numPr>
              <w:ilvl w:val="2"/>
              <w:numId w:val="3"/>
            </w:numPr>
            <w:tabs>
              <w:tab w:pos="1206" w:val="left" w:leader="none"/>
              <w:tab w:pos="8990" w:val="right" w:leader="dot"/>
            </w:tabs>
            <w:spacing w:line="240" w:lineRule="auto" w:before="243" w:after="0"/>
            <w:ind w:left="1205" w:right="0" w:hanging="604"/>
            <w:jc w:val="left"/>
          </w:pPr>
          <w:hyperlink w:history="true" w:anchor="_bookmark34">
            <w:r>
              <w:rPr/>
              <w:t>Evaluación de la actividad de fagocitosis</w:t>
            </w:r>
            <w:r>
              <w:rPr>
                <w:spacing w:val="-9"/>
              </w:rPr>
              <w:t> </w:t>
            </w:r>
            <w:r>
              <w:rPr>
                <w:i/>
                <w:spacing w:val="-3"/>
              </w:rPr>
              <w:t>in</w:t>
            </w:r>
            <w:r>
              <w:rPr>
                <w:i/>
                <w:spacing w:val="-1"/>
              </w:rPr>
              <w:t> </w:t>
            </w:r>
            <w:r>
              <w:rPr>
                <w:i/>
              </w:rPr>
              <w:t>vitro</w:t>
            </w:r>
            <w:r>
              <w:rPr/>
              <w:tab/>
              <w:t>29</w:t>
            </w:r>
          </w:hyperlink>
        </w:p>
        <w:p>
          <w:pPr>
            <w:pStyle w:val="TOC4"/>
            <w:numPr>
              <w:ilvl w:val="2"/>
              <w:numId w:val="3"/>
            </w:numPr>
            <w:tabs>
              <w:tab w:pos="1206" w:val="left" w:leader="none"/>
              <w:tab w:pos="8990" w:val="right" w:leader="dot"/>
            </w:tabs>
            <w:spacing w:line="240" w:lineRule="auto" w:before="242" w:after="0"/>
            <w:ind w:left="1205" w:right="0" w:hanging="604"/>
            <w:jc w:val="left"/>
          </w:pPr>
          <w:hyperlink w:history="true" w:anchor="_bookmark35">
            <w:r>
              <w:rPr/>
              <w:t>Evaluación de la apoptosis </w:t>
            </w:r>
            <w:r>
              <w:rPr>
                <w:i/>
                <w:spacing w:val="-3"/>
              </w:rPr>
              <w:t>in </w:t>
            </w:r>
            <w:r>
              <w:rPr>
                <w:i/>
              </w:rPr>
              <w:t>vitro </w:t>
            </w:r>
            <w:r>
              <w:rPr/>
              <w:t>de</w:t>
            </w:r>
            <w:r>
              <w:rPr>
                <w:spacing w:val="-1"/>
              </w:rPr>
              <w:t> </w:t>
            </w:r>
            <w:r>
              <w:rPr/>
              <w:t>neutrófilos</w:t>
              <w:tab/>
              <w:t>32</w:t>
            </w:r>
          </w:hyperlink>
        </w:p>
        <w:p>
          <w:pPr>
            <w:pStyle w:val="TOC3"/>
            <w:tabs>
              <w:tab w:pos="8990" w:val="right" w:leader="dot"/>
            </w:tabs>
            <w:ind w:left="380" w:firstLine="0"/>
          </w:pPr>
          <w:hyperlink w:history="true" w:anchor="_bookmark36">
            <w:r>
              <w:rPr/>
              <w:t>Diseño</w:t>
            </w:r>
            <w:r>
              <w:rPr>
                <w:spacing w:val="-5"/>
              </w:rPr>
              <w:t> </w:t>
            </w:r>
            <w:r>
              <w:rPr/>
              <w:t>del</w:t>
            </w:r>
            <w:r>
              <w:rPr>
                <w:spacing w:val="3"/>
              </w:rPr>
              <w:t> </w:t>
            </w:r>
            <w:r>
              <w:rPr/>
              <w:t>experimento</w:t>
              <w:tab/>
              <w:t>42</w:t>
            </w:r>
          </w:hyperlink>
        </w:p>
        <w:p>
          <w:pPr>
            <w:pStyle w:val="TOC1"/>
            <w:numPr>
              <w:ilvl w:val="0"/>
              <w:numId w:val="1"/>
            </w:numPr>
            <w:tabs>
              <w:tab w:pos="428" w:val="left" w:leader="none"/>
              <w:tab w:pos="8990" w:val="right" w:leader="dot"/>
            </w:tabs>
            <w:spacing w:line="240" w:lineRule="auto" w:before="243" w:after="0"/>
            <w:ind w:left="428" w:right="0" w:hanging="269"/>
            <w:jc w:val="left"/>
          </w:pPr>
          <w:hyperlink w:history="true" w:anchor="_bookmark37">
            <w:r>
              <w:rPr/>
              <w:t>DISCUSIÓN</w:t>
              <w:tab/>
              <w:t>58</w:t>
            </w:r>
          </w:hyperlink>
        </w:p>
        <w:p>
          <w:pPr>
            <w:pStyle w:val="TOC1"/>
            <w:numPr>
              <w:ilvl w:val="0"/>
              <w:numId w:val="1"/>
            </w:numPr>
            <w:tabs>
              <w:tab w:pos="429" w:val="left" w:leader="none"/>
              <w:tab w:pos="8990" w:val="right" w:leader="dot"/>
            </w:tabs>
            <w:spacing w:line="240" w:lineRule="auto" w:before="237" w:after="0"/>
            <w:ind w:left="428" w:right="0" w:hanging="269"/>
            <w:jc w:val="left"/>
          </w:pPr>
          <w:hyperlink w:history="true" w:anchor="_bookmark38">
            <w:r>
              <w:rPr/>
              <w:t>CONCLUSIONES</w:t>
              <w:tab/>
              <w:t>63</w:t>
            </w:r>
          </w:hyperlink>
        </w:p>
        <w:p>
          <w:pPr>
            <w:pStyle w:val="TOC1"/>
            <w:numPr>
              <w:ilvl w:val="0"/>
              <w:numId w:val="1"/>
            </w:numPr>
            <w:tabs>
              <w:tab w:pos="563" w:val="left" w:leader="none"/>
              <w:tab w:pos="8990" w:val="right" w:leader="dot"/>
            </w:tabs>
            <w:spacing w:line="240" w:lineRule="auto" w:before="242" w:after="0"/>
            <w:ind w:left="562" w:right="0" w:hanging="403"/>
            <w:jc w:val="left"/>
          </w:pPr>
          <w:hyperlink w:history="true" w:anchor="_bookmark39">
            <w:r>
              <w:rPr/>
              <w:t>SUGERENCIAS</w:t>
              <w:tab/>
              <w:t>64</w:t>
            </w:r>
          </w:hyperlink>
        </w:p>
        <w:p>
          <w:pPr>
            <w:pStyle w:val="TOC1"/>
            <w:numPr>
              <w:ilvl w:val="0"/>
              <w:numId w:val="1"/>
            </w:numPr>
            <w:tabs>
              <w:tab w:pos="563" w:val="left" w:leader="none"/>
              <w:tab w:pos="8990" w:val="right" w:leader="dot"/>
            </w:tabs>
            <w:spacing w:line="240" w:lineRule="auto" w:before="243" w:after="0"/>
            <w:ind w:left="562" w:right="0" w:hanging="403"/>
            <w:jc w:val="left"/>
          </w:pPr>
          <w:hyperlink w:history="true" w:anchor="_bookmark40">
            <w:r>
              <w:rPr/>
              <w:t>LITERATURA</w:t>
            </w:r>
            <w:r>
              <w:rPr>
                <w:spacing w:val="-3"/>
              </w:rPr>
              <w:t> </w:t>
            </w:r>
            <w:r>
              <w:rPr/>
              <w:t>CITADA</w:t>
              <w:tab/>
              <w:t>65</w:t>
            </w:r>
          </w:hyperlink>
        </w:p>
      </w:sdtContent>
    </w:sdt>
    <w:p>
      <w:pPr>
        <w:spacing w:after="0" w:line="240" w:lineRule="auto"/>
        <w:jc w:val="left"/>
        <w:sectPr>
          <w:type w:val="continuous"/>
          <w:pgSz w:w="12240" w:h="15840"/>
          <w:pgMar w:top="1215" w:bottom="1984" w:left="1540" w:right="1540"/>
        </w:sectPr>
      </w:pPr>
    </w:p>
    <w:p>
      <w:pPr>
        <w:pStyle w:val="Heading3"/>
        <w:spacing w:before="279"/>
        <w:ind w:left="319" w:right="0"/>
      </w:pPr>
      <w:bookmarkStart w:name="_bookmark1" w:id="2"/>
      <w:bookmarkEnd w:id="2"/>
      <w:r>
        <w:rPr>
          <w:b w:val="0"/>
        </w:rPr>
      </w:r>
      <w:r>
        <w:rPr/>
        <w:t>INDICE DE ABREVIATURA</w:t>
      </w:r>
    </w:p>
    <w:p>
      <w:pPr>
        <w:pStyle w:val="BodyText"/>
        <w:rPr>
          <w:b/>
          <w:sz w:val="20"/>
        </w:rPr>
      </w:pPr>
    </w:p>
    <w:p>
      <w:pPr>
        <w:pStyle w:val="BodyText"/>
        <w:spacing w:before="4" w:after="1"/>
        <w:rPr>
          <w:b/>
          <w:sz w:val="28"/>
        </w:rPr>
      </w:pPr>
    </w:p>
    <w:tbl>
      <w:tblPr>
        <w:tblW w:w="0" w:type="auto"/>
        <w:jc w:val="left"/>
        <w:tblInd w:w="11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65"/>
        <w:gridCol w:w="6823"/>
      </w:tblGrid>
      <w:tr>
        <w:trPr>
          <w:trHeight w:val="326" w:hRule="exact"/>
        </w:trPr>
        <w:tc>
          <w:tcPr>
            <w:tcW w:w="1965" w:type="dxa"/>
          </w:tcPr>
          <w:p>
            <w:pPr>
              <w:pStyle w:val="TableParagraph"/>
              <w:spacing w:line="245" w:lineRule="exact"/>
              <w:rPr>
                <w:sz w:val="24"/>
              </w:rPr>
            </w:pPr>
            <w:r>
              <w:rPr>
                <w:sz w:val="24"/>
              </w:rPr>
              <w:t>ADN</w:t>
            </w:r>
          </w:p>
        </w:tc>
        <w:tc>
          <w:tcPr>
            <w:tcW w:w="6823" w:type="dxa"/>
          </w:tcPr>
          <w:p>
            <w:pPr>
              <w:pStyle w:val="TableParagraph"/>
              <w:spacing w:line="245" w:lineRule="exact"/>
              <w:ind w:left="900" w:right="179"/>
              <w:rPr>
                <w:sz w:val="24"/>
              </w:rPr>
            </w:pPr>
            <w:r>
              <w:rPr>
                <w:sz w:val="24"/>
              </w:rPr>
              <w:t>Acido desoxirribonucleico</w:t>
            </w:r>
          </w:p>
        </w:tc>
      </w:tr>
      <w:tr>
        <w:trPr>
          <w:trHeight w:val="413" w:hRule="exact"/>
        </w:trPr>
        <w:tc>
          <w:tcPr>
            <w:tcW w:w="1965" w:type="dxa"/>
          </w:tcPr>
          <w:p>
            <w:pPr>
              <w:pStyle w:val="TableParagraph"/>
              <w:spacing w:before="55"/>
              <w:rPr>
                <w:sz w:val="24"/>
              </w:rPr>
            </w:pPr>
            <w:r>
              <w:rPr>
                <w:sz w:val="24"/>
              </w:rPr>
              <w:t>Bac</w:t>
            </w:r>
          </w:p>
        </w:tc>
        <w:tc>
          <w:tcPr>
            <w:tcW w:w="6823" w:type="dxa"/>
          </w:tcPr>
          <w:p>
            <w:pPr>
              <w:pStyle w:val="TableParagraph"/>
              <w:spacing w:before="55"/>
              <w:ind w:left="900" w:right="179"/>
              <w:rPr>
                <w:sz w:val="24"/>
              </w:rPr>
            </w:pPr>
            <w:r>
              <w:rPr>
                <w:sz w:val="24"/>
              </w:rPr>
              <w:t>Bactenecina</w:t>
            </w:r>
          </w:p>
        </w:tc>
      </w:tr>
      <w:tr>
        <w:trPr>
          <w:trHeight w:val="830" w:hRule="exact"/>
        </w:trPr>
        <w:tc>
          <w:tcPr>
            <w:tcW w:w="1965" w:type="dxa"/>
          </w:tcPr>
          <w:p>
            <w:pPr>
              <w:pStyle w:val="TableParagraph"/>
              <w:spacing w:before="55"/>
              <w:rPr>
                <w:sz w:val="24"/>
              </w:rPr>
            </w:pPr>
            <w:r>
              <w:rPr>
                <w:sz w:val="24"/>
              </w:rPr>
              <w:t>Bcl-2</w:t>
            </w:r>
          </w:p>
        </w:tc>
        <w:tc>
          <w:tcPr>
            <w:tcW w:w="6823" w:type="dxa"/>
          </w:tcPr>
          <w:p>
            <w:pPr>
              <w:pStyle w:val="TableParagraph"/>
              <w:tabs>
                <w:tab w:pos="4237" w:val="left" w:leader="none"/>
              </w:tabs>
              <w:spacing w:line="362" w:lineRule="auto" w:before="55"/>
              <w:ind w:left="900" w:right="992"/>
              <w:rPr>
                <w:sz w:val="24"/>
              </w:rPr>
            </w:pPr>
            <w:r>
              <w:rPr>
                <w:sz w:val="24"/>
              </w:rPr>
              <w:t>Famillia de proteínas que regula el proceso</w:t>
            </w:r>
            <w:r>
              <w:rPr>
                <w:spacing w:val="-23"/>
                <w:sz w:val="24"/>
              </w:rPr>
              <w:t> </w:t>
            </w:r>
            <w:r>
              <w:rPr>
                <w:sz w:val="24"/>
              </w:rPr>
              <w:t>de permeabilización</w:t>
              <w:tab/>
              <w:t>mitocondrial</w:t>
            </w:r>
          </w:p>
        </w:tc>
      </w:tr>
      <w:tr>
        <w:trPr>
          <w:trHeight w:val="413" w:hRule="exact"/>
        </w:trPr>
        <w:tc>
          <w:tcPr>
            <w:tcW w:w="1965" w:type="dxa"/>
          </w:tcPr>
          <w:p>
            <w:pPr>
              <w:pStyle w:val="TableParagraph"/>
              <w:spacing w:before="55"/>
              <w:rPr>
                <w:sz w:val="24"/>
              </w:rPr>
            </w:pPr>
            <w:r>
              <w:rPr>
                <w:sz w:val="24"/>
              </w:rPr>
              <w:t>C3a</w:t>
            </w:r>
          </w:p>
        </w:tc>
        <w:tc>
          <w:tcPr>
            <w:tcW w:w="6823" w:type="dxa"/>
          </w:tcPr>
          <w:p>
            <w:pPr>
              <w:pStyle w:val="TableParagraph"/>
              <w:spacing w:before="55"/>
              <w:ind w:left="900" w:right="179"/>
              <w:rPr>
                <w:sz w:val="24"/>
              </w:rPr>
            </w:pPr>
            <w:r>
              <w:rPr>
                <w:sz w:val="24"/>
              </w:rPr>
              <w:t>Componente del complemento 3</w:t>
            </w:r>
          </w:p>
        </w:tc>
      </w:tr>
      <w:tr>
        <w:trPr>
          <w:trHeight w:val="413" w:hRule="exact"/>
        </w:trPr>
        <w:tc>
          <w:tcPr>
            <w:tcW w:w="1965" w:type="dxa"/>
          </w:tcPr>
          <w:p>
            <w:pPr>
              <w:pStyle w:val="TableParagraph"/>
              <w:spacing w:before="56"/>
              <w:rPr>
                <w:sz w:val="24"/>
              </w:rPr>
            </w:pPr>
            <w:r>
              <w:rPr>
                <w:sz w:val="24"/>
              </w:rPr>
              <w:t>C5a</w:t>
            </w:r>
          </w:p>
        </w:tc>
        <w:tc>
          <w:tcPr>
            <w:tcW w:w="6823" w:type="dxa"/>
          </w:tcPr>
          <w:p>
            <w:pPr>
              <w:pStyle w:val="TableParagraph"/>
              <w:spacing w:before="56"/>
              <w:ind w:left="900" w:right="179"/>
              <w:rPr>
                <w:sz w:val="24"/>
              </w:rPr>
            </w:pPr>
            <w:r>
              <w:rPr>
                <w:sz w:val="24"/>
              </w:rPr>
              <w:t>Componente del complemento 5</w:t>
            </w:r>
          </w:p>
        </w:tc>
      </w:tr>
      <w:tr>
        <w:trPr>
          <w:trHeight w:val="415" w:hRule="exact"/>
        </w:trPr>
        <w:tc>
          <w:tcPr>
            <w:tcW w:w="1965" w:type="dxa"/>
          </w:tcPr>
          <w:p>
            <w:pPr>
              <w:pStyle w:val="TableParagraph"/>
              <w:spacing w:before="55"/>
              <w:rPr>
                <w:sz w:val="24"/>
              </w:rPr>
            </w:pPr>
            <w:r>
              <w:rPr>
                <w:sz w:val="24"/>
              </w:rPr>
              <w:t>CARD</w:t>
            </w:r>
          </w:p>
        </w:tc>
        <w:tc>
          <w:tcPr>
            <w:tcW w:w="6823" w:type="dxa"/>
          </w:tcPr>
          <w:p>
            <w:pPr>
              <w:pStyle w:val="TableParagraph"/>
              <w:spacing w:before="55"/>
              <w:ind w:left="900" w:right="179"/>
              <w:rPr>
                <w:sz w:val="24"/>
              </w:rPr>
            </w:pPr>
            <w:r>
              <w:rPr>
                <w:sz w:val="24"/>
              </w:rPr>
              <w:t>Dominio de Reclutamiento de Caspasas</w:t>
            </w:r>
          </w:p>
        </w:tc>
      </w:tr>
      <w:tr>
        <w:trPr>
          <w:trHeight w:val="415" w:hRule="exact"/>
        </w:trPr>
        <w:tc>
          <w:tcPr>
            <w:tcW w:w="1965" w:type="dxa"/>
          </w:tcPr>
          <w:p>
            <w:pPr>
              <w:pStyle w:val="TableParagraph"/>
              <w:spacing w:before="58"/>
              <w:rPr>
                <w:sz w:val="24"/>
              </w:rPr>
            </w:pPr>
            <w:r>
              <w:rPr>
                <w:sz w:val="24"/>
              </w:rPr>
              <w:t>CC</w:t>
            </w:r>
          </w:p>
        </w:tc>
        <w:tc>
          <w:tcPr>
            <w:tcW w:w="6823" w:type="dxa"/>
          </w:tcPr>
          <w:p>
            <w:pPr>
              <w:pStyle w:val="TableParagraph"/>
              <w:spacing w:before="58"/>
              <w:ind w:left="900" w:right="179"/>
              <w:rPr>
                <w:i/>
                <w:sz w:val="24"/>
              </w:rPr>
            </w:pPr>
            <w:r>
              <w:rPr>
                <w:sz w:val="24"/>
              </w:rPr>
              <w:t>Cepa compacta de </w:t>
            </w:r>
            <w:r>
              <w:rPr>
                <w:i/>
                <w:sz w:val="24"/>
              </w:rPr>
              <w:t>S. aureus</w:t>
            </w:r>
          </w:p>
        </w:tc>
      </w:tr>
      <w:tr>
        <w:trPr>
          <w:trHeight w:val="413" w:hRule="exact"/>
        </w:trPr>
        <w:tc>
          <w:tcPr>
            <w:tcW w:w="1965" w:type="dxa"/>
          </w:tcPr>
          <w:p>
            <w:pPr>
              <w:pStyle w:val="TableParagraph"/>
              <w:spacing w:before="55"/>
              <w:rPr>
                <w:sz w:val="24"/>
              </w:rPr>
            </w:pPr>
            <w:r>
              <w:rPr>
                <w:sz w:val="24"/>
              </w:rPr>
              <w:t>CCS</w:t>
            </w:r>
          </w:p>
        </w:tc>
        <w:tc>
          <w:tcPr>
            <w:tcW w:w="6823" w:type="dxa"/>
          </w:tcPr>
          <w:p>
            <w:pPr>
              <w:pStyle w:val="TableParagraph"/>
              <w:spacing w:before="55"/>
              <w:ind w:left="900" w:right="179"/>
              <w:rPr>
                <w:sz w:val="24"/>
              </w:rPr>
            </w:pPr>
            <w:r>
              <w:rPr>
                <w:sz w:val="24"/>
              </w:rPr>
              <w:t>Conteo de Células Somáticas</w:t>
            </w:r>
          </w:p>
        </w:tc>
      </w:tr>
      <w:tr>
        <w:trPr>
          <w:trHeight w:val="1244" w:hRule="exact"/>
        </w:trPr>
        <w:tc>
          <w:tcPr>
            <w:tcW w:w="1965" w:type="dxa"/>
          </w:tcPr>
          <w:p>
            <w:pPr>
              <w:pStyle w:val="TableParagraph"/>
              <w:spacing w:before="56"/>
              <w:rPr>
                <w:sz w:val="24"/>
              </w:rPr>
            </w:pPr>
            <w:r>
              <w:rPr>
                <w:sz w:val="24"/>
              </w:rPr>
              <w:t>CD62L</w:t>
            </w:r>
          </w:p>
        </w:tc>
        <w:tc>
          <w:tcPr>
            <w:tcW w:w="6823" w:type="dxa"/>
          </w:tcPr>
          <w:p>
            <w:pPr>
              <w:pStyle w:val="TableParagraph"/>
              <w:spacing w:line="360" w:lineRule="auto" w:before="56"/>
              <w:ind w:left="900" w:right="179"/>
              <w:rPr>
                <w:sz w:val="24"/>
              </w:rPr>
            </w:pPr>
            <w:r>
              <w:rPr>
                <w:sz w:val="24"/>
              </w:rPr>
              <w:t>Selectina L, receptores de adhesión expresados en la membrana de granulocitos, monocitos y linfocitos de sangre venosa periférica.</w:t>
            </w:r>
          </w:p>
        </w:tc>
      </w:tr>
      <w:tr>
        <w:trPr>
          <w:trHeight w:val="826" w:hRule="exact"/>
        </w:trPr>
        <w:tc>
          <w:tcPr>
            <w:tcW w:w="1965" w:type="dxa"/>
          </w:tcPr>
          <w:p>
            <w:pPr>
              <w:pStyle w:val="TableParagraph"/>
              <w:spacing w:before="55"/>
              <w:rPr>
                <w:sz w:val="24"/>
              </w:rPr>
            </w:pPr>
            <w:r>
              <w:rPr>
                <w:sz w:val="24"/>
              </w:rPr>
              <w:t>CD62P</w:t>
            </w:r>
          </w:p>
        </w:tc>
        <w:tc>
          <w:tcPr>
            <w:tcW w:w="6823" w:type="dxa"/>
          </w:tcPr>
          <w:p>
            <w:pPr>
              <w:pStyle w:val="TableParagraph"/>
              <w:spacing w:line="360" w:lineRule="auto" w:before="55"/>
              <w:ind w:left="900" w:right="179"/>
              <w:rPr>
                <w:sz w:val="24"/>
              </w:rPr>
            </w:pPr>
            <w:r>
              <w:rPr>
                <w:sz w:val="24"/>
              </w:rPr>
              <w:t>Selectina P, receptores de adhesión de células endoteliales y plaquetas</w:t>
            </w:r>
          </w:p>
        </w:tc>
      </w:tr>
      <w:tr>
        <w:trPr>
          <w:trHeight w:val="415" w:hRule="exact"/>
        </w:trPr>
        <w:tc>
          <w:tcPr>
            <w:tcW w:w="1965" w:type="dxa"/>
          </w:tcPr>
          <w:p>
            <w:pPr>
              <w:pStyle w:val="TableParagraph"/>
              <w:spacing w:before="55"/>
              <w:rPr>
                <w:sz w:val="24"/>
              </w:rPr>
            </w:pPr>
            <w:r>
              <w:rPr>
                <w:sz w:val="24"/>
              </w:rPr>
              <w:t>CFA</w:t>
            </w:r>
          </w:p>
        </w:tc>
        <w:tc>
          <w:tcPr>
            <w:tcW w:w="6823" w:type="dxa"/>
          </w:tcPr>
          <w:p>
            <w:pPr>
              <w:pStyle w:val="TableParagraph"/>
              <w:spacing w:before="55"/>
              <w:ind w:left="900" w:right="179"/>
              <w:rPr>
                <w:sz w:val="24"/>
              </w:rPr>
            </w:pPr>
            <w:r>
              <w:rPr>
                <w:sz w:val="24"/>
              </w:rPr>
              <w:t>Capacidad de fagocitosis</w:t>
            </w:r>
          </w:p>
        </w:tc>
      </w:tr>
      <w:tr>
        <w:trPr>
          <w:trHeight w:val="415" w:hRule="exact"/>
        </w:trPr>
        <w:tc>
          <w:tcPr>
            <w:tcW w:w="1965" w:type="dxa"/>
          </w:tcPr>
          <w:p>
            <w:pPr>
              <w:pStyle w:val="TableParagraph"/>
              <w:spacing w:before="58"/>
              <w:rPr>
                <w:sz w:val="24"/>
              </w:rPr>
            </w:pPr>
            <w:r>
              <w:rPr>
                <w:sz w:val="24"/>
              </w:rPr>
              <w:t>CP</w:t>
            </w:r>
          </w:p>
        </w:tc>
        <w:tc>
          <w:tcPr>
            <w:tcW w:w="6823" w:type="dxa"/>
          </w:tcPr>
          <w:p>
            <w:pPr>
              <w:pStyle w:val="TableParagraph"/>
              <w:spacing w:before="58"/>
              <w:ind w:left="900" w:right="179"/>
              <w:rPr>
                <w:sz w:val="24"/>
              </w:rPr>
            </w:pPr>
            <w:r>
              <w:rPr>
                <w:sz w:val="24"/>
              </w:rPr>
              <w:t>Polisacárido capsular</w:t>
            </w:r>
          </w:p>
        </w:tc>
      </w:tr>
      <w:tr>
        <w:trPr>
          <w:trHeight w:val="413" w:hRule="exact"/>
        </w:trPr>
        <w:tc>
          <w:tcPr>
            <w:tcW w:w="1965" w:type="dxa"/>
          </w:tcPr>
          <w:p>
            <w:pPr>
              <w:pStyle w:val="TableParagraph"/>
              <w:spacing w:before="55"/>
              <w:rPr>
                <w:sz w:val="24"/>
              </w:rPr>
            </w:pPr>
            <w:r>
              <w:rPr>
                <w:sz w:val="24"/>
              </w:rPr>
              <w:t>CP5</w:t>
            </w:r>
          </w:p>
        </w:tc>
        <w:tc>
          <w:tcPr>
            <w:tcW w:w="6823" w:type="dxa"/>
          </w:tcPr>
          <w:p>
            <w:pPr>
              <w:pStyle w:val="TableParagraph"/>
              <w:spacing w:before="55"/>
              <w:ind w:left="900" w:right="179"/>
              <w:rPr>
                <w:i/>
                <w:sz w:val="24"/>
              </w:rPr>
            </w:pPr>
            <w:r>
              <w:rPr>
                <w:sz w:val="24"/>
              </w:rPr>
              <w:t>Serotipo capsular 5 de </w:t>
            </w:r>
            <w:r>
              <w:rPr>
                <w:i/>
                <w:sz w:val="24"/>
              </w:rPr>
              <w:t>S. aureus</w:t>
            </w:r>
          </w:p>
        </w:tc>
      </w:tr>
      <w:tr>
        <w:trPr>
          <w:trHeight w:val="413" w:hRule="exact"/>
        </w:trPr>
        <w:tc>
          <w:tcPr>
            <w:tcW w:w="1965" w:type="dxa"/>
          </w:tcPr>
          <w:p>
            <w:pPr>
              <w:pStyle w:val="TableParagraph"/>
              <w:spacing w:before="56"/>
              <w:rPr>
                <w:sz w:val="24"/>
              </w:rPr>
            </w:pPr>
            <w:r>
              <w:rPr>
                <w:sz w:val="24"/>
              </w:rPr>
              <w:t>CP8</w:t>
            </w:r>
          </w:p>
        </w:tc>
        <w:tc>
          <w:tcPr>
            <w:tcW w:w="6823" w:type="dxa"/>
          </w:tcPr>
          <w:p>
            <w:pPr>
              <w:pStyle w:val="TableParagraph"/>
              <w:spacing w:before="56"/>
              <w:ind w:left="900" w:right="179"/>
              <w:rPr>
                <w:i/>
                <w:sz w:val="24"/>
              </w:rPr>
            </w:pPr>
            <w:r>
              <w:rPr>
                <w:sz w:val="24"/>
              </w:rPr>
              <w:t>Serotipo capsular 8 de </w:t>
            </w:r>
            <w:r>
              <w:rPr>
                <w:i/>
                <w:sz w:val="24"/>
              </w:rPr>
              <w:t>S. aureus</w:t>
            </w:r>
          </w:p>
        </w:tc>
      </w:tr>
      <w:tr>
        <w:trPr>
          <w:trHeight w:val="415" w:hRule="exact"/>
        </w:trPr>
        <w:tc>
          <w:tcPr>
            <w:tcW w:w="1965" w:type="dxa"/>
          </w:tcPr>
          <w:p>
            <w:pPr>
              <w:pStyle w:val="TableParagraph"/>
              <w:spacing w:before="55"/>
              <w:rPr>
                <w:sz w:val="24"/>
              </w:rPr>
            </w:pPr>
            <w:r>
              <w:rPr>
                <w:sz w:val="24"/>
              </w:rPr>
              <w:t>CR1</w:t>
            </w:r>
          </w:p>
        </w:tc>
        <w:tc>
          <w:tcPr>
            <w:tcW w:w="6823" w:type="dxa"/>
          </w:tcPr>
          <w:p>
            <w:pPr>
              <w:pStyle w:val="TableParagraph"/>
              <w:spacing w:before="55"/>
              <w:ind w:left="900" w:right="179"/>
              <w:rPr>
                <w:sz w:val="24"/>
              </w:rPr>
            </w:pPr>
            <w:r>
              <w:rPr>
                <w:sz w:val="24"/>
              </w:rPr>
              <w:t>Receptor de complemento tipo 1</w:t>
            </w:r>
          </w:p>
        </w:tc>
      </w:tr>
      <w:tr>
        <w:trPr>
          <w:trHeight w:val="415" w:hRule="exact"/>
        </w:trPr>
        <w:tc>
          <w:tcPr>
            <w:tcW w:w="1965" w:type="dxa"/>
          </w:tcPr>
          <w:p>
            <w:pPr>
              <w:pStyle w:val="TableParagraph"/>
              <w:spacing w:before="58"/>
              <w:rPr>
                <w:sz w:val="24"/>
              </w:rPr>
            </w:pPr>
            <w:r>
              <w:rPr>
                <w:sz w:val="24"/>
              </w:rPr>
              <w:t>CR3</w:t>
            </w:r>
          </w:p>
        </w:tc>
        <w:tc>
          <w:tcPr>
            <w:tcW w:w="6823" w:type="dxa"/>
          </w:tcPr>
          <w:p>
            <w:pPr>
              <w:pStyle w:val="TableParagraph"/>
              <w:spacing w:before="58"/>
              <w:ind w:left="900" w:right="179"/>
              <w:rPr>
                <w:sz w:val="24"/>
              </w:rPr>
            </w:pPr>
            <w:r>
              <w:rPr>
                <w:sz w:val="24"/>
              </w:rPr>
              <w:t>Receptor para el complemento tipo 3</w:t>
            </w:r>
          </w:p>
        </w:tc>
      </w:tr>
      <w:tr>
        <w:trPr>
          <w:trHeight w:val="413" w:hRule="exact"/>
        </w:trPr>
        <w:tc>
          <w:tcPr>
            <w:tcW w:w="1965" w:type="dxa"/>
          </w:tcPr>
          <w:p>
            <w:pPr>
              <w:pStyle w:val="TableParagraph"/>
              <w:spacing w:before="55"/>
              <w:rPr>
                <w:sz w:val="24"/>
              </w:rPr>
            </w:pPr>
            <w:r>
              <w:rPr>
                <w:sz w:val="24"/>
              </w:rPr>
              <w:t>DD</w:t>
            </w:r>
          </w:p>
        </w:tc>
        <w:tc>
          <w:tcPr>
            <w:tcW w:w="6823" w:type="dxa"/>
          </w:tcPr>
          <w:p>
            <w:pPr>
              <w:pStyle w:val="TableParagraph"/>
              <w:spacing w:before="55"/>
              <w:ind w:left="900" w:right="179"/>
              <w:rPr>
                <w:sz w:val="24"/>
              </w:rPr>
            </w:pPr>
            <w:r>
              <w:rPr>
                <w:sz w:val="24"/>
              </w:rPr>
              <w:t>Dominio de muerte</w:t>
            </w:r>
          </w:p>
        </w:tc>
      </w:tr>
      <w:tr>
        <w:trPr>
          <w:trHeight w:val="413" w:hRule="exact"/>
        </w:trPr>
        <w:tc>
          <w:tcPr>
            <w:tcW w:w="1965" w:type="dxa"/>
          </w:tcPr>
          <w:p>
            <w:pPr>
              <w:pStyle w:val="TableParagraph"/>
              <w:spacing w:before="56"/>
              <w:rPr>
                <w:sz w:val="24"/>
              </w:rPr>
            </w:pPr>
            <w:r>
              <w:rPr>
                <w:sz w:val="24"/>
              </w:rPr>
              <w:t>DED</w:t>
            </w:r>
          </w:p>
        </w:tc>
        <w:tc>
          <w:tcPr>
            <w:tcW w:w="6823" w:type="dxa"/>
          </w:tcPr>
          <w:p>
            <w:pPr>
              <w:pStyle w:val="TableParagraph"/>
              <w:spacing w:before="56"/>
              <w:ind w:left="900" w:right="179"/>
              <w:rPr>
                <w:sz w:val="24"/>
              </w:rPr>
            </w:pPr>
            <w:r>
              <w:rPr>
                <w:sz w:val="24"/>
              </w:rPr>
              <w:t>Dominio efector de la muerte</w:t>
            </w:r>
          </w:p>
        </w:tc>
      </w:tr>
      <w:tr>
        <w:trPr>
          <w:trHeight w:val="415" w:hRule="exact"/>
        </w:trPr>
        <w:tc>
          <w:tcPr>
            <w:tcW w:w="1965" w:type="dxa"/>
          </w:tcPr>
          <w:p>
            <w:pPr>
              <w:pStyle w:val="TableParagraph"/>
              <w:spacing w:before="55"/>
              <w:rPr>
                <w:sz w:val="24"/>
              </w:rPr>
            </w:pPr>
            <w:r>
              <w:rPr>
                <w:sz w:val="24"/>
              </w:rPr>
              <w:t>ELAM-1</w:t>
            </w:r>
          </w:p>
        </w:tc>
        <w:tc>
          <w:tcPr>
            <w:tcW w:w="6823" w:type="dxa"/>
          </w:tcPr>
          <w:p>
            <w:pPr>
              <w:pStyle w:val="TableParagraph"/>
              <w:spacing w:before="55"/>
              <w:ind w:left="900" w:right="179"/>
              <w:rPr>
                <w:sz w:val="24"/>
              </w:rPr>
            </w:pPr>
            <w:r>
              <w:rPr>
                <w:sz w:val="24"/>
              </w:rPr>
              <w:t>Molécula de adhesión Endotelial</w:t>
            </w:r>
          </w:p>
        </w:tc>
      </w:tr>
      <w:tr>
        <w:trPr>
          <w:trHeight w:val="415" w:hRule="exact"/>
        </w:trPr>
        <w:tc>
          <w:tcPr>
            <w:tcW w:w="1965" w:type="dxa"/>
          </w:tcPr>
          <w:p>
            <w:pPr>
              <w:pStyle w:val="TableParagraph"/>
              <w:spacing w:before="58"/>
              <w:rPr>
                <w:sz w:val="24"/>
              </w:rPr>
            </w:pPr>
            <w:r>
              <w:rPr>
                <w:sz w:val="24"/>
              </w:rPr>
              <w:t>FADD</w:t>
            </w:r>
          </w:p>
        </w:tc>
        <w:tc>
          <w:tcPr>
            <w:tcW w:w="6823" w:type="dxa"/>
          </w:tcPr>
          <w:p>
            <w:pPr>
              <w:pStyle w:val="TableParagraph"/>
              <w:spacing w:before="58"/>
              <w:ind w:left="900" w:right="179"/>
              <w:rPr>
                <w:sz w:val="24"/>
              </w:rPr>
            </w:pPr>
            <w:r>
              <w:rPr>
                <w:sz w:val="24"/>
              </w:rPr>
              <w:t>Dominio de muerte asociado a Fas</w:t>
            </w:r>
          </w:p>
        </w:tc>
      </w:tr>
      <w:tr>
        <w:trPr>
          <w:trHeight w:val="413" w:hRule="exact"/>
        </w:trPr>
        <w:tc>
          <w:tcPr>
            <w:tcW w:w="1965" w:type="dxa"/>
          </w:tcPr>
          <w:p>
            <w:pPr>
              <w:pStyle w:val="TableParagraph"/>
              <w:spacing w:before="55"/>
              <w:rPr>
                <w:sz w:val="24"/>
              </w:rPr>
            </w:pPr>
            <w:r>
              <w:rPr>
                <w:sz w:val="24"/>
              </w:rPr>
              <w:t>Fc</w:t>
            </w:r>
          </w:p>
        </w:tc>
        <w:tc>
          <w:tcPr>
            <w:tcW w:w="6823" w:type="dxa"/>
          </w:tcPr>
          <w:p>
            <w:pPr>
              <w:pStyle w:val="TableParagraph"/>
              <w:spacing w:before="55"/>
              <w:ind w:left="900" w:right="179"/>
              <w:rPr>
                <w:sz w:val="24"/>
              </w:rPr>
            </w:pPr>
            <w:r>
              <w:rPr>
                <w:sz w:val="24"/>
              </w:rPr>
              <w:t>Fragmento cristalizable de las inmunoglobulinas</w:t>
            </w:r>
          </w:p>
        </w:tc>
      </w:tr>
      <w:tr>
        <w:trPr>
          <w:trHeight w:val="413" w:hRule="exact"/>
        </w:trPr>
        <w:tc>
          <w:tcPr>
            <w:tcW w:w="1965" w:type="dxa"/>
          </w:tcPr>
          <w:p>
            <w:pPr>
              <w:pStyle w:val="TableParagraph"/>
              <w:spacing w:before="56"/>
              <w:rPr>
                <w:sz w:val="24"/>
              </w:rPr>
            </w:pPr>
            <w:r>
              <w:rPr>
                <w:sz w:val="24"/>
              </w:rPr>
              <w:t>FCR</w:t>
            </w:r>
          </w:p>
        </w:tc>
        <w:tc>
          <w:tcPr>
            <w:tcW w:w="6823" w:type="dxa"/>
          </w:tcPr>
          <w:p>
            <w:pPr>
              <w:pStyle w:val="TableParagraph"/>
              <w:spacing w:before="56"/>
              <w:ind w:left="900" w:right="179"/>
              <w:rPr>
                <w:sz w:val="24"/>
              </w:rPr>
            </w:pPr>
            <w:r>
              <w:rPr>
                <w:sz w:val="24"/>
              </w:rPr>
              <w:t>Receptor para FC</w:t>
            </w:r>
          </w:p>
        </w:tc>
      </w:tr>
      <w:tr>
        <w:trPr>
          <w:trHeight w:val="340" w:hRule="exact"/>
        </w:trPr>
        <w:tc>
          <w:tcPr>
            <w:tcW w:w="1965" w:type="dxa"/>
          </w:tcPr>
          <w:p>
            <w:pPr>
              <w:pStyle w:val="TableParagraph"/>
              <w:spacing w:before="55"/>
              <w:rPr>
                <w:sz w:val="16"/>
                <w:szCs w:val="16"/>
              </w:rPr>
            </w:pPr>
            <w:r>
              <w:rPr>
                <w:sz w:val="24"/>
                <w:szCs w:val="24"/>
              </w:rPr>
              <w:t>Fcᵧ</w:t>
            </w:r>
            <w:r>
              <w:rPr>
                <w:position w:val="-2"/>
                <w:sz w:val="16"/>
                <w:szCs w:val="16"/>
              </w:rPr>
              <w:t>2</w:t>
            </w:r>
          </w:p>
        </w:tc>
        <w:tc>
          <w:tcPr>
            <w:tcW w:w="6823" w:type="dxa"/>
          </w:tcPr>
          <w:p>
            <w:pPr>
              <w:pStyle w:val="TableParagraph"/>
              <w:spacing w:before="55"/>
              <w:ind w:left="900" w:right="179"/>
              <w:rPr>
                <w:sz w:val="24"/>
              </w:rPr>
            </w:pPr>
            <w:r>
              <w:rPr>
                <w:sz w:val="24"/>
              </w:rPr>
              <w:t>Receptor IgG</w:t>
            </w:r>
          </w:p>
        </w:tc>
      </w:tr>
    </w:tbl>
    <w:p>
      <w:pPr>
        <w:spacing w:after="0"/>
        <w:rPr>
          <w:sz w:val="24"/>
        </w:rPr>
        <w:sectPr>
          <w:footerReference w:type="default" r:id="rId9"/>
          <w:pgSz w:w="12240" w:h="15840"/>
          <w:pgMar w:footer="1527" w:header="726" w:top="1200" w:bottom="1720" w:left="1380" w:right="1540"/>
          <w:pgNumType w:start="10"/>
        </w:sectPr>
      </w:pPr>
    </w:p>
    <w:p>
      <w:pPr>
        <w:pStyle w:val="BodyText"/>
        <w:spacing w:before="3"/>
        <w:rPr>
          <w:rFonts w:ascii="Times New Roman"/>
          <w:sz w:val="5"/>
        </w:rPr>
      </w:pPr>
    </w:p>
    <w:tbl>
      <w:tblPr>
        <w:tblW w:w="0" w:type="auto"/>
        <w:jc w:val="left"/>
        <w:tblInd w:w="1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29"/>
        <w:gridCol w:w="6669"/>
      </w:tblGrid>
      <w:tr>
        <w:trPr>
          <w:trHeight w:val="612" w:hRule="exact"/>
        </w:trPr>
        <w:tc>
          <w:tcPr>
            <w:tcW w:w="2229" w:type="dxa"/>
            <w:tcBorders>
              <w:left w:val="nil"/>
              <w:bottom w:val="nil"/>
              <w:right w:val="nil"/>
            </w:tcBorders>
          </w:tcPr>
          <w:p>
            <w:pPr>
              <w:pStyle w:val="TableParagraph"/>
              <w:spacing w:before="8"/>
              <w:ind w:left="0"/>
              <w:rPr>
                <w:rFonts w:ascii="Times New Roman"/>
                <w:sz w:val="21"/>
              </w:rPr>
            </w:pPr>
          </w:p>
          <w:p>
            <w:pPr>
              <w:pStyle w:val="TableParagraph"/>
              <w:ind w:left="28"/>
              <w:rPr>
                <w:sz w:val="24"/>
              </w:rPr>
            </w:pPr>
            <w:r>
              <w:rPr>
                <w:sz w:val="24"/>
              </w:rPr>
              <w:t>FITC</w:t>
            </w:r>
          </w:p>
        </w:tc>
        <w:tc>
          <w:tcPr>
            <w:tcW w:w="6669" w:type="dxa"/>
            <w:tcBorders>
              <w:left w:val="nil"/>
              <w:bottom w:val="nil"/>
              <w:right w:val="nil"/>
            </w:tcBorders>
          </w:tcPr>
          <w:p>
            <w:pPr>
              <w:pStyle w:val="TableParagraph"/>
              <w:spacing w:before="8"/>
              <w:ind w:left="0"/>
              <w:rPr>
                <w:rFonts w:ascii="Times New Roman"/>
                <w:sz w:val="21"/>
              </w:rPr>
            </w:pPr>
          </w:p>
          <w:p>
            <w:pPr>
              <w:pStyle w:val="TableParagraph"/>
              <w:ind w:left="464"/>
              <w:rPr>
                <w:sz w:val="24"/>
              </w:rPr>
            </w:pPr>
            <w:r>
              <w:rPr>
                <w:sz w:val="24"/>
              </w:rPr>
              <w:t>Isotiocinato de fluoresceina</w:t>
            </w:r>
          </w:p>
        </w:tc>
      </w:tr>
      <w:tr>
        <w:trPr>
          <w:trHeight w:val="419" w:hRule="exact"/>
        </w:trPr>
        <w:tc>
          <w:tcPr>
            <w:tcW w:w="2229" w:type="dxa"/>
            <w:tcBorders>
              <w:top w:val="nil"/>
              <w:left w:val="nil"/>
              <w:bottom w:val="nil"/>
              <w:right w:val="nil"/>
            </w:tcBorders>
          </w:tcPr>
          <w:p>
            <w:pPr>
              <w:pStyle w:val="TableParagraph"/>
              <w:spacing w:before="55"/>
              <w:ind w:left="28"/>
              <w:rPr>
                <w:sz w:val="16"/>
              </w:rPr>
            </w:pPr>
            <w:r>
              <w:rPr>
                <w:sz w:val="24"/>
              </w:rPr>
              <w:t>H</w:t>
            </w:r>
            <w:r>
              <w:rPr>
                <w:position w:val="-2"/>
                <w:sz w:val="16"/>
              </w:rPr>
              <w:t>2</w:t>
            </w:r>
            <w:r>
              <w:rPr>
                <w:sz w:val="24"/>
              </w:rPr>
              <w:t>O</w:t>
            </w:r>
            <w:r>
              <w:rPr>
                <w:position w:val="-2"/>
                <w:sz w:val="16"/>
              </w:rPr>
              <w:t>2</w:t>
            </w:r>
          </w:p>
        </w:tc>
        <w:tc>
          <w:tcPr>
            <w:tcW w:w="6669" w:type="dxa"/>
            <w:tcBorders>
              <w:top w:val="nil"/>
              <w:left w:val="nil"/>
              <w:bottom w:val="nil"/>
              <w:right w:val="nil"/>
            </w:tcBorders>
          </w:tcPr>
          <w:p>
            <w:pPr>
              <w:pStyle w:val="TableParagraph"/>
              <w:spacing w:before="55"/>
              <w:ind w:left="508"/>
              <w:rPr>
                <w:sz w:val="24"/>
              </w:rPr>
            </w:pPr>
            <w:r>
              <w:rPr>
                <w:sz w:val="24"/>
              </w:rPr>
              <w:t>Peróxido de hidrógeno</w:t>
            </w:r>
          </w:p>
        </w:tc>
      </w:tr>
      <w:tr>
        <w:trPr>
          <w:trHeight w:val="409" w:hRule="exact"/>
        </w:trPr>
        <w:tc>
          <w:tcPr>
            <w:tcW w:w="2229" w:type="dxa"/>
            <w:tcBorders>
              <w:top w:val="nil"/>
              <w:left w:val="nil"/>
              <w:bottom w:val="nil"/>
              <w:right w:val="nil"/>
            </w:tcBorders>
          </w:tcPr>
          <w:p>
            <w:pPr>
              <w:pStyle w:val="TableParagraph"/>
              <w:spacing w:before="49"/>
              <w:ind w:left="28"/>
              <w:rPr>
                <w:sz w:val="24"/>
              </w:rPr>
            </w:pPr>
            <w:r>
              <w:rPr>
                <w:sz w:val="24"/>
              </w:rPr>
              <w:t>ICAM-1</w:t>
            </w:r>
          </w:p>
        </w:tc>
        <w:tc>
          <w:tcPr>
            <w:tcW w:w="6669" w:type="dxa"/>
            <w:tcBorders>
              <w:top w:val="nil"/>
              <w:left w:val="nil"/>
              <w:bottom w:val="nil"/>
              <w:right w:val="nil"/>
            </w:tcBorders>
          </w:tcPr>
          <w:p>
            <w:pPr>
              <w:pStyle w:val="TableParagraph"/>
              <w:spacing w:before="49"/>
              <w:ind w:left="464"/>
              <w:rPr>
                <w:sz w:val="24"/>
              </w:rPr>
            </w:pPr>
            <w:r>
              <w:rPr>
                <w:sz w:val="24"/>
              </w:rPr>
              <w:t>Molécula de adhesión intracelular</w:t>
            </w:r>
          </w:p>
        </w:tc>
      </w:tr>
      <w:tr>
        <w:trPr>
          <w:trHeight w:val="415" w:hRule="exact"/>
        </w:trPr>
        <w:tc>
          <w:tcPr>
            <w:tcW w:w="2229" w:type="dxa"/>
            <w:tcBorders>
              <w:top w:val="nil"/>
              <w:left w:val="nil"/>
              <w:bottom w:val="nil"/>
              <w:right w:val="nil"/>
            </w:tcBorders>
          </w:tcPr>
          <w:p>
            <w:pPr>
              <w:pStyle w:val="TableParagraph"/>
              <w:spacing w:before="58"/>
              <w:ind w:left="28"/>
              <w:rPr>
                <w:sz w:val="24"/>
              </w:rPr>
            </w:pPr>
            <w:r>
              <w:rPr>
                <w:sz w:val="24"/>
              </w:rPr>
              <w:t>IFA</w:t>
            </w:r>
          </w:p>
        </w:tc>
        <w:tc>
          <w:tcPr>
            <w:tcW w:w="6669" w:type="dxa"/>
            <w:tcBorders>
              <w:top w:val="nil"/>
              <w:left w:val="nil"/>
              <w:bottom w:val="nil"/>
              <w:right w:val="nil"/>
            </w:tcBorders>
          </w:tcPr>
          <w:p>
            <w:pPr>
              <w:pStyle w:val="TableParagraph"/>
              <w:spacing w:before="58"/>
              <w:ind w:left="464"/>
              <w:rPr>
                <w:sz w:val="24"/>
              </w:rPr>
            </w:pPr>
            <w:r>
              <w:rPr>
                <w:sz w:val="24"/>
              </w:rPr>
              <w:t>Índice de fagocitosis de neutrófilos bovinos</w:t>
            </w:r>
          </w:p>
        </w:tc>
      </w:tr>
      <w:tr>
        <w:trPr>
          <w:trHeight w:val="419" w:hRule="exact"/>
        </w:trPr>
        <w:tc>
          <w:tcPr>
            <w:tcW w:w="2229" w:type="dxa"/>
            <w:tcBorders>
              <w:top w:val="nil"/>
              <w:left w:val="nil"/>
              <w:bottom w:val="nil"/>
              <w:right w:val="nil"/>
            </w:tcBorders>
          </w:tcPr>
          <w:p>
            <w:pPr>
              <w:pStyle w:val="TableParagraph"/>
              <w:spacing w:before="55"/>
              <w:ind w:left="28"/>
              <w:rPr>
                <w:sz w:val="16"/>
              </w:rPr>
            </w:pPr>
            <w:r>
              <w:rPr>
                <w:sz w:val="24"/>
              </w:rPr>
              <w:t>IgG</w:t>
            </w:r>
            <w:r>
              <w:rPr>
                <w:position w:val="-2"/>
                <w:sz w:val="16"/>
              </w:rPr>
              <w:t>2</w:t>
            </w:r>
          </w:p>
        </w:tc>
        <w:tc>
          <w:tcPr>
            <w:tcW w:w="6669" w:type="dxa"/>
            <w:tcBorders>
              <w:top w:val="nil"/>
              <w:left w:val="nil"/>
              <w:bottom w:val="nil"/>
              <w:right w:val="nil"/>
            </w:tcBorders>
          </w:tcPr>
          <w:p>
            <w:pPr>
              <w:pStyle w:val="TableParagraph"/>
              <w:spacing w:before="55"/>
              <w:ind w:left="464"/>
              <w:rPr>
                <w:sz w:val="16"/>
              </w:rPr>
            </w:pPr>
            <w:r>
              <w:rPr>
                <w:sz w:val="24"/>
              </w:rPr>
              <w:t>Inmunoglobulina isotipo G</w:t>
            </w:r>
            <w:r>
              <w:rPr>
                <w:position w:val="-2"/>
                <w:sz w:val="16"/>
              </w:rPr>
              <w:t>2</w:t>
            </w:r>
          </w:p>
        </w:tc>
      </w:tr>
      <w:tr>
        <w:trPr>
          <w:trHeight w:val="406" w:hRule="exact"/>
        </w:trPr>
        <w:tc>
          <w:tcPr>
            <w:tcW w:w="2229" w:type="dxa"/>
            <w:tcBorders>
              <w:top w:val="nil"/>
              <w:left w:val="nil"/>
              <w:bottom w:val="nil"/>
              <w:right w:val="nil"/>
            </w:tcBorders>
          </w:tcPr>
          <w:p>
            <w:pPr>
              <w:pStyle w:val="TableParagraph"/>
              <w:spacing w:before="49"/>
              <w:ind w:left="28"/>
              <w:rPr>
                <w:sz w:val="24"/>
              </w:rPr>
            </w:pPr>
            <w:r>
              <w:rPr>
                <w:sz w:val="24"/>
              </w:rPr>
              <w:t>IL</w:t>
            </w:r>
          </w:p>
        </w:tc>
        <w:tc>
          <w:tcPr>
            <w:tcW w:w="6669" w:type="dxa"/>
            <w:tcBorders>
              <w:top w:val="nil"/>
              <w:left w:val="nil"/>
              <w:bottom w:val="nil"/>
              <w:right w:val="nil"/>
            </w:tcBorders>
          </w:tcPr>
          <w:p>
            <w:pPr>
              <w:pStyle w:val="TableParagraph"/>
              <w:spacing w:before="49"/>
              <w:ind w:left="464"/>
              <w:rPr>
                <w:sz w:val="24"/>
              </w:rPr>
            </w:pPr>
            <w:r>
              <w:rPr>
                <w:sz w:val="24"/>
              </w:rPr>
              <w:t>Interleucina</w:t>
            </w:r>
          </w:p>
        </w:tc>
      </w:tr>
      <w:tr>
        <w:trPr>
          <w:trHeight w:val="413" w:hRule="exact"/>
        </w:trPr>
        <w:tc>
          <w:tcPr>
            <w:tcW w:w="2229" w:type="dxa"/>
            <w:tcBorders>
              <w:top w:val="nil"/>
              <w:left w:val="nil"/>
              <w:bottom w:val="nil"/>
              <w:right w:val="nil"/>
            </w:tcBorders>
          </w:tcPr>
          <w:p>
            <w:pPr>
              <w:pStyle w:val="TableParagraph"/>
              <w:spacing w:before="55"/>
              <w:ind w:left="28"/>
              <w:rPr>
                <w:sz w:val="24"/>
              </w:rPr>
            </w:pPr>
            <w:r>
              <w:rPr>
                <w:sz w:val="24"/>
              </w:rPr>
              <w:t>IP</w:t>
            </w:r>
          </w:p>
        </w:tc>
        <w:tc>
          <w:tcPr>
            <w:tcW w:w="6669" w:type="dxa"/>
            <w:tcBorders>
              <w:top w:val="nil"/>
              <w:left w:val="nil"/>
              <w:bottom w:val="nil"/>
              <w:right w:val="nil"/>
            </w:tcBorders>
          </w:tcPr>
          <w:p>
            <w:pPr>
              <w:pStyle w:val="TableParagraph"/>
              <w:spacing w:before="55"/>
              <w:ind w:left="532"/>
              <w:rPr>
                <w:sz w:val="24"/>
              </w:rPr>
            </w:pPr>
            <w:r>
              <w:rPr>
                <w:sz w:val="24"/>
              </w:rPr>
              <w:t>Ioduro de propidio</w:t>
            </w:r>
          </w:p>
        </w:tc>
      </w:tr>
      <w:tr>
        <w:trPr>
          <w:trHeight w:val="415" w:hRule="exact"/>
        </w:trPr>
        <w:tc>
          <w:tcPr>
            <w:tcW w:w="2229" w:type="dxa"/>
            <w:tcBorders>
              <w:top w:val="nil"/>
              <w:left w:val="nil"/>
              <w:bottom w:val="nil"/>
              <w:right w:val="nil"/>
            </w:tcBorders>
          </w:tcPr>
          <w:p>
            <w:pPr>
              <w:pStyle w:val="TableParagraph"/>
              <w:spacing w:before="56"/>
              <w:ind w:left="28"/>
              <w:rPr>
                <w:sz w:val="24"/>
              </w:rPr>
            </w:pPr>
            <w:r>
              <w:rPr>
                <w:sz w:val="24"/>
              </w:rPr>
              <w:t>LPS</w:t>
            </w:r>
          </w:p>
        </w:tc>
        <w:tc>
          <w:tcPr>
            <w:tcW w:w="6669" w:type="dxa"/>
            <w:tcBorders>
              <w:top w:val="nil"/>
              <w:left w:val="nil"/>
              <w:bottom w:val="nil"/>
              <w:right w:val="nil"/>
            </w:tcBorders>
          </w:tcPr>
          <w:p>
            <w:pPr>
              <w:pStyle w:val="TableParagraph"/>
              <w:spacing w:before="56"/>
              <w:ind w:left="464"/>
              <w:rPr>
                <w:sz w:val="24"/>
              </w:rPr>
            </w:pPr>
            <w:r>
              <w:rPr>
                <w:sz w:val="24"/>
              </w:rPr>
              <w:t>Lipopolisacáridos</w:t>
            </w:r>
          </w:p>
        </w:tc>
      </w:tr>
      <w:tr>
        <w:trPr>
          <w:trHeight w:val="415" w:hRule="exact"/>
        </w:trPr>
        <w:tc>
          <w:tcPr>
            <w:tcW w:w="2229" w:type="dxa"/>
            <w:tcBorders>
              <w:top w:val="nil"/>
              <w:left w:val="nil"/>
              <w:bottom w:val="nil"/>
              <w:right w:val="nil"/>
            </w:tcBorders>
          </w:tcPr>
          <w:p>
            <w:pPr>
              <w:pStyle w:val="TableParagraph"/>
              <w:spacing w:before="58"/>
              <w:ind w:left="28"/>
              <w:rPr>
                <w:sz w:val="24"/>
              </w:rPr>
            </w:pPr>
            <w:r>
              <w:rPr>
                <w:sz w:val="24"/>
              </w:rPr>
              <w:t>MAC-1</w:t>
            </w:r>
          </w:p>
        </w:tc>
        <w:tc>
          <w:tcPr>
            <w:tcW w:w="6669" w:type="dxa"/>
            <w:tcBorders>
              <w:top w:val="nil"/>
              <w:left w:val="nil"/>
              <w:bottom w:val="nil"/>
              <w:right w:val="nil"/>
            </w:tcBorders>
          </w:tcPr>
          <w:p>
            <w:pPr>
              <w:pStyle w:val="TableParagraph"/>
              <w:spacing w:before="58"/>
              <w:ind w:left="464"/>
              <w:rPr>
                <w:sz w:val="24"/>
              </w:rPr>
            </w:pPr>
            <w:r>
              <w:rPr>
                <w:sz w:val="24"/>
              </w:rPr>
              <w:t>Molécula de Adhesión Celular</w:t>
            </w:r>
          </w:p>
        </w:tc>
      </w:tr>
      <w:tr>
        <w:trPr>
          <w:trHeight w:val="413" w:hRule="exact"/>
        </w:trPr>
        <w:tc>
          <w:tcPr>
            <w:tcW w:w="2229" w:type="dxa"/>
            <w:tcBorders>
              <w:top w:val="nil"/>
              <w:left w:val="nil"/>
              <w:bottom w:val="nil"/>
              <w:right w:val="nil"/>
            </w:tcBorders>
          </w:tcPr>
          <w:p>
            <w:pPr>
              <w:pStyle w:val="TableParagraph"/>
              <w:spacing w:before="55"/>
              <w:ind w:left="28"/>
              <w:rPr>
                <w:sz w:val="24"/>
              </w:rPr>
            </w:pPr>
            <w:r>
              <w:rPr>
                <w:sz w:val="24"/>
              </w:rPr>
              <w:t>NaCl</w:t>
            </w:r>
          </w:p>
        </w:tc>
        <w:tc>
          <w:tcPr>
            <w:tcW w:w="6669" w:type="dxa"/>
            <w:tcBorders>
              <w:top w:val="nil"/>
              <w:left w:val="nil"/>
              <w:bottom w:val="nil"/>
              <w:right w:val="nil"/>
            </w:tcBorders>
          </w:tcPr>
          <w:p>
            <w:pPr>
              <w:pStyle w:val="TableParagraph"/>
              <w:spacing w:before="55"/>
              <w:ind w:left="464"/>
              <w:rPr>
                <w:sz w:val="24"/>
              </w:rPr>
            </w:pPr>
            <w:r>
              <w:rPr>
                <w:sz w:val="24"/>
              </w:rPr>
              <w:t>Cloruro de sodio</w:t>
            </w:r>
          </w:p>
        </w:tc>
      </w:tr>
      <w:tr>
        <w:trPr>
          <w:trHeight w:val="413" w:hRule="exact"/>
        </w:trPr>
        <w:tc>
          <w:tcPr>
            <w:tcW w:w="2229" w:type="dxa"/>
            <w:tcBorders>
              <w:top w:val="nil"/>
              <w:left w:val="nil"/>
              <w:bottom w:val="nil"/>
              <w:right w:val="nil"/>
            </w:tcBorders>
          </w:tcPr>
          <w:p>
            <w:pPr>
              <w:pStyle w:val="TableParagraph"/>
              <w:spacing w:before="55"/>
              <w:ind w:left="28"/>
              <w:rPr>
                <w:sz w:val="24"/>
              </w:rPr>
            </w:pPr>
            <w:r>
              <w:rPr>
                <w:sz w:val="24"/>
              </w:rPr>
              <w:t>NADPH</w:t>
            </w:r>
          </w:p>
        </w:tc>
        <w:tc>
          <w:tcPr>
            <w:tcW w:w="6669" w:type="dxa"/>
            <w:tcBorders>
              <w:top w:val="nil"/>
              <w:left w:val="nil"/>
              <w:bottom w:val="nil"/>
              <w:right w:val="nil"/>
            </w:tcBorders>
          </w:tcPr>
          <w:p>
            <w:pPr>
              <w:pStyle w:val="TableParagraph"/>
              <w:spacing w:before="55"/>
              <w:ind w:left="464"/>
              <w:rPr>
                <w:sz w:val="24"/>
              </w:rPr>
            </w:pPr>
            <w:r>
              <w:rPr>
                <w:sz w:val="24"/>
              </w:rPr>
              <w:t>Fosfato de dinucleótido de nicotina-adenina</w:t>
            </w:r>
          </w:p>
        </w:tc>
      </w:tr>
      <w:tr>
        <w:trPr>
          <w:trHeight w:val="416" w:hRule="exact"/>
        </w:trPr>
        <w:tc>
          <w:tcPr>
            <w:tcW w:w="2229" w:type="dxa"/>
            <w:tcBorders>
              <w:top w:val="nil"/>
              <w:left w:val="nil"/>
              <w:bottom w:val="nil"/>
              <w:right w:val="nil"/>
            </w:tcBorders>
          </w:tcPr>
          <w:p>
            <w:pPr>
              <w:pStyle w:val="TableParagraph"/>
              <w:spacing w:before="56"/>
              <w:ind w:left="28"/>
              <w:rPr>
                <w:sz w:val="24"/>
              </w:rPr>
            </w:pPr>
            <w:r>
              <w:rPr>
                <w:sz w:val="24"/>
              </w:rPr>
              <w:t>NADPH oxidasa</w:t>
            </w:r>
          </w:p>
        </w:tc>
        <w:tc>
          <w:tcPr>
            <w:tcW w:w="6669" w:type="dxa"/>
            <w:tcBorders>
              <w:top w:val="nil"/>
              <w:left w:val="nil"/>
              <w:bottom w:val="nil"/>
              <w:right w:val="nil"/>
            </w:tcBorders>
          </w:tcPr>
          <w:p>
            <w:pPr>
              <w:pStyle w:val="TableParagraph"/>
              <w:spacing w:before="56"/>
              <w:ind w:left="464"/>
              <w:rPr>
                <w:sz w:val="24"/>
              </w:rPr>
            </w:pPr>
            <w:r>
              <w:rPr>
                <w:sz w:val="24"/>
              </w:rPr>
              <w:t>Fosfato de dinucleótido de nicotina-adenina oxidasa</w:t>
            </w:r>
          </w:p>
        </w:tc>
      </w:tr>
      <w:tr>
        <w:trPr>
          <w:trHeight w:val="415" w:hRule="exact"/>
        </w:trPr>
        <w:tc>
          <w:tcPr>
            <w:tcW w:w="2229" w:type="dxa"/>
            <w:tcBorders>
              <w:top w:val="nil"/>
              <w:left w:val="nil"/>
              <w:bottom w:val="nil"/>
              <w:right w:val="nil"/>
            </w:tcBorders>
          </w:tcPr>
          <w:p>
            <w:pPr>
              <w:pStyle w:val="TableParagraph"/>
              <w:spacing w:before="58"/>
              <w:ind w:left="28"/>
              <w:rPr>
                <w:sz w:val="24"/>
              </w:rPr>
            </w:pPr>
            <w:r>
              <w:rPr>
                <w:sz w:val="24"/>
              </w:rPr>
              <w:t>PMN</w:t>
            </w:r>
          </w:p>
        </w:tc>
        <w:tc>
          <w:tcPr>
            <w:tcW w:w="6669" w:type="dxa"/>
            <w:tcBorders>
              <w:top w:val="nil"/>
              <w:left w:val="nil"/>
              <w:bottom w:val="nil"/>
              <w:right w:val="nil"/>
            </w:tcBorders>
          </w:tcPr>
          <w:p>
            <w:pPr>
              <w:pStyle w:val="TableParagraph"/>
              <w:spacing w:before="58"/>
              <w:ind w:left="464"/>
              <w:rPr>
                <w:sz w:val="24"/>
              </w:rPr>
            </w:pPr>
            <w:r>
              <w:rPr>
                <w:sz w:val="24"/>
              </w:rPr>
              <w:t>Neutrófilo, polimorfonuclear, leucocito polimorfonuclear</w:t>
            </w:r>
          </w:p>
        </w:tc>
      </w:tr>
      <w:tr>
        <w:trPr>
          <w:trHeight w:val="413" w:hRule="exact"/>
        </w:trPr>
        <w:tc>
          <w:tcPr>
            <w:tcW w:w="2229" w:type="dxa"/>
            <w:tcBorders>
              <w:top w:val="nil"/>
              <w:left w:val="nil"/>
              <w:bottom w:val="nil"/>
              <w:right w:val="nil"/>
            </w:tcBorders>
          </w:tcPr>
          <w:p>
            <w:pPr>
              <w:pStyle w:val="TableParagraph"/>
              <w:spacing w:before="55"/>
              <w:ind w:left="28"/>
              <w:rPr>
                <w:sz w:val="24"/>
              </w:rPr>
            </w:pPr>
            <w:r>
              <w:rPr>
                <w:sz w:val="24"/>
              </w:rPr>
              <w:t>ROS</w:t>
            </w:r>
          </w:p>
        </w:tc>
        <w:tc>
          <w:tcPr>
            <w:tcW w:w="6669" w:type="dxa"/>
            <w:tcBorders>
              <w:top w:val="nil"/>
              <w:left w:val="nil"/>
              <w:bottom w:val="nil"/>
              <w:right w:val="nil"/>
            </w:tcBorders>
          </w:tcPr>
          <w:p>
            <w:pPr>
              <w:pStyle w:val="TableParagraph"/>
              <w:spacing w:before="55"/>
              <w:ind w:left="464"/>
              <w:rPr>
                <w:sz w:val="24"/>
              </w:rPr>
            </w:pPr>
            <w:r>
              <w:rPr>
                <w:sz w:val="24"/>
              </w:rPr>
              <w:t>Especie de oxígeno reactivo</w:t>
            </w:r>
          </w:p>
        </w:tc>
      </w:tr>
      <w:tr>
        <w:trPr>
          <w:trHeight w:val="413" w:hRule="exact"/>
        </w:trPr>
        <w:tc>
          <w:tcPr>
            <w:tcW w:w="2229" w:type="dxa"/>
            <w:tcBorders>
              <w:top w:val="nil"/>
              <w:left w:val="nil"/>
              <w:bottom w:val="nil"/>
              <w:right w:val="nil"/>
            </w:tcBorders>
          </w:tcPr>
          <w:p>
            <w:pPr>
              <w:pStyle w:val="TableParagraph"/>
              <w:spacing w:before="55"/>
              <w:ind w:left="28"/>
              <w:rPr>
                <w:i/>
                <w:sz w:val="24"/>
              </w:rPr>
            </w:pPr>
            <w:r>
              <w:rPr>
                <w:i/>
                <w:sz w:val="24"/>
              </w:rPr>
              <w:t>S. aureus</w:t>
            </w:r>
          </w:p>
        </w:tc>
        <w:tc>
          <w:tcPr>
            <w:tcW w:w="6669" w:type="dxa"/>
            <w:tcBorders>
              <w:top w:val="nil"/>
              <w:left w:val="nil"/>
              <w:bottom w:val="nil"/>
              <w:right w:val="nil"/>
            </w:tcBorders>
          </w:tcPr>
          <w:p>
            <w:pPr>
              <w:pStyle w:val="TableParagraph"/>
              <w:spacing w:before="55"/>
              <w:ind w:left="464"/>
              <w:rPr>
                <w:i/>
                <w:sz w:val="24"/>
              </w:rPr>
            </w:pPr>
            <w:r>
              <w:rPr>
                <w:i/>
                <w:sz w:val="24"/>
              </w:rPr>
              <w:t>Staphylococcus aureus</w:t>
            </w:r>
          </w:p>
        </w:tc>
      </w:tr>
      <w:tr>
        <w:trPr>
          <w:trHeight w:val="415" w:hRule="exact"/>
        </w:trPr>
        <w:tc>
          <w:tcPr>
            <w:tcW w:w="2229" w:type="dxa"/>
            <w:tcBorders>
              <w:top w:val="nil"/>
              <w:left w:val="nil"/>
              <w:bottom w:val="nil"/>
              <w:right w:val="nil"/>
            </w:tcBorders>
          </w:tcPr>
          <w:p>
            <w:pPr>
              <w:pStyle w:val="TableParagraph"/>
              <w:spacing w:before="56"/>
              <w:ind w:left="28"/>
              <w:rPr>
                <w:sz w:val="24"/>
              </w:rPr>
            </w:pPr>
            <w:r>
              <w:rPr>
                <w:sz w:val="24"/>
              </w:rPr>
              <w:t>SpA</w:t>
            </w:r>
          </w:p>
        </w:tc>
        <w:tc>
          <w:tcPr>
            <w:tcW w:w="6669" w:type="dxa"/>
            <w:tcBorders>
              <w:top w:val="nil"/>
              <w:left w:val="nil"/>
              <w:bottom w:val="nil"/>
              <w:right w:val="nil"/>
            </w:tcBorders>
          </w:tcPr>
          <w:p>
            <w:pPr>
              <w:pStyle w:val="TableParagraph"/>
              <w:spacing w:before="56"/>
              <w:ind w:left="464"/>
              <w:rPr>
                <w:sz w:val="24"/>
              </w:rPr>
            </w:pPr>
            <w:r>
              <w:rPr>
                <w:sz w:val="24"/>
              </w:rPr>
              <w:t>Staphylococcal Proteína A</w:t>
            </w:r>
          </w:p>
        </w:tc>
      </w:tr>
      <w:tr>
        <w:trPr>
          <w:trHeight w:val="415" w:hRule="exact"/>
        </w:trPr>
        <w:tc>
          <w:tcPr>
            <w:tcW w:w="2229" w:type="dxa"/>
            <w:tcBorders>
              <w:top w:val="nil"/>
              <w:left w:val="nil"/>
              <w:bottom w:val="nil"/>
              <w:right w:val="nil"/>
            </w:tcBorders>
          </w:tcPr>
          <w:p>
            <w:pPr>
              <w:pStyle w:val="TableParagraph"/>
              <w:spacing w:before="58"/>
              <w:ind w:left="28"/>
              <w:rPr>
                <w:sz w:val="24"/>
              </w:rPr>
            </w:pPr>
            <w:r>
              <w:rPr>
                <w:sz w:val="24"/>
              </w:rPr>
              <w:t>T5</w:t>
            </w:r>
          </w:p>
        </w:tc>
        <w:tc>
          <w:tcPr>
            <w:tcW w:w="6669" w:type="dxa"/>
            <w:tcBorders>
              <w:top w:val="nil"/>
              <w:left w:val="nil"/>
              <w:bottom w:val="nil"/>
              <w:right w:val="nil"/>
            </w:tcBorders>
          </w:tcPr>
          <w:p>
            <w:pPr>
              <w:pStyle w:val="TableParagraph"/>
              <w:spacing w:before="58"/>
              <w:ind w:left="464"/>
              <w:rPr>
                <w:sz w:val="24"/>
              </w:rPr>
            </w:pPr>
            <w:r>
              <w:rPr>
                <w:sz w:val="24"/>
              </w:rPr>
              <w:t>Tipo capsular 5</w:t>
            </w:r>
          </w:p>
        </w:tc>
      </w:tr>
      <w:tr>
        <w:trPr>
          <w:trHeight w:val="413" w:hRule="exact"/>
        </w:trPr>
        <w:tc>
          <w:tcPr>
            <w:tcW w:w="2229" w:type="dxa"/>
            <w:tcBorders>
              <w:top w:val="nil"/>
              <w:left w:val="nil"/>
              <w:bottom w:val="nil"/>
              <w:right w:val="nil"/>
            </w:tcBorders>
          </w:tcPr>
          <w:p>
            <w:pPr>
              <w:pStyle w:val="TableParagraph"/>
              <w:spacing w:before="55"/>
              <w:ind w:left="28"/>
              <w:rPr>
                <w:sz w:val="24"/>
              </w:rPr>
            </w:pPr>
            <w:r>
              <w:rPr>
                <w:sz w:val="24"/>
              </w:rPr>
              <w:t>T8</w:t>
            </w:r>
          </w:p>
        </w:tc>
        <w:tc>
          <w:tcPr>
            <w:tcW w:w="6669" w:type="dxa"/>
            <w:tcBorders>
              <w:top w:val="nil"/>
              <w:left w:val="nil"/>
              <w:bottom w:val="nil"/>
              <w:right w:val="nil"/>
            </w:tcBorders>
          </w:tcPr>
          <w:p>
            <w:pPr>
              <w:pStyle w:val="TableParagraph"/>
              <w:spacing w:before="55"/>
              <w:ind w:left="464"/>
              <w:rPr>
                <w:sz w:val="24"/>
              </w:rPr>
            </w:pPr>
            <w:r>
              <w:rPr>
                <w:sz w:val="24"/>
              </w:rPr>
              <w:t>Tipo capsular 8</w:t>
            </w:r>
          </w:p>
        </w:tc>
      </w:tr>
      <w:tr>
        <w:trPr>
          <w:trHeight w:val="413" w:hRule="exact"/>
        </w:trPr>
        <w:tc>
          <w:tcPr>
            <w:tcW w:w="2229" w:type="dxa"/>
            <w:tcBorders>
              <w:top w:val="nil"/>
              <w:left w:val="nil"/>
              <w:bottom w:val="nil"/>
              <w:right w:val="nil"/>
            </w:tcBorders>
          </w:tcPr>
          <w:p>
            <w:pPr>
              <w:pStyle w:val="TableParagraph"/>
              <w:spacing w:before="55"/>
              <w:ind w:left="28"/>
              <w:rPr>
                <w:sz w:val="24"/>
              </w:rPr>
            </w:pPr>
            <w:r>
              <w:rPr>
                <w:sz w:val="24"/>
              </w:rPr>
              <w:t>TNF-α</w:t>
            </w:r>
          </w:p>
        </w:tc>
        <w:tc>
          <w:tcPr>
            <w:tcW w:w="6669" w:type="dxa"/>
            <w:tcBorders>
              <w:top w:val="nil"/>
              <w:left w:val="nil"/>
              <w:bottom w:val="nil"/>
              <w:right w:val="nil"/>
            </w:tcBorders>
          </w:tcPr>
          <w:p>
            <w:pPr>
              <w:pStyle w:val="TableParagraph"/>
              <w:spacing w:before="55"/>
              <w:ind w:left="464"/>
              <w:rPr>
                <w:sz w:val="24"/>
              </w:rPr>
            </w:pPr>
            <w:r>
              <w:rPr>
                <w:sz w:val="24"/>
              </w:rPr>
              <w:t>Factor de necrosis tumoral</w:t>
            </w:r>
          </w:p>
        </w:tc>
      </w:tr>
      <w:tr>
        <w:trPr>
          <w:trHeight w:val="415" w:hRule="exact"/>
        </w:trPr>
        <w:tc>
          <w:tcPr>
            <w:tcW w:w="2229" w:type="dxa"/>
            <w:tcBorders>
              <w:top w:val="nil"/>
              <w:left w:val="nil"/>
              <w:bottom w:val="nil"/>
              <w:right w:val="nil"/>
            </w:tcBorders>
          </w:tcPr>
          <w:p>
            <w:pPr>
              <w:pStyle w:val="TableParagraph"/>
              <w:spacing w:before="56"/>
              <w:ind w:left="28"/>
              <w:rPr>
                <w:sz w:val="24"/>
              </w:rPr>
            </w:pPr>
            <w:r>
              <w:rPr>
                <w:sz w:val="24"/>
              </w:rPr>
              <w:t>TRADD</w:t>
            </w:r>
          </w:p>
        </w:tc>
        <w:tc>
          <w:tcPr>
            <w:tcW w:w="6669" w:type="dxa"/>
            <w:tcBorders>
              <w:top w:val="nil"/>
              <w:left w:val="nil"/>
              <w:bottom w:val="nil"/>
              <w:right w:val="nil"/>
            </w:tcBorders>
          </w:tcPr>
          <w:p>
            <w:pPr>
              <w:pStyle w:val="TableParagraph"/>
              <w:spacing w:before="56"/>
              <w:ind w:left="464"/>
              <w:rPr>
                <w:sz w:val="24"/>
              </w:rPr>
            </w:pPr>
            <w:r>
              <w:rPr>
                <w:sz w:val="24"/>
              </w:rPr>
              <w:t>Dominio de muerte asociado a TNF</w:t>
            </w:r>
          </w:p>
        </w:tc>
      </w:tr>
      <w:tr>
        <w:trPr>
          <w:trHeight w:val="329" w:hRule="exact"/>
        </w:trPr>
        <w:tc>
          <w:tcPr>
            <w:tcW w:w="2229" w:type="dxa"/>
            <w:tcBorders>
              <w:top w:val="nil"/>
              <w:left w:val="nil"/>
              <w:bottom w:val="nil"/>
              <w:right w:val="nil"/>
            </w:tcBorders>
          </w:tcPr>
          <w:p>
            <w:pPr>
              <w:pStyle w:val="TableParagraph"/>
              <w:spacing w:before="58"/>
              <w:ind w:left="28"/>
              <w:rPr>
                <w:sz w:val="24"/>
              </w:rPr>
            </w:pPr>
            <w:r>
              <w:rPr>
                <w:sz w:val="24"/>
              </w:rPr>
              <w:t>TRAIL</w:t>
            </w:r>
          </w:p>
        </w:tc>
        <w:tc>
          <w:tcPr>
            <w:tcW w:w="6669" w:type="dxa"/>
            <w:tcBorders>
              <w:top w:val="nil"/>
              <w:left w:val="nil"/>
              <w:bottom w:val="nil"/>
              <w:right w:val="nil"/>
            </w:tcBorders>
          </w:tcPr>
          <w:p>
            <w:pPr>
              <w:pStyle w:val="TableParagraph"/>
              <w:spacing w:before="58"/>
              <w:ind w:left="464"/>
              <w:rPr>
                <w:sz w:val="24"/>
              </w:rPr>
            </w:pPr>
            <w:r>
              <w:rPr>
                <w:sz w:val="24"/>
              </w:rPr>
              <w:t>Ligando inductor de apoptosis relacionado con TNF</w:t>
            </w:r>
          </w:p>
        </w:tc>
      </w:tr>
    </w:tbl>
    <w:p>
      <w:pPr>
        <w:spacing w:after="0"/>
        <w:rPr>
          <w:sz w:val="24"/>
        </w:rPr>
        <w:sectPr>
          <w:headerReference w:type="default" r:id="rId10"/>
          <w:pgSz w:w="12240" w:h="15840"/>
          <w:pgMar w:header="726" w:footer="1527" w:top="1140" w:bottom="1720" w:left="1540" w:right="1540"/>
        </w:sectPr>
      </w:pPr>
    </w:p>
    <w:p>
      <w:pPr>
        <w:pStyle w:val="BodyText"/>
        <w:rPr>
          <w:rFonts w:ascii="Times New Roman"/>
          <w:sz w:val="20"/>
        </w:rPr>
      </w:pPr>
    </w:p>
    <w:p>
      <w:pPr>
        <w:pStyle w:val="BodyText"/>
        <w:spacing w:before="4"/>
        <w:rPr>
          <w:rFonts w:ascii="Times New Roman"/>
          <w:sz w:val="16"/>
        </w:rPr>
      </w:pPr>
    </w:p>
    <w:p>
      <w:pPr>
        <w:pStyle w:val="Heading1"/>
        <w:ind w:left="319"/>
      </w:pPr>
      <w:bookmarkStart w:name="_bookmark2" w:id="3"/>
      <w:bookmarkEnd w:id="3"/>
      <w:r>
        <w:rPr>
          <w:b w:val="0"/>
        </w:rPr>
      </w:r>
      <w:r>
        <w:rPr/>
        <w:t>ÍNDICE DE CUADROS</w:t>
      </w:r>
    </w:p>
    <w:p>
      <w:pPr>
        <w:pStyle w:val="BodyText"/>
        <w:rPr>
          <w:b/>
          <w:sz w:val="20"/>
        </w:rPr>
      </w:pPr>
    </w:p>
    <w:p>
      <w:pPr>
        <w:pStyle w:val="BodyText"/>
        <w:rPr>
          <w:b/>
          <w:sz w:val="20"/>
        </w:rPr>
      </w:pPr>
    </w:p>
    <w:p>
      <w:pPr>
        <w:pStyle w:val="BodyText"/>
        <w:rPr>
          <w:b/>
          <w:sz w:val="16"/>
        </w:rPr>
      </w:pPr>
    </w:p>
    <w:tbl>
      <w:tblPr>
        <w:tblW w:w="0" w:type="auto"/>
        <w:jc w:val="left"/>
        <w:tblInd w:w="11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81"/>
        <w:gridCol w:w="7220"/>
        <w:gridCol w:w="1144"/>
      </w:tblGrid>
      <w:tr>
        <w:trPr>
          <w:trHeight w:val="386" w:hRule="exact"/>
        </w:trPr>
        <w:tc>
          <w:tcPr>
            <w:tcW w:w="881" w:type="dxa"/>
          </w:tcPr>
          <w:p>
            <w:pPr>
              <w:pStyle w:val="TableParagraph"/>
              <w:spacing w:line="245" w:lineRule="exact"/>
              <w:rPr>
                <w:b/>
                <w:sz w:val="24"/>
              </w:rPr>
            </w:pPr>
            <w:r>
              <w:rPr>
                <w:b/>
                <w:sz w:val="24"/>
              </w:rPr>
              <w:t>No.</w:t>
            </w:r>
          </w:p>
        </w:tc>
        <w:tc>
          <w:tcPr>
            <w:tcW w:w="7220" w:type="dxa"/>
          </w:tcPr>
          <w:p>
            <w:pPr>
              <w:pStyle w:val="TableParagraph"/>
              <w:spacing w:line="245" w:lineRule="exact"/>
              <w:ind w:left="360" w:right="317"/>
              <w:rPr>
                <w:b/>
                <w:sz w:val="24"/>
              </w:rPr>
            </w:pPr>
            <w:r>
              <w:rPr>
                <w:b/>
                <w:sz w:val="24"/>
              </w:rPr>
              <w:t>CONTENIDO</w:t>
            </w:r>
          </w:p>
        </w:tc>
        <w:tc>
          <w:tcPr>
            <w:tcW w:w="1144" w:type="dxa"/>
          </w:tcPr>
          <w:p>
            <w:pPr>
              <w:pStyle w:val="TableParagraph"/>
              <w:spacing w:line="254" w:lineRule="exact"/>
              <w:ind w:left="0" w:right="201"/>
              <w:jc w:val="right"/>
              <w:rPr>
                <w:rFonts w:ascii="Calibri" w:hAnsi="Calibri"/>
                <w:b/>
                <w:sz w:val="22"/>
              </w:rPr>
            </w:pPr>
            <w:r>
              <w:rPr>
                <w:rFonts w:ascii="Calibri" w:hAnsi="Calibri"/>
                <w:b/>
                <w:sz w:val="22"/>
              </w:rPr>
              <w:t>PÁG.</w:t>
            </w:r>
          </w:p>
        </w:tc>
      </w:tr>
      <w:tr>
        <w:trPr>
          <w:trHeight w:val="1150" w:hRule="exact"/>
        </w:trPr>
        <w:tc>
          <w:tcPr>
            <w:tcW w:w="881" w:type="dxa"/>
          </w:tcPr>
          <w:p>
            <w:pPr>
              <w:pStyle w:val="TableParagraph"/>
              <w:spacing w:before="106"/>
              <w:rPr>
                <w:sz w:val="24"/>
              </w:rPr>
            </w:pPr>
            <w:r>
              <w:rPr>
                <w:w w:val="99"/>
                <w:sz w:val="24"/>
              </w:rPr>
              <w:t>1</w:t>
            </w:r>
          </w:p>
        </w:tc>
        <w:tc>
          <w:tcPr>
            <w:tcW w:w="7220" w:type="dxa"/>
          </w:tcPr>
          <w:p>
            <w:pPr>
              <w:pStyle w:val="TableParagraph"/>
              <w:spacing w:line="273" w:lineRule="auto" w:before="111"/>
              <w:ind w:left="293" w:right="490"/>
              <w:jc w:val="both"/>
              <w:rPr>
                <w:sz w:val="24"/>
              </w:rPr>
            </w:pPr>
            <w:r>
              <w:rPr>
                <w:sz w:val="24"/>
              </w:rPr>
              <w:t>Evaluación de la Actividad de Fagocitosis </w:t>
            </w:r>
            <w:r>
              <w:rPr>
                <w:i/>
                <w:sz w:val="24"/>
              </w:rPr>
              <w:t>in vitro </w:t>
            </w:r>
            <w:r>
              <w:rPr>
                <w:sz w:val="24"/>
              </w:rPr>
              <w:t>de neutrófilos de vacas lecheras evaluada por microscopía de campo claro</w:t>
            </w:r>
          </w:p>
        </w:tc>
        <w:tc>
          <w:tcPr>
            <w:tcW w:w="1144" w:type="dxa"/>
          </w:tcPr>
          <w:p>
            <w:pPr>
              <w:pStyle w:val="TableParagraph"/>
              <w:spacing w:before="117"/>
              <w:ind w:left="0" w:right="198"/>
              <w:jc w:val="right"/>
              <w:rPr>
                <w:rFonts w:ascii="Calibri"/>
                <w:sz w:val="22"/>
              </w:rPr>
            </w:pPr>
            <w:r>
              <w:rPr>
                <w:rFonts w:ascii="Calibri"/>
                <w:sz w:val="22"/>
              </w:rPr>
              <w:t>26</w:t>
            </w:r>
          </w:p>
        </w:tc>
      </w:tr>
      <w:tr>
        <w:trPr>
          <w:trHeight w:val="835" w:hRule="exact"/>
        </w:trPr>
        <w:tc>
          <w:tcPr>
            <w:tcW w:w="881" w:type="dxa"/>
          </w:tcPr>
          <w:p>
            <w:pPr>
              <w:pStyle w:val="TableParagraph"/>
              <w:spacing w:before="108"/>
              <w:rPr>
                <w:sz w:val="24"/>
              </w:rPr>
            </w:pPr>
            <w:r>
              <w:rPr>
                <w:w w:val="99"/>
                <w:sz w:val="24"/>
              </w:rPr>
              <w:t>2</w:t>
            </w:r>
          </w:p>
        </w:tc>
        <w:tc>
          <w:tcPr>
            <w:tcW w:w="7220" w:type="dxa"/>
          </w:tcPr>
          <w:p>
            <w:pPr>
              <w:pStyle w:val="TableParagraph"/>
              <w:spacing w:before="113"/>
              <w:ind w:left="293" w:right="317"/>
              <w:rPr>
                <w:sz w:val="24"/>
              </w:rPr>
            </w:pPr>
            <w:r>
              <w:rPr>
                <w:sz w:val="24"/>
              </w:rPr>
              <w:t>Evaluación de la Inducción de Apoptosis de neutrófilos   por</w:t>
            </w:r>
          </w:p>
          <w:p>
            <w:pPr>
              <w:pStyle w:val="TableParagraph"/>
              <w:spacing w:before="36"/>
              <w:ind w:left="293" w:right="317"/>
              <w:rPr>
                <w:sz w:val="24"/>
              </w:rPr>
            </w:pPr>
            <w:r>
              <w:rPr>
                <w:i/>
                <w:sz w:val="24"/>
              </w:rPr>
              <w:t>S. aureus</w:t>
            </w:r>
            <w:r>
              <w:rPr>
                <w:sz w:val="24"/>
              </w:rPr>
              <w:t>: microscopía de campo claro</w:t>
            </w:r>
          </w:p>
        </w:tc>
        <w:tc>
          <w:tcPr>
            <w:tcW w:w="1144" w:type="dxa"/>
          </w:tcPr>
          <w:p>
            <w:pPr>
              <w:pStyle w:val="TableParagraph"/>
              <w:spacing w:before="119"/>
              <w:ind w:left="0" w:right="198"/>
              <w:jc w:val="right"/>
              <w:rPr>
                <w:rFonts w:ascii="Calibri"/>
                <w:sz w:val="22"/>
              </w:rPr>
            </w:pPr>
            <w:r>
              <w:rPr>
                <w:rFonts w:ascii="Calibri"/>
                <w:sz w:val="22"/>
              </w:rPr>
              <w:t>28</w:t>
            </w:r>
          </w:p>
        </w:tc>
      </w:tr>
      <w:tr>
        <w:trPr>
          <w:trHeight w:val="835" w:hRule="exact"/>
        </w:trPr>
        <w:tc>
          <w:tcPr>
            <w:tcW w:w="881" w:type="dxa"/>
          </w:tcPr>
          <w:p>
            <w:pPr>
              <w:pStyle w:val="TableParagraph"/>
              <w:spacing w:before="108"/>
              <w:rPr>
                <w:sz w:val="24"/>
              </w:rPr>
            </w:pPr>
            <w:r>
              <w:rPr>
                <w:w w:val="99"/>
                <w:sz w:val="24"/>
              </w:rPr>
              <w:t>3</w:t>
            </w:r>
          </w:p>
        </w:tc>
        <w:tc>
          <w:tcPr>
            <w:tcW w:w="7220" w:type="dxa"/>
          </w:tcPr>
          <w:p>
            <w:pPr>
              <w:pStyle w:val="TableParagraph"/>
              <w:spacing w:line="271" w:lineRule="auto" w:before="113"/>
              <w:ind w:left="293" w:right="317"/>
              <w:rPr>
                <w:sz w:val="24"/>
              </w:rPr>
            </w:pPr>
            <w:r>
              <w:rPr>
                <w:sz w:val="24"/>
              </w:rPr>
              <w:t>Evaluación de la Actividad de Fagocitosis </w:t>
            </w:r>
            <w:r>
              <w:rPr>
                <w:i/>
                <w:sz w:val="24"/>
              </w:rPr>
              <w:t>in vitro </w:t>
            </w:r>
            <w:r>
              <w:rPr>
                <w:sz w:val="24"/>
              </w:rPr>
              <w:t>de neutrófilos de vacas lecheras evaluada por epifluorescencia</w:t>
            </w:r>
          </w:p>
        </w:tc>
        <w:tc>
          <w:tcPr>
            <w:tcW w:w="1144" w:type="dxa"/>
          </w:tcPr>
          <w:p>
            <w:pPr>
              <w:pStyle w:val="TableParagraph"/>
              <w:spacing w:before="119"/>
              <w:ind w:left="0" w:right="198"/>
              <w:jc w:val="right"/>
              <w:rPr>
                <w:rFonts w:ascii="Calibri"/>
                <w:sz w:val="22"/>
              </w:rPr>
            </w:pPr>
            <w:r>
              <w:rPr>
                <w:rFonts w:ascii="Calibri"/>
                <w:sz w:val="22"/>
              </w:rPr>
              <w:t>30</w:t>
            </w:r>
          </w:p>
        </w:tc>
      </w:tr>
      <w:tr>
        <w:trPr>
          <w:trHeight w:val="696" w:hRule="exact"/>
        </w:trPr>
        <w:tc>
          <w:tcPr>
            <w:tcW w:w="881" w:type="dxa"/>
          </w:tcPr>
          <w:p>
            <w:pPr>
              <w:pStyle w:val="TableParagraph"/>
              <w:spacing w:before="109"/>
              <w:rPr>
                <w:sz w:val="24"/>
              </w:rPr>
            </w:pPr>
            <w:r>
              <w:rPr>
                <w:w w:val="99"/>
                <w:sz w:val="24"/>
              </w:rPr>
              <w:t>4</w:t>
            </w:r>
          </w:p>
        </w:tc>
        <w:tc>
          <w:tcPr>
            <w:tcW w:w="7220" w:type="dxa"/>
          </w:tcPr>
          <w:p>
            <w:pPr>
              <w:pStyle w:val="TableParagraph"/>
              <w:spacing w:before="113"/>
              <w:ind w:left="293" w:right="317"/>
              <w:rPr>
                <w:sz w:val="24"/>
              </w:rPr>
            </w:pPr>
            <w:r>
              <w:rPr>
                <w:sz w:val="24"/>
              </w:rPr>
              <w:t>Evaluación de la Inducción de Apoptosis de neutrófilos   por</w:t>
            </w:r>
          </w:p>
          <w:p>
            <w:pPr>
              <w:pStyle w:val="TableParagraph"/>
              <w:spacing w:before="36"/>
              <w:ind w:left="293" w:right="317"/>
              <w:rPr>
                <w:sz w:val="24"/>
              </w:rPr>
            </w:pPr>
            <w:r>
              <w:rPr>
                <w:i/>
                <w:sz w:val="24"/>
              </w:rPr>
              <w:t>S. aureus</w:t>
            </w:r>
            <w:r>
              <w:rPr>
                <w:sz w:val="24"/>
              </w:rPr>
              <w:t>: epifluorescencia</w:t>
            </w:r>
          </w:p>
        </w:tc>
        <w:tc>
          <w:tcPr>
            <w:tcW w:w="1144" w:type="dxa"/>
          </w:tcPr>
          <w:p>
            <w:pPr>
              <w:pStyle w:val="TableParagraph"/>
              <w:spacing w:before="119"/>
              <w:ind w:left="0" w:right="198"/>
              <w:jc w:val="right"/>
              <w:rPr>
                <w:rFonts w:ascii="Calibri"/>
                <w:sz w:val="22"/>
              </w:rPr>
            </w:pPr>
            <w:r>
              <w:rPr>
                <w:rFonts w:ascii="Calibri"/>
                <w:sz w:val="22"/>
              </w:rPr>
              <w:t>32</w:t>
            </w:r>
          </w:p>
        </w:tc>
      </w:tr>
    </w:tbl>
    <w:p>
      <w:pPr>
        <w:spacing w:after="0"/>
        <w:jc w:val="right"/>
        <w:rPr>
          <w:rFonts w:ascii="Calibri"/>
          <w:sz w:val="22"/>
        </w:rPr>
        <w:sectPr>
          <w:headerReference w:type="default" r:id="rId11"/>
          <w:pgSz w:w="12240" w:h="15840"/>
          <w:pgMar w:header="726" w:footer="1527" w:top="1200" w:bottom="1720" w:left="1380" w:right="1380"/>
        </w:sectPr>
      </w:pPr>
    </w:p>
    <w:p>
      <w:pPr>
        <w:pStyle w:val="BodyText"/>
        <w:spacing w:before="9"/>
        <w:rPr>
          <w:b/>
          <w:sz w:val="18"/>
        </w:rPr>
      </w:pPr>
    </w:p>
    <w:p>
      <w:pPr>
        <w:pStyle w:val="Heading1"/>
        <w:ind w:left="319"/>
      </w:pPr>
      <w:bookmarkStart w:name="_bookmark3" w:id="4"/>
      <w:bookmarkEnd w:id="4"/>
      <w:r>
        <w:rPr>
          <w:b w:val="0"/>
        </w:rPr>
      </w:r>
      <w:r>
        <w:rPr/>
        <w:t>ÍNDICE DE GRÁFICAS</w:t>
      </w:r>
    </w:p>
    <w:p>
      <w:pPr>
        <w:pStyle w:val="BodyText"/>
        <w:rPr>
          <w:b/>
          <w:sz w:val="20"/>
        </w:rPr>
      </w:pPr>
    </w:p>
    <w:p>
      <w:pPr>
        <w:pStyle w:val="BodyText"/>
        <w:rPr>
          <w:b/>
          <w:sz w:val="20"/>
        </w:rPr>
      </w:pPr>
    </w:p>
    <w:p>
      <w:pPr>
        <w:pStyle w:val="BodyText"/>
        <w:spacing w:before="5"/>
        <w:rPr>
          <w:b/>
          <w:sz w:val="16"/>
        </w:rPr>
      </w:pPr>
    </w:p>
    <w:tbl>
      <w:tblPr>
        <w:tblW w:w="0" w:type="auto"/>
        <w:jc w:val="left"/>
        <w:tblInd w:w="11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33"/>
        <w:gridCol w:w="7049"/>
        <w:gridCol w:w="1387"/>
      </w:tblGrid>
      <w:tr>
        <w:trPr>
          <w:trHeight w:val="386" w:hRule="exact"/>
        </w:trPr>
        <w:tc>
          <w:tcPr>
            <w:tcW w:w="733" w:type="dxa"/>
          </w:tcPr>
          <w:p>
            <w:pPr>
              <w:pStyle w:val="TableParagraph"/>
              <w:spacing w:line="245" w:lineRule="exact"/>
              <w:rPr>
                <w:b/>
                <w:sz w:val="24"/>
              </w:rPr>
            </w:pPr>
            <w:r>
              <w:rPr>
                <w:b/>
                <w:sz w:val="24"/>
              </w:rPr>
              <w:t>No.</w:t>
            </w:r>
          </w:p>
        </w:tc>
        <w:tc>
          <w:tcPr>
            <w:tcW w:w="7049" w:type="dxa"/>
          </w:tcPr>
          <w:p>
            <w:pPr>
              <w:pStyle w:val="TableParagraph"/>
              <w:spacing w:line="245" w:lineRule="exact"/>
              <w:ind w:left="144" w:right="732"/>
              <w:rPr>
                <w:b/>
                <w:sz w:val="24"/>
              </w:rPr>
            </w:pPr>
            <w:r>
              <w:rPr>
                <w:b/>
                <w:sz w:val="24"/>
              </w:rPr>
              <w:t>CONTENIDO</w:t>
            </w:r>
          </w:p>
        </w:tc>
        <w:tc>
          <w:tcPr>
            <w:tcW w:w="1387" w:type="dxa"/>
          </w:tcPr>
          <w:p>
            <w:pPr>
              <w:pStyle w:val="TableParagraph"/>
              <w:spacing w:line="254" w:lineRule="exact"/>
              <w:ind w:left="0" w:right="203"/>
              <w:jc w:val="right"/>
              <w:rPr>
                <w:rFonts w:ascii="Calibri" w:hAnsi="Calibri"/>
                <w:b/>
                <w:sz w:val="22"/>
              </w:rPr>
            </w:pPr>
            <w:r>
              <w:rPr>
                <w:rFonts w:ascii="Calibri" w:hAnsi="Calibri"/>
                <w:b/>
                <w:sz w:val="22"/>
              </w:rPr>
              <w:t>PÁG.</w:t>
            </w:r>
          </w:p>
        </w:tc>
      </w:tr>
      <w:tr>
        <w:trPr>
          <w:trHeight w:val="830" w:hRule="exact"/>
        </w:trPr>
        <w:tc>
          <w:tcPr>
            <w:tcW w:w="733" w:type="dxa"/>
          </w:tcPr>
          <w:p>
            <w:pPr>
              <w:pStyle w:val="TableParagraph"/>
              <w:spacing w:before="106"/>
              <w:rPr>
                <w:sz w:val="24"/>
              </w:rPr>
            </w:pPr>
            <w:r>
              <w:rPr>
                <w:w w:val="99"/>
                <w:sz w:val="24"/>
              </w:rPr>
              <w:t>1</w:t>
            </w:r>
          </w:p>
        </w:tc>
        <w:tc>
          <w:tcPr>
            <w:tcW w:w="7049" w:type="dxa"/>
          </w:tcPr>
          <w:p>
            <w:pPr>
              <w:pStyle w:val="TableParagraph"/>
              <w:spacing w:line="271" w:lineRule="auto" w:before="111"/>
              <w:ind w:left="144" w:right="732"/>
              <w:rPr>
                <w:sz w:val="24"/>
              </w:rPr>
            </w:pPr>
            <w:r>
              <w:rPr>
                <w:sz w:val="24"/>
              </w:rPr>
              <w:t>Capacidad de fagocitosis de neutrófilos sobre </w:t>
            </w:r>
            <w:r>
              <w:rPr>
                <w:i/>
                <w:sz w:val="24"/>
              </w:rPr>
              <w:t>S. aureus</w:t>
            </w:r>
            <w:r>
              <w:rPr>
                <w:sz w:val="24"/>
              </w:rPr>
              <w:t>: microscopía de campo claro</w:t>
            </w:r>
          </w:p>
        </w:tc>
        <w:tc>
          <w:tcPr>
            <w:tcW w:w="1387" w:type="dxa"/>
          </w:tcPr>
          <w:p>
            <w:pPr>
              <w:pStyle w:val="TableParagraph"/>
              <w:spacing w:before="117"/>
              <w:ind w:left="0" w:right="198"/>
              <w:jc w:val="right"/>
              <w:rPr>
                <w:rFonts w:ascii="Calibri"/>
                <w:sz w:val="22"/>
              </w:rPr>
            </w:pPr>
            <w:r>
              <w:rPr>
                <w:rFonts w:ascii="Calibri"/>
                <w:sz w:val="22"/>
              </w:rPr>
              <w:t>27</w:t>
            </w:r>
          </w:p>
        </w:tc>
      </w:tr>
      <w:tr>
        <w:trPr>
          <w:trHeight w:val="836" w:hRule="exact"/>
        </w:trPr>
        <w:tc>
          <w:tcPr>
            <w:tcW w:w="733" w:type="dxa"/>
          </w:tcPr>
          <w:p>
            <w:pPr>
              <w:pStyle w:val="TableParagraph"/>
              <w:spacing w:before="106"/>
              <w:rPr>
                <w:sz w:val="24"/>
              </w:rPr>
            </w:pPr>
            <w:r>
              <w:rPr>
                <w:w w:val="99"/>
                <w:sz w:val="24"/>
              </w:rPr>
              <w:t>2</w:t>
            </w:r>
          </w:p>
        </w:tc>
        <w:tc>
          <w:tcPr>
            <w:tcW w:w="7049" w:type="dxa"/>
          </w:tcPr>
          <w:p>
            <w:pPr>
              <w:pStyle w:val="TableParagraph"/>
              <w:spacing w:line="276" w:lineRule="auto" w:before="111"/>
              <w:ind w:left="144" w:right="732"/>
              <w:rPr>
                <w:sz w:val="24"/>
              </w:rPr>
            </w:pPr>
            <w:r>
              <w:rPr>
                <w:sz w:val="24"/>
              </w:rPr>
              <w:t>Índice de fagocitosis de neutrófilos sobre </w:t>
            </w:r>
            <w:r>
              <w:rPr>
                <w:i/>
                <w:sz w:val="24"/>
              </w:rPr>
              <w:t>S. aureus</w:t>
            </w:r>
            <w:r>
              <w:rPr>
                <w:sz w:val="24"/>
              </w:rPr>
              <w:t>: microscopía de campo claro</w:t>
            </w:r>
          </w:p>
        </w:tc>
        <w:tc>
          <w:tcPr>
            <w:tcW w:w="1387" w:type="dxa"/>
          </w:tcPr>
          <w:p>
            <w:pPr>
              <w:pStyle w:val="TableParagraph"/>
              <w:spacing w:before="117"/>
              <w:ind w:left="0" w:right="198"/>
              <w:jc w:val="right"/>
              <w:rPr>
                <w:rFonts w:ascii="Calibri"/>
                <w:sz w:val="22"/>
              </w:rPr>
            </w:pPr>
            <w:r>
              <w:rPr>
                <w:rFonts w:ascii="Calibri"/>
                <w:sz w:val="22"/>
              </w:rPr>
              <w:t>27</w:t>
            </w:r>
          </w:p>
        </w:tc>
      </w:tr>
      <w:tr>
        <w:trPr>
          <w:trHeight w:val="833" w:hRule="exact"/>
        </w:trPr>
        <w:tc>
          <w:tcPr>
            <w:tcW w:w="733" w:type="dxa"/>
          </w:tcPr>
          <w:p>
            <w:pPr>
              <w:pStyle w:val="TableParagraph"/>
              <w:spacing w:before="106"/>
              <w:rPr>
                <w:sz w:val="24"/>
              </w:rPr>
            </w:pPr>
            <w:r>
              <w:rPr>
                <w:w w:val="99"/>
                <w:sz w:val="24"/>
              </w:rPr>
              <w:t>3</w:t>
            </w:r>
          </w:p>
        </w:tc>
        <w:tc>
          <w:tcPr>
            <w:tcW w:w="7049" w:type="dxa"/>
          </w:tcPr>
          <w:p>
            <w:pPr>
              <w:pStyle w:val="TableParagraph"/>
              <w:spacing w:line="271" w:lineRule="auto" w:before="111"/>
              <w:ind w:left="144" w:right="732"/>
              <w:rPr>
                <w:sz w:val="24"/>
              </w:rPr>
            </w:pPr>
            <w:r>
              <w:rPr>
                <w:sz w:val="24"/>
              </w:rPr>
              <w:t>Inducción de apoptosis de neutrófilos por </w:t>
            </w:r>
            <w:r>
              <w:rPr>
                <w:i/>
                <w:sz w:val="24"/>
              </w:rPr>
              <w:t>S. aureus</w:t>
            </w:r>
            <w:r>
              <w:rPr>
                <w:sz w:val="24"/>
              </w:rPr>
              <w:t>: microscopía de campo claro</w:t>
            </w:r>
          </w:p>
        </w:tc>
        <w:tc>
          <w:tcPr>
            <w:tcW w:w="1387" w:type="dxa"/>
          </w:tcPr>
          <w:p>
            <w:pPr>
              <w:pStyle w:val="TableParagraph"/>
              <w:spacing w:before="117"/>
              <w:ind w:left="0" w:right="198"/>
              <w:jc w:val="right"/>
              <w:rPr>
                <w:rFonts w:ascii="Calibri"/>
                <w:sz w:val="22"/>
              </w:rPr>
            </w:pPr>
            <w:r>
              <w:rPr>
                <w:rFonts w:ascii="Calibri"/>
                <w:sz w:val="22"/>
              </w:rPr>
              <w:t>29</w:t>
            </w:r>
          </w:p>
        </w:tc>
      </w:tr>
      <w:tr>
        <w:trPr>
          <w:trHeight w:val="836" w:hRule="exact"/>
        </w:trPr>
        <w:tc>
          <w:tcPr>
            <w:tcW w:w="733" w:type="dxa"/>
          </w:tcPr>
          <w:p>
            <w:pPr>
              <w:pStyle w:val="TableParagraph"/>
              <w:spacing w:before="108"/>
              <w:rPr>
                <w:sz w:val="24"/>
              </w:rPr>
            </w:pPr>
            <w:r>
              <w:rPr>
                <w:w w:val="99"/>
                <w:sz w:val="24"/>
              </w:rPr>
              <w:t>4</w:t>
            </w:r>
          </w:p>
        </w:tc>
        <w:tc>
          <w:tcPr>
            <w:tcW w:w="7049" w:type="dxa"/>
          </w:tcPr>
          <w:p>
            <w:pPr>
              <w:pStyle w:val="TableParagraph"/>
              <w:spacing w:line="271" w:lineRule="auto" w:before="113"/>
              <w:ind w:left="144" w:right="732"/>
              <w:rPr>
                <w:sz w:val="24"/>
              </w:rPr>
            </w:pPr>
            <w:r>
              <w:rPr>
                <w:sz w:val="24"/>
              </w:rPr>
              <w:t>Capacidad de fagocitosis de neutrófilos sobre </w:t>
            </w:r>
            <w:r>
              <w:rPr>
                <w:i/>
                <w:sz w:val="24"/>
              </w:rPr>
              <w:t>S. aureus</w:t>
            </w:r>
            <w:r>
              <w:rPr>
                <w:sz w:val="24"/>
              </w:rPr>
              <w:t>: epifluorescencia</w:t>
            </w:r>
          </w:p>
        </w:tc>
        <w:tc>
          <w:tcPr>
            <w:tcW w:w="1387" w:type="dxa"/>
          </w:tcPr>
          <w:p>
            <w:pPr>
              <w:pStyle w:val="TableParagraph"/>
              <w:spacing w:before="119"/>
              <w:ind w:left="0" w:right="198"/>
              <w:jc w:val="right"/>
              <w:rPr>
                <w:rFonts w:ascii="Calibri"/>
                <w:sz w:val="22"/>
              </w:rPr>
            </w:pPr>
            <w:r>
              <w:rPr>
                <w:rFonts w:ascii="Calibri"/>
                <w:sz w:val="22"/>
              </w:rPr>
              <w:t>30</w:t>
            </w:r>
          </w:p>
        </w:tc>
      </w:tr>
      <w:tr>
        <w:trPr>
          <w:trHeight w:val="835" w:hRule="exact"/>
        </w:trPr>
        <w:tc>
          <w:tcPr>
            <w:tcW w:w="733" w:type="dxa"/>
          </w:tcPr>
          <w:p>
            <w:pPr>
              <w:pStyle w:val="TableParagraph"/>
              <w:spacing w:before="108"/>
              <w:rPr>
                <w:sz w:val="24"/>
              </w:rPr>
            </w:pPr>
            <w:r>
              <w:rPr>
                <w:w w:val="99"/>
                <w:sz w:val="24"/>
              </w:rPr>
              <w:t>5</w:t>
            </w:r>
          </w:p>
        </w:tc>
        <w:tc>
          <w:tcPr>
            <w:tcW w:w="7049" w:type="dxa"/>
          </w:tcPr>
          <w:p>
            <w:pPr>
              <w:pStyle w:val="TableParagraph"/>
              <w:spacing w:line="271" w:lineRule="auto" w:before="113"/>
              <w:ind w:left="144" w:right="732"/>
              <w:rPr>
                <w:sz w:val="24"/>
              </w:rPr>
            </w:pPr>
            <w:r>
              <w:rPr>
                <w:sz w:val="24"/>
              </w:rPr>
              <w:t>Índice de fagocitosis de neutrófilos sobre </w:t>
            </w:r>
            <w:r>
              <w:rPr>
                <w:i/>
                <w:sz w:val="24"/>
              </w:rPr>
              <w:t>S. aureus</w:t>
            </w:r>
            <w:r>
              <w:rPr>
                <w:sz w:val="24"/>
              </w:rPr>
              <w:t>: epifluorescencia</w:t>
            </w:r>
          </w:p>
        </w:tc>
        <w:tc>
          <w:tcPr>
            <w:tcW w:w="1387" w:type="dxa"/>
          </w:tcPr>
          <w:p>
            <w:pPr>
              <w:pStyle w:val="TableParagraph"/>
              <w:spacing w:before="119"/>
              <w:ind w:left="0" w:right="198"/>
              <w:jc w:val="right"/>
              <w:rPr>
                <w:rFonts w:ascii="Calibri"/>
                <w:sz w:val="22"/>
              </w:rPr>
            </w:pPr>
            <w:r>
              <w:rPr>
                <w:rFonts w:ascii="Calibri"/>
                <w:sz w:val="22"/>
              </w:rPr>
              <w:t>31</w:t>
            </w:r>
          </w:p>
        </w:tc>
      </w:tr>
      <w:tr>
        <w:trPr>
          <w:trHeight w:val="836" w:hRule="exact"/>
        </w:trPr>
        <w:tc>
          <w:tcPr>
            <w:tcW w:w="733" w:type="dxa"/>
          </w:tcPr>
          <w:p>
            <w:pPr>
              <w:pStyle w:val="TableParagraph"/>
              <w:spacing w:before="108"/>
              <w:rPr>
                <w:sz w:val="24"/>
              </w:rPr>
            </w:pPr>
            <w:r>
              <w:rPr>
                <w:w w:val="99"/>
                <w:sz w:val="24"/>
              </w:rPr>
              <w:t>6</w:t>
            </w:r>
          </w:p>
        </w:tc>
        <w:tc>
          <w:tcPr>
            <w:tcW w:w="7049" w:type="dxa"/>
          </w:tcPr>
          <w:p>
            <w:pPr>
              <w:pStyle w:val="TableParagraph"/>
              <w:spacing w:line="271" w:lineRule="auto" w:before="113"/>
              <w:ind w:left="144" w:right="732"/>
              <w:rPr>
                <w:sz w:val="24"/>
              </w:rPr>
            </w:pPr>
            <w:r>
              <w:rPr>
                <w:sz w:val="24"/>
              </w:rPr>
              <w:t>Inducción de apoptosis de neutrófilos por </w:t>
            </w:r>
            <w:r>
              <w:rPr>
                <w:i/>
                <w:sz w:val="24"/>
              </w:rPr>
              <w:t>S. aureus</w:t>
            </w:r>
            <w:r>
              <w:rPr>
                <w:sz w:val="24"/>
              </w:rPr>
              <w:t>: epifluorescencia</w:t>
            </w:r>
          </w:p>
        </w:tc>
        <w:tc>
          <w:tcPr>
            <w:tcW w:w="1387" w:type="dxa"/>
          </w:tcPr>
          <w:p>
            <w:pPr>
              <w:pStyle w:val="TableParagraph"/>
              <w:spacing w:before="119"/>
              <w:ind w:left="0" w:right="198"/>
              <w:jc w:val="right"/>
              <w:rPr>
                <w:rFonts w:ascii="Calibri"/>
                <w:sz w:val="22"/>
              </w:rPr>
            </w:pPr>
            <w:r>
              <w:rPr>
                <w:rFonts w:ascii="Calibri"/>
                <w:sz w:val="22"/>
              </w:rPr>
              <w:t>33</w:t>
            </w:r>
          </w:p>
        </w:tc>
      </w:tr>
      <w:tr>
        <w:trPr>
          <w:trHeight w:val="696" w:hRule="exact"/>
        </w:trPr>
        <w:tc>
          <w:tcPr>
            <w:tcW w:w="733" w:type="dxa"/>
          </w:tcPr>
          <w:p>
            <w:pPr>
              <w:pStyle w:val="TableParagraph"/>
              <w:spacing w:before="108"/>
              <w:rPr>
                <w:sz w:val="24"/>
              </w:rPr>
            </w:pPr>
            <w:r>
              <w:rPr>
                <w:w w:val="99"/>
                <w:sz w:val="24"/>
              </w:rPr>
              <w:t>7</w:t>
            </w:r>
          </w:p>
        </w:tc>
        <w:tc>
          <w:tcPr>
            <w:tcW w:w="7049" w:type="dxa"/>
          </w:tcPr>
          <w:p>
            <w:pPr>
              <w:pStyle w:val="TableParagraph"/>
              <w:spacing w:line="271" w:lineRule="auto" w:before="113"/>
              <w:ind w:left="144" w:right="732"/>
              <w:rPr>
                <w:sz w:val="24"/>
              </w:rPr>
            </w:pPr>
            <w:r>
              <w:rPr>
                <w:sz w:val="24"/>
              </w:rPr>
              <w:t>Inducción de apoptosis de neutrófilos por </w:t>
            </w:r>
            <w:r>
              <w:rPr>
                <w:i/>
                <w:sz w:val="24"/>
              </w:rPr>
              <w:t>S. aureus</w:t>
            </w:r>
            <w:r>
              <w:rPr>
                <w:sz w:val="24"/>
              </w:rPr>
              <w:t>: Annexin-V FITC</w:t>
            </w:r>
          </w:p>
        </w:tc>
        <w:tc>
          <w:tcPr>
            <w:tcW w:w="1387" w:type="dxa"/>
          </w:tcPr>
          <w:p>
            <w:pPr>
              <w:pStyle w:val="TableParagraph"/>
              <w:spacing w:before="119"/>
              <w:ind w:left="0" w:right="198"/>
              <w:jc w:val="right"/>
              <w:rPr>
                <w:rFonts w:ascii="Calibri"/>
                <w:sz w:val="22"/>
              </w:rPr>
            </w:pPr>
            <w:r>
              <w:rPr>
                <w:rFonts w:ascii="Calibri"/>
                <w:sz w:val="22"/>
              </w:rPr>
              <w:t>35</w:t>
            </w:r>
          </w:p>
        </w:tc>
      </w:tr>
    </w:tbl>
    <w:p>
      <w:pPr>
        <w:spacing w:after="0"/>
        <w:jc w:val="right"/>
        <w:rPr>
          <w:rFonts w:ascii="Calibri"/>
          <w:sz w:val="22"/>
        </w:rPr>
        <w:sectPr>
          <w:pgSz w:w="12240" w:h="15840"/>
          <w:pgMar w:header="726" w:footer="1527" w:top="1200" w:bottom="1720" w:left="1380" w:right="1460"/>
        </w:sectPr>
      </w:pPr>
    </w:p>
    <w:p>
      <w:pPr>
        <w:pStyle w:val="BodyText"/>
        <w:spacing w:before="9"/>
        <w:rPr>
          <w:b/>
          <w:sz w:val="18"/>
        </w:rPr>
      </w:pPr>
    </w:p>
    <w:p>
      <w:pPr>
        <w:pStyle w:val="Heading1"/>
        <w:ind w:left="319"/>
      </w:pPr>
      <w:bookmarkStart w:name="_bookmark4" w:id="5"/>
      <w:bookmarkEnd w:id="5"/>
      <w:r>
        <w:rPr>
          <w:b w:val="0"/>
        </w:rPr>
      </w:r>
      <w:r>
        <w:rPr/>
        <w:t>ÍNDICE DE FIGURAS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4"/>
        <w:rPr>
          <w:b/>
          <w:sz w:val="17"/>
        </w:rPr>
      </w:pPr>
    </w:p>
    <w:tbl>
      <w:tblPr>
        <w:tblW w:w="0" w:type="auto"/>
        <w:jc w:val="left"/>
        <w:tblInd w:w="11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86"/>
        <w:gridCol w:w="7181"/>
        <w:gridCol w:w="1281"/>
      </w:tblGrid>
      <w:tr>
        <w:trPr>
          <w:trHeight w:val="382" w:hRule="exact"/>
        </w:trPr>
        <w:tc>
          <w:tcPr>
            <w:tcW w:w="786" w:type="dxa"/>
          </w:tcPr>
          <w:p>
            <w:pPr>
              <w:pStyle w:val="TableParagraph"/>
              <w:spacing w:line="227" w:lineRule="exact"/>
              <w:rPr>
                <w:b/>
                <w:sz w:val="22"/>
              </w:rPr>
            </w:pPr>
            <w:r>
              <w:rPr>
                <w:b/>
                <w:sz w:val="22"/>
              </w:rPr>
              <w:t>No.</w:t>
            </w:r>
          </w:p>
        </w:tc>
        <w:tc>
          <w:tcPr>
            <w:tcW w:w="7181" w:type="dxa"/>
          </w:tcPr>
          <w:p>
            <w:pPr>
              <w:pStyle w:val="TableParagraph"/>
              <w:spacing w:line="245" w:lineRule="exact"/>
              <w:ind w:left="235" w:right="389"/>
              <w:rPr>
                <w:b/>
                <w:sz w:val="24"/>
              </w:rPr>
            </w:pPr>
            <w:r>
              <w:rPr>
                <w:b/>
                <w:sz w:val="24"/>
              </w:rPr>
              <w:t>CONTENIDO</w:t>
            </w:r>
          </w:p>
        </w:tc>
        <w:tc>
          <w:tcPr>
            <w:tcW w:w="1281" w:type="dxa"/>
          </w:tcPr>
          <w:p>
            <w:pPr>
              <w:pStyle w:val="TableParagraph"/>
              <w:spacing w:line="245" w:lineRule="exact"/>
              <w:ind w:left="0" w:right="206"/>
              <w:jc w:val="right"/>
              <w:rPr>
                <w:b/>
                <w:sz w:val="24"/>
              </w:rPr>
            </w:pPr>
            <w:r>
              <w:rPr>
                <w:b/>
                <w:sz w:val="24"/>
              </w:rPr>
              <w:t>PÁG.</w:t>
            </w:r>
          </w:p>
        </w:tc>
      </w:tr>
      <w:tr>
        <w:trPr>
          <w:trHeight w:val="523" w:hRule="exact"/>
        </w:trPr>
        <w:tc>
          <w:tcPr>
            <w:tcW w:w="786" w:type="dxa"/>
          </w:tcPr>
          <w:p>
            <w:pPr>
              <w:pStyle w:val="TableParagraph"/>
              <w:spacing w:before="111"/>
              <w:rPr>
                <w:sz w:val="24"/>
              </w:rPr>
            </w:pPr>
            <w:r>
              <w:rPr>
                <w:w w:val="99"/>
                <w:sz w:val="24"/>
              </w:rPr>
              <w:t>1</w:t>
            </w:r>
          </w:p>
        </w:tc>
        <w:tc>
          <w:tcPr>
            <w:tcW w:w="7181" w:type="dxa"/>
          </w:tcPr>
          <w:p>
            <w:pPr>
              <w:pStyle w:val="TableParagraph"/>
              <w:spacing w:before="111"/>
              <w:ind w:left="235" w:right="389"/>
              <w:rPr>
                <w:i/>
                <w:sz w:val="24"/>
              </w:rPr>
            </w:pPr>
            <w:r>
              <w:rPr>
                <w:sz w:val="24"/>
              </w:rPr>
              <w:t>Tinción Gram de </w:t>
            </w:r>
            <w:r>
              <w:rPr>
                <w:i/>
                <w:sz w:val="24"/>
              </w:rPr>
              <w:t>S. aureus</w:t>
            </w:r>
          </w:p>
        </w:tc>
        <w:tc>
          <w:tcPr>
            <w:tcW w:w="1281" w:type="dxa"/>
          </w:tcPr>
          <w:p>
            <w:pPr>
              <w:pStyle w:val="TableParagraph"/>
              <w:spacing w:before="111"/>
              <w:ind w:left="0" w:right="200"/>
              <w:jc w:val="right"/>
              <w:rPr>
                <w:sz w:val="24"/>
              </w:rPr>
            </w:pPr>
            <w:r>
              <w:rPr>
                <w:w w:val="99"/>
                <w:sz w:val="24"/>
              </w:rPr>
              <w:t>4</w:t>
            </w:r>
          </w:p>
        </w:tc>
      </w:tr>
      <w:tr>
        <w:trPr>
          <w:trHeight w:val="833" w:hRule="exact"/>
        </w:trPr>
        <w:tc>
          <w:tcPr>
            <w:tcW w:w="786" w:type="dxa"/>
          </w:tcPr>
          <w:p>
            <w:pPr>
              <w:pStyle w:val="TableParagraph"/>
              <w:spacing w:before="112"/>
              <w:rPr>
                <w:rFonts w:ascii="Calibri"/>
                <w:sz w:val="24"/>
              </w:rPr>
            </w:pPr>
            <w:r>
              <w:rPr>
                <w:rFonts w:ascii="Calibri"/>
                <w:sz w:val="24"/>
              </w:rPr>
              <w:t>2</w:t>
            </w:r>
          </w:p>
        </w:tc>
        <w:tc>
          <w:tcPr>
            <w:tcW w:w="7181" w:type="dxa"/>
          </w:tcPr>
          <w:p>
            <w:pPr>
              <w:pStyle w:val="TableParagraph"/>
              <w:spacing w:line="271" w:lineRule="auto" w:before="111"/>
              <w:ind w:left="235" w:right="389"/>
              <w:rPr>
                <w:sz w:val="24"/>
              </w:rPr>
            </w:pPr>
            <w:r>
              <w:rPr>
                <w:sz w:val="24"/>
              </w:rPr>
              <w:t>Microscopía electrónica de transmisión de un neutrófilo bovino aislado de sangre</w:t>
            </w:r>
          </w:p>
        </w:tc>
        <w:tc>
          <w:tcPr>
            <w:tcW w:w="1281" w:type="dxa"/>
          </w:tcPr>
          <w:p>
            <w:pPr>
              <w:pStyle w:val="TableParagraph"/>
              <w:spacing w:before="112"/>
              <w:ind w:left="0" w:right="198"/>
              <w:jc w:val="right"/>
              <w:rPr>
                <w:rFonts w:ascii="Calibri"/>
                <w:sz w:val="24"/>
              </w:rPr>
            </w:pPr>
            <w:r>
              <w:rPr>
                <w:rFonts w:ascii="Calibri"/>
                <w:sz w:val="24"/>
              </w:rPr>
              <w:t>7</w:t>
            </w:r>
          </w:p>
        </w:tc>
      </w:tr>
      <w:tr>
        <w:trPr>
          <w:trHeight w:val="540" w:hRule="exact"/>
        </w:trPr>
        <w:tc>
          <w:tcPr>
            <w:tcW w:w="786" w:type="dxa"/>
          </w:tcPr>
          <w:p>
            <w:pPr>
              <w:pStyle w:val="TableParagraph"/>
              <w:spacing w:before="114"/>
              <w:rPr>
                <w:rFonts w:ascii="Calibri"/>
                <w:sz w:val="24"/>
              </w:rPr>
            </w:pPr>
            <w:r>
              <w:rPr>
                <w:rFonts w:ascii="Calibri"/>
                <w:sz w:val="24"/>
              </w:rPr>
              <w:t>3</w:t>
            </w:r>
          </w:p>
        </w:tc>
        <w:tc>
          <w:tcPr>
            <w:tcW w:w="7181" w:type="dxa"/>
          </w:tcPr>
          <w:p>
            <w:pPr>
              <w:pStyle w:val="TableParagraph"/>
              <w:spacing w:before="108"/>
              <w:ind w:left="235" w:right="389"/>
              <w:rPr>
                <w:sz w:val="24"/>
              </w:rPr>
            </w:pPr>
            <w:r>
              <w:rPr>
                <w:sz w:val="24"/>
              </w:rPr>
              <w:t>Fagocitosis por el neutrófilo y actividad microbicida</w:t>
            </w:r>
          </w:p>
        </w:tc>
        <w:tc>
          <w:tcPr>
            <w:tcW w:w="1281" w:type="dxa"/>
          </w:tcPr>
          <w:p>
            <w:pPr>
              <w:pStyle w:val="TableParagraph"/>
              <w:spacing w:before="114"/>
              <w:ind w:left="0" w:right="204"/>
              <w:jc w:val="right"/>
              <w:rPr>
                <w:rFonts w:ascii="Calibri"/>
                <w:sz w:val="24"/>
              </w:rPr>
            </w:pPr>
            <w:r>
              <w:rPr>
                <w:rFonts w:ascii="Calibri"/>
                <w:sz w:val="24"/>
              </w:rPr>
              <w:t>10</w:t>
            </w:r>
          </w:p>
        </w:tc>
      </w:tr>
      <w:tr>
        <w:trPr>
          <w:trHeight w:val="535" w:hRule="exact"/>
        </w:trPr>
        <w:tc>
          <w:tcPr>
            <w:tcW w:w="786" w:type="dxa"/>
          </w:tcPr>
          <w:p>
            <w:pPr>
              <w:pStyle w:val="TableParagraph"/>
              <w:spacing w:before="112"/>
              <w:rPr>
                <w:rFonts w:ascii="Calibri"/>
                <w:sz w:val="24"/>
              </w:rPr>
            </w:pPr>
            <w:r>
              <w:rPr>
                <w:rFonts w:ascii="Calibri"/>
                <w:sz w:val="24"/>
              </w:rPr>
              <w:t>4</w:t>
            </w:r>
          </w:p>
        </w:tc>
        <w:tc>
          <w:tcPr>
            <w:tcW w:w="7181" w:type="dxa"/>
          </w:tcPr>
          <w:p>
            <w:pPr>
              <w:pStyle w:val="TableParagraph"/>
              <w:spacing w:before="106"/>
              <w:ind w:left="235" w:right="389"/>
              <w:rPr>
                <w:sz w:val="24"/>
              </w:rPr>
            </w:pPr>
            <w:r>
              <w:rPr>
                <w:sz w:val="24"/>
              </w:rPr>
              <w:t>Vías del proceso de apoptosis</w:t>
            </w:r>
          </w:p>
        </w:tc>
        <w:tc>
          <w:tcPr>
            <w:tcW w:w="1281" w:type="dxa"/>
          </w:tcPr>
          <w:p>
            <w:pPr>
              <w:pStyle w:val="TableParagraph"/>
              <w:spacing w:before="117"/>
              <w:ind w:left="0" w:right="199"/>
              <w:jc w:val="right"/>
              <w:rPr>
                <w:rFonts w:ascii="Calibri"/>
                <w:sz w:val="22"/>
              </w:rPr>
            </w:pPr>
            <w:r>
              <w:rPr>
                <w:rFonts w:ascii="Calibri"/>
                <w:sz w:val="22"/>
              </w:rPr>
              <w:t>13</w:t>
            </w:r>
          </w:p>
        </w:tc>
      </w:tr>
      <w:tr>
        <w:trPr>
          <w:trHeight w:val="535" w:hRule="exact"/>
        </w:trPr>
        <w:tc>
          <w:tcPr>
            <w:tcW w:w="786" w:type="dxa"/>
          </w:tcPr>
          <w:p>
            <w:pPr>
              <w:pStyle w:val="TableParagraph"/>
              <w:spacing w:before="110"/>
              <w:rPr>
                <w:rFonts w:ascii="Calibri"/>
                <w:sz w:val="24"/>
              </w:rPr>
            </w:pPr>
            <w:r>
              <w:rPr>
                <w:rFonts w:ascii="Calibri"/>
                <w:sz w:val="24"/>
              </w:rPr>
              <w:t>5</w:t>
            </w:r>
          </w:p>
        </w:tc>
        <w:tc>
          <w:tcPr>
            <w:tcW w:w="7181" w:type="dxa"/>
          </w:tcPr>
          <w:p>
            <w:pPr>
              <w:pStyle w:val="TableParagraph"/>
              <w:spacing w:before="104"/>
              <w:ind w:left="235" w:right="389"/>
              <w:rPr>
                <w:sz w:val="24"/>
              </w:rPr>
            </w:pPr>
            <w:r>
              <w:rPr>
                <w:sz w:val="24"/>
              </w:rPr>
              <w:t>Prueba de California</w:t>
            </w:r>
          </w:p>
        </w:tc>
        <w:tc>
          <w:tcPr>
            <w:tcW w:w="1281" w:type="dxa"/>
          </w:tcPr>
          <w:p>
            <w:pPr>
              <w:pStyle w:val="TableParagraph"/>
              <w:spacing w:before="115"/>
              <w:ind w:left="0" w:right="199"/>
              <w:jc w:val="right"/>
              <w:rPr>
                <w:rFonts w:ascii="Calibri"/>
                <w:sz w:val="22"/>
              </w:rPr>
            </w:pPr>
            <w:r>
              <w:rPr>
                <w:rFonts w:ascii="Calibri"/>
                <w:sz w:val="22"/>
              </w:rPr>
              <w:t>24</w:t>
            </w:r>
          </w:p>
        </w:tc>
      </w:tr>
      <w:tr>
        <w:trPr>
          <w:trHeight w:val="538" w:hRule="exact"/>
        </w:trPr>
        <w:tc>
          <w:tcPr>
            <w:tcW w:w="786" w:type="dxa"/>
          </w:tcPr>
          <w:p>
            <w:pPr>
              <w:pStyle w:val="TableParagraph"/>
              <w:spacing w:before="112"/>
              <w:rPr>
                <w:rFonts w:ascii="Calibri"/>
                <w:sz w:val="24"/>
              </w:rPr>
            </w:pPr>
            <w:r>
              <w:rPr>
                <w:rFonts w:ascii="Calibri"/>
                <w:sz w:val="24"/>
              </w:rPr>
              <w:t>6</w:t>
            </w:r>
          </w:p>
        </w:tc>
        <w:tc>
          <w:tcPr>
            <w:tcW w:w="7181" w:type="dxa"/>
          </w:tcPr>
          <w:p>
            <w:pPr>
              <w:pStyle w:val="TableParagraph"/>
              <w:spacing w:before="106"/>
              <w:ind w:left="235" w:right="389"/>
              <w:rPr>
                <w:sz w:val="24"/>
              </w:rPr>
            </w:pPr>
            <w:r>
              <w:rPr>
                <w:sz w:val="24"/>
              </w:rPr>
              <w:t>Cultivo de </w:t>
            </w:r>
            <w:r>
              <w:rPr>
                <w:i/>
                <w:sz w:val="24"/>
              </w:rPr>
              <w:t>S. aureus </w:t>
            </w:r>
            <w:r>
              <w:rPr>
                <w:sz w:val="24"/>
              </w:rPr>
              <w:t>en Agar Sal y Manitol</w:t>
            </w:r>
          </w:p>
        </w:tc>
        <w:tc>
          <w:tcPr>
            <w:tcW w:w="1281" w:type="dxa"/>
          </w:tcPr>
          <w:p>
            <w:pPr>
              <w:pStyle w:val="TableParagraph"/>
              <w:spacing w:before="117"/>
              <w:ind w:left="0" w:right="199"/>
              <w:jc w:val="right"/>
              <w:rPr>
                <w:rFonts w:ascii="Calibri"/>
                <w:sz w:val="22"/>
              </w:rPr>
            </w:pPr>
            <w:r>
              <w:rPr>
                <w:rFonts w:ascii="Calibri"/>
                <w:sz w:val="22"/>
              </w:rPr>
              <w:t>24</w:t>
            </w:r>
          </w:p>
        </w:tc>
      </w:tr>
      <w:tr>
        <w:trPr>
          <w:trHeight w:val="538" w:hRule="exact"/>
        </w:trPr>
        <w:tc>
          <w:tcPr>
            <w:tcW w:w="786" w:type="dxa"/>
          </w:tcPr>
          <w:p>
            <w:pPr>
              <w:pStyle w:val="TableParagraph"/>
              <w:spacing w:before="112"/>
              <w:rPr>
                <w:rFonts w:ascii="Calibri"/>
                <w:sz w:val="24"/>
              </w:rPr>
            </w:pPr>
            <w:r>
              <w:rPr>
                <w:rFonts w:ascii="Calibri"/>
                <w:sz w:val="24"/>
              </w:rPr>
              <w:t>7</w:t>
            </w:r>
          </w:p>
        </w:tc>
        <w:tc>
          <w:tcPr>
            <w:tcW w:w="7181" w:type="dxa"/>
          </w:tcPr>
          <w:p>
            <w:pPr>
              <w:pStyle w:val="TableParagraph"/>
              <w:spacing w:before="106"/>
              <w:ind w:left="235" w:right="389"/>
              <w:rPr>
                <w:sz w:val="24"/>
              </w:rPr>
            </w:pPr>
            <w:r>
              <w:rPr>
                <w:sz w:val="24"/>
              </w:rPr>
              <w:t>Prueba de aglutinación</w:t>
            </w:r>
          </w:p>
        </w:tc>
        <w:tc>
          <w:tcPr>
            <w:tcW w:w="1281" w:type="dxa"/>
          </w:tcPr>
          <w:p>
            <w:pPr>
              <w:pStyle w:val="TableParagraph"/>
              <w:spacing w:before="117"/>
              <w:ind w:left="0" w:right="199"/>
              <w:jc w:val="right"/>
              <w:rPr>
                <w:rFonts w:ascii="Calibri"/>
                <w:sz w:val="22"/>
              </w:rPr>
            </w:pPr>
            <w:r>
              <w:rPr>
                <w:rFonts w:ascii="Calibri"/>
                <w:sz w:val="22"/>
              </w:rPr>
              <w:t>25</w:t>
            </w:r>
          </w:p>
        </w:tc>
      </w:tr>
      <w:tr>
        <w:trPr>
          <w:trHeight w:val="538" w:hRule="exact"/>
        </w:trPr>
        <w:tc>
          <w:tcPr>
            <w:tcW w:w="786" w:type="dxa"/>
          </w:tcPr>
          <w:p>
            <w:pPr>
              <w:pStyle w:val="TableParagraph"/>
              <w:spacing w:before="112"/>
              <w:rPr>
                <w:rFonts w:ascii="Calibri"/>
                <w:sz w:val="24"/>
              </w:rPr>
            </w:pPr>
            <w:r>
              <w:rPr>
                <w:rFonts w:ascii="Calibri"/>
                <w:sz w:val="24"/>
              </w:rPr>
              <w:t>8</w:t>
            </w:r>
          </w:p>
        </w:tc>
        <w:tc>
          <w:tcPr>
            <w:tcW w:w="7181" w:type="dxa"/>
          </w:tcPr>
          <w:p>
            <w:pPr>
              <w:pStyle w:val="TableParagraph"/>
              <w:spacing w:before="106"/>
              <w:ind w:left="235" w:right="389"/>
              <w:rPr>
                <w:sz w:val="24"/>
              </w:rPr>
            </w:pPr>
            <w:r>
              <w:rPr>
                <w:sz w:val="24"/>
              </w:rPr>
              <w:t>Prueba de viabilidad de neutrófilos</w:t>
            </w:r>
          </w:p>
        </w:tc>
        <w:tc>
          <w:tcPr>
            <w:tcW w:w="1281" w:type="dxa"/>
          </w:tcPr>
          <w:p>
            <w:pPr>
              <w:pStyle w:val="TableParagraph"/>
              <w:spacing w:before="117"/>
              <w:ind w:left="0" w:right="199"/>
              <w:jc w:val="right"/>
              <w:rPr>
                <w:rFonts w:ascii="Calibri"/>
                <w:sz w:val="22"/>
              </w:rPr>
            </w:pPr>
            <w:r>
              <w:rPr>
                <w:rFonts w:ascii="Calibri"/>
                <w:sz w:val="22"/>
              </w:rPr>
              <w:t>25</w:t>
            </w:r>
          </w:p>
        </w:tc>
      </w:tr>
      <w:tr>
        <w:trPr>
          <w:trHeight w:val="540" w:hRule="exact"/>
        </w:trPr>
        <w:tc>
          <w:tcPr>
            <w:tcW w:w="786" w:type="dxa"/>
          </w:tcPr>
          <w:p>
            <w:pPr>
              <w:pStyle w:val="TableParagraph"/>
              <w:spacing w:before="112"/>
              <w:rPr>
                <w:rFonts w:ascii="Calibri"/>
                <w:sz w:val="24"/>
              </w:rPr>
            </w:pPr>
            <w:r>
              <w:rPr>
                <w:rFonts w:ascii="Calibri"/>
                <w:sz w:val="24"/>
              </w:rPr>
              <w:t>9</w:t>
            </w:r>
          </w:p>
        </w:tc>
        <w:tc>
          <w:tcPr>
            <w:tcW w:w="7181" w:type="dxa"/>
          </w:tcPr>
          <w:p>
            <w:pPr>
              <w:pStyle w:val="TableParagraph"/>
              <w:spacing w:before="106"/>
              <w:ind w:left="235" w:right="389"/>
              <w:rPr>
                <w:sz w:val="24"/>
              </w:rPr>
            </w:pPr>
            <w:r>
              <w:rPr>
                <w:sz w:val="24"/>
              </w:rPr>
              <w:t>Neutrófilos tenidos con May Grünwald-Giemsa</w:t>
            </w:r>
          </w:p>
        </w:tc>
        <w:tc>
          <w:tcPr>
            <w:tcW w:w="1281" w:type="dxa"/>
          </w:tcPr>
          <w:p>
            <w:pPr>
              <w:pStyle w:val="TableParagraph"/>
              <w:spacing w:before="117"/>
              <w:ind w:left="0" w:right="199"/>
              <w:jc w:val="right"/>
              <w:rPr>
                <w:rFonts w:ascii="Calibri"/>
                <w:sz w:val="22"/>
              </w:rPr>
            </w:pPr>
            <w:r>
              <w:rPr>
                <w:rFonts w:ascii="Calibri"/>
                <w:sz w:val="22"/>
              </w:rPr>
              <w:t>25</w:t>
            </w:r>
          </w:p>
        </w:tc>
      </w:tr>
      <w:tr>
        <w:trPr>
          <w:trHeight w:val="831" w:hRule="exact"/>
        </w:trPr>
        <w:tc>
          <w:tcPr>
            <w:tcW w:w="786" w:type="dxa"/>
          </w:tcPr>
          <w:p>
            <w:pPr>
              <w:pStyle w:val="TableParagraph"/>
              <w:spacing w:before="110"/>
              <w:rPr>
                <w:rFonts w:ascii="Calibri"/>
                <w:sz w:val="24"/>
              </w:rPr>
            </w:pPr>
            <w:r>
              <w:rPr>
                <w:rFonts w:ascii="Calibri"/>
                <w:sz w:val="24"/>
              </w:rPr>
              <w:t>10</w:t>
            </w:r>
          </w:p>
        </w:tc>
        <w:tc>
          <w:tcPr>
            <w:tcW w:w="7181" w:type="dxa"/>
          </w:tcPr>
          <w:p>
            <w:pPr>
              <w:pStyle w:val="TableParagraph"/>
              <w:spacing w:line="271" w:lineRule="auto" w:before="108"/>
              <w:ind w:left="235" w:right="389"/>
              <w:rPr>
                <w:sz w:val="24"/>
              </w:rPr>
            </w:pPr>
            <w:r>
              <w:rPr>
                <w:sz w:val="24"/>
              </w:rPr>
              <w:t>Neutrófilos bovinos apoptóticos teñidos con May Grünwald- Giemsa</w:t>
            </w:r>
          </w:p>
        </w:tc>
        <w:tc>
          <w:tcPr>
            <w:tcW w:w="1281" w:type="dxa"/>
          </w:tcPr>
          <w:p>
            <w:pPr>
              <w:pStyle w:val="TableParagraph"/>
              <w:spacing w:before="114"/>
              <w:ind w:left="0" w:right="199"/>
              <w:jc w:val="right"/>
              <w:rPr>
                <w:rFonts w:ascii="Calibri"/>
                <w:sz w:val="22"/>
              </w:rPr>
            </w:pPr>
            <w:r>
              <w:rPr>
                <w:rFonts w:ascii="Calibri"/>
                <w:sz w:val="22"/>
              </w:rPr>
              <w:t>28</w:t>
            </w:r>
          </w:p>
        </w:tc>
      </w:tr>
      <w:tr>
        <w:trPr>
          <w:trHeight w:val="543" w:hRule="exact"/>
        </w:trPr>
        <w:tc>
          <w:tcPr>
            <w:tcW w:w="786" w:type="dxa"/>
          </w:tcPr>
          <w:p>
            <w:pPr>
              <w:pStyle w:val="TableParagraph"/>
              <w:spacing w:before="115"/>
              <w:rPr>
                <w:rFonts w:ascii="Calibri"/>
                <w:sz w:val="24"/>
              </w:rPr>
            </w:pPr>
            <w:r>
              <w:rPr>
                <w:rFonts w:ascii="Calibri"/>
                <w:sz w:val="24"/>
              </w:rPr>
              <w:t>11</w:t>
            </w:r>
          </w:p>
        </w:tc>
        <w:tc>
          <w:tcPr>
            <w:tcW w:w="7181" w:type="dxa"/>
          </w:tcPr>
          <w:p>
            <w:pPr>
              <w:pStyle w:val="TableParagraph"/>
              <w:spacing w:before="108"/>
              <w:ind w:left="235" w:right="389"/>
              <w:rPr>
                <w:sz w:val="24"/>
              </w:rPr>
            </w:pPr>
            <w:r>
              <w:rPr>
                <w:sz w:val="24"/>
              </w:rPr>
              <w:t>Fagocitosis por neutrófilos: epifluorescencia</w:t>
            </w:r>
          </w:p>
        </w:tc>
        <w:tc>
          <w:tcPr>
            <w:tcW w:w="1281" w:type="dxa"/>
          </w:tcPr>
          <w:p>
            <w:pPr>
              <w:pStyle w:val="TableParagraph"/>
              <w:spacing w:before="119"/>
              <w:ind w:left="0" w:right="199"/>
              <w:jc w:val="right"/>
              <w:rPr>
                <w:rFonts w:ascii="Calibri"/>
                <w:sz w:val="22"/>
              </w:rPr>
            </w:pPr>
            <w:r>
              <w:rPr>
                <w:rFonts w:ascii="Calibri"/>
                <w:sz w:val="22"/>
              </w:rPr>
              <w:t>31</w:t>
            </w:r>
          </w:p>
        </w:tc>
      </w:tr>
      <w:tr>
        <w:trPr>
          <w:trHeight w:val="828" w:hRule="exact"/>
        </w:trPr>
        <w:tc>
          <w:tcPr>
            <w:tcW w:w="786" w:type="dxa"/>
          </w:tcPr>
          <w:p>
            <w:pPr>
              <w:pStyle w:val="TableParagraph"/>
              <w:spacing w:before="110"/>
              <w:rPr>
                <w:rFonts w:ascii="Calibri"/>
                <w:sz w:val="24"/>
              </w:rPr>
            </w:pPr>
            <w:r>
              <w:rPr>
                <w:rFonts w:ascii="Calibri"/>
                <w:sz w:val="24"/>
              </w:rPr>
              <w:t>12</w:t>
            </w:r>
          </w:p>
        </w:tc>
        <w:tc>
          <w:tcPr>
            <w:tcW w:w="7181" w:type="dxa"/>
          </w:tcPr>
          <w:p>
            <w:pPr>
              <w:pStyle w:val="TableParagraph"/>
              <w:spacing w:line="271" w:lineRule="auto" w:before="108"/>
              <w:ind w:left="235" w:right="389"/>
              <w:rPr>
                <w:sz w:val="24"/>
              </w:rPr>
            </w:pPr>
            <w:r>
              <w:rPr>
                <w:sz w:val="24"/>
              </w:rPr>
              <w:t>Apoptosis de neutrófilos, teñidos con Naranja de Acridina y Bromuro de Etidio.</w:t>
            </w:r>
          </w:p>
        </w:tc>
        <w:tc>
          <w:tcPr>
            <w:tcW w:w="1281" w:type="dxa"/>
          </w:tcPr>
          <w:p>
            <w:pPr>
              <w:pStyle w:val="TableParagraph"/>
              <w:spacing w:before="114"/>
              <w:ind w:left="0" w:right="199"/>
              <w:jc w:val="right"/>
              <w:rPr>
                <w:rFonts w:ascii="Calibri"/>
                <w:sz w:val="22"/>
              </w:rPr>
            </w:pPr>
            <w:r>
              <w:rPr>
                <w:rFonts w:ascii="Calibri"/>
                <w:sz w:val="22"/>
              </w:rPr>
              <w:t>34</w:t>
            </w:r>
          </w:p>
        </w:tc>
      </w:tr>
      <w:tr>
        <w:trPr>
          <w:trHeight w:val="538" w:hRule="exact"/>
        </w:trPr>
        <w:tc>
          <w:tcPr>
            <w:tcW w:w="786" w:type="dxa"/>
          </w:tcPr>
          <w:p>
            <w:pPr>
              <w:pStyle w:val="TableParagraph"/>
              <w:spacing w:before="112"/>
              <w:rPr>
                <w:rFonts w:ascii="Calibri"/>
                <w:sz w:val="24"/>
              </w:rPr>
            </w:pPr>
            <w:r>
              <w:rPr>
                <w:rFonts w:ascii="Calibri"/>
                <w:sz w:val="24"/>
              </w:rPr>
              <w:t>13</w:t>
            </w:r>
          </w:p>
        </w:tc>
        <w:tc>
          <w:tcPr>
            <w:tcW w:w="7181" w:type="dxa"/>
          </w:tcPr>
          <w:p>
            <w:pPr>
              <w:pStyle w:val="TableParagraph"/>
              <w:spacing w:before="106"/>
              <w:ind w:left="235" w:right="389"/>
              <w:rPr>
                <w:sz w:val="24"/>
              </w:rPr>
            </w:pPr>
            <w:r>
              <w:rPr>
                <w:sz w:val="24"/>
              </w:rPr>
              <w:t>Formación de cuerpos apoptóticos</w:t>
            </w:r>
          </w:p>
        </w:tc>
        <w:tc>
          <w:tcPr>
            <w:tcW w:w="1281" w:type="dxa"/>
          </w:tcPr>
          <w:p>
            <w:pPr>
              <w:pStyle w:val="TableParagraph"/>
              <w:spacing w:before="117"/>
              <w:ind w:left="0" w:right="199"/>
              <w:jc w:val="right"/>
              <w:rPr>
                <w:rFonts w:ascii="Calibri"/>
                <w:sz w:val="22"/>
              </w:rPr>
            </w:pPr>
            <w:r>
              <w:rPr>
                <w:rFonts w:ascii="Calibri"/>
                <w:sz w:val="22"/>
              </w:rPr>
              <w:t>34</w:t>
            </w:r>
          </w:p>
        </w:tc>
      </w:tr>
      <w:tr>
        <w:trPr>
          <w:trHeight w:val="401" w:hRule="exact"/>
        </w:trPr>
        <w:tc>
          <w:tcPr>
            <w:tcW w:w="786" w:type="dxa"/>
          </w:tcPr>
          <w:p>
            <w:pPr>
              <w:pStyle w:val="TableParagraph"/>
              <w:spacing w:before="112"/>
              <w:rPr>
                <w:rFonts w:ascii="Calibri"/>
                <w:sz w:val="24"/>
              </w:rPr>
            </w:pPr>
            <w:r>
              <w:rPr>
                <w:rFonts w:ascii="Calibri"/>
                <w:sz w:val="24"/>
              </w:rPr>
              <w:t>14</w:t>
            </w:r>
          </w:p>
        </w:tc>
        <w:tc>
          <w:tcPr>
            <w:tcW w:w="7181" w:type="dxa"/>
          </w:tcPr>
          <w:p>
            <w:pPr>
              <w:pStyle w:val="TableParagraph"/>
              <w:spacing w:before="106"/>
              <w:ind w:left="235" w:right="389"/>
              <w:rPr>
                <w:sz w:val="24"/>
              </w:rPr>
            </w:pPr>
            <w:r>
              <w:rPr>
                <w:sz w:val="24"/>
              </w:rPr>
              <w:t>Apoptosis de neutrófilos  evaluada con Annexin-V FITC</w:t>
            </w:r>
          </w:p>
        </w:tc>
        <w:tc>
          <w:tcPr>
            <w:tcW w:w="1281" w:type="dxa"/>
          </w:tcPr>
          <w:p>
            <w:pPr>
              <w:pStyle w:val="TableParagraph"/>
              <w:spacing w:before="117"/>
              <w:ind w:left="0" w:right="199"/>
              <w:jc w:val="right"/>
              <w:rPr>
                <w:rFonts w:ascii="Calibri"/>
                <w:sz w:val="22"/>
              </w:rPr>
            </w:pPr>
            <w:r>
              <w:rPr>
                <w:rFonts w:ascii="Calibri"/>
                <w:sz w:val="22"/>
              </w:rPr>
              <w:t>35</w:t>
            </w:r>
          </w:p>
        </w:tc>
      </w:tr>
    </w:tbl>
    <w:p>
      <w:pPr>
        <w:spacing w:after="0"/>
        <w:jc w:val="right"/>
        <w:rPr>
          <w:rFonts w:ascii="Calibri"/>
          <w:sz w:val="22"/>
        </w:rPr>
        <w:sectPr>
          <w:footerReference w:type="default" r:id="rId12"/>
          <w:pgSz w:w="12240" w:h="15840"/>
          <w:pgMar w:footer="1527" w:header="726" w:top="1200" w:bottom="1720" w:left="1380" w:right="1380"/>
          <w:pgNumType w:start="14"/>
        </w:sectPr>
      </w:pPr>
    </w:p>
    <w:p>
      <w:pPr>
        <w:pStyle w:val="BodyText"/>
        <w:rPr>
          <w:b/>
          <w:sz w:val="20"/>
        </w:rPr>
      </w:pPr>
    </w:p>
    <w:p>
      <w:pPr>
        <w:pStyle w:val="Heading1"/>
        <w:numPr>
          <w:ilvl w:val="0"/>
          <w:numId w:val="4"/>
        </w:numPr>
        <w:tabs>
          <w:tab w:pos="468" w:val="left" w:leader="none"/>
        </w:tabs>
        <w:spacing w:line="240" w:lineRule="auto" w:before="193" w:after="0"/>
        <w:ind w:left="467" w:right="0" w:hanging="308"/>
        <w:jc w:val="both"/>
      </w:pPr>
      <w:bookmarkStart w:name="_bookmark5" w:id="6"/>
      <w:bookmarkEnd w:id="6"/>
      <w:r>
        <w:rPr>
          <w:b w:val="0"/>
        </w:rPr>
      </w:r>
      <w:bookmarkStart w:name="_bookmark5" w:id="7"/>
      <w:bookmarkEnd w:id="7"/>
      <w:r>
        <w:rPr/>
        <w:t>I</w:t>
      </w:r>
      <w:r>
        <w:rPr/>
        <w:t>NTRODUCCIÓN</w:t>
      </w:r>
    </w:p>
    <w:p>
      <w:pPr>
        <w:pStyle w:val="BodyText"/>
        <w:rPr>
          <w:b/>
          <w:sz w:val="28"/>
        </w:rPr>
      </w:pPr>
    </w:p>
    <w:p>
      <w:pPr>
        <w:pStyle w:val="BodyText"/>
        <w:spacing w:before="6"/>
        <w:rPr>
          <w:b/>
        </w:rPr>
      </w:pPr>
    </w:p>
    <w:p>
      <w:pPr>
        <w:pStyle w:val="BodyText"/>
        <w:spacing w:line="360" w:lineRule="auto"/>
        <w:ind w:left="159" w:right="155"/>
        <w:jc w:val="both"/>
      </w:pPr>
      <w:r>
        <w:rPr/>
        <w:t>El </w:t>
      </w:r>
      <w:r>
        <w:rPr>
          <w:i/>
        </w:rPr>
        <w:t>Staphylococcus aureus </w:t>
      </w:r>
      <w:r>
        <w:rPr/>
        <w:t>es el principal patógeno causante de mastitis en las vacas lecheras. La persistencia de la infección en la glándula mamaria se encuentra asociada a los factores de virulencia que contribuyen a acentuar la inflamación y la respuesta leucocitaria local. La capsula de </w:t>
      </w:r>
      <w:r>
        <w:rPr>
          <w:i/>
        </w:rPr>
        <w:t>S. aureus</w:t>
      </w:r>
      <w:r>
        <w:rPr/>
        <w:t>, recubre la pared bacteriana y es un factor de virulencia que contribuyendo a evadir la respuesta inmune innata a través de la opsonización y la fagocitosis afectando la resistencia de la glándula mamaria. Se han identificado 11 serotipos capsulares del exopolisacárido de </w:t>
      </w:r>
      <w:r>
        <w:rPr>
          <w:i/>
        </w:rPr>
        <w:t>S. aureu</w:t>
      </w:r>
      <w:r>
        <w:rPr/>
        <w:t>s en aislados de leche de animales con mastitis; de los cuales CP5 y CP8 son considerados los </w:t>
      </w:r>
      <w:r>
        <w:rPr>
          <w:spacing w:val="-3"/>
        </w:rPr>
        <w:t>más </w:t>
      </w:r>
      <w:r>
        <w:rPr/>
        <w:t>patógenos por su alta prevalencia.</w:t>
      </w:r>
    </w:p>
    <w:p>
      <w:pPr>
        <w:pStyle w:val="BodyText"/>
        <w:spacing w:line="360" w:lineRule="auto" w:before="209"/>
        <w:ind w:left="159" w:right="153"/>
        <w:jc w:val="both"/>
      </w:pPr>
      <w:r>
        <w:rPr/>
        <w:t>La migración de los leucocitos polimorfonucleares (PMN) en la glándula mamaria constituye la primera línea de defensa celular frente a infección bacteriana a través de la fagocitosis. En respuesta a los estímulos quimiotácticos, los PMN los neutrófilos tiene una migración trasendotelial en el capilar, en el acino glandular mamario transepitelialmente con una la liberación de metaloproteinasas en la matriz, derivada de la degranulación. Durante la migración por diapédesis los PMN disminuyen las reservas de glucógeno resultando en la disminución de la fagocitosis y actividad de la explosión oxidativa. Adicionalmente la migración transepitelial induce de manera precoz la apoptosis en los neutrófilos de las vacas; la presencia de los glóbulos de grasa y las micelas de caseína en la leche afectan de igual manera la actividad de fagocitosis de los PMN.</w:t>
      </w:r>
    </w:p>
    <w:p>
      <w:pPr>
        <w:pStyle w:val="BodyText"/>
        <w:spacing w:line="360" w:lineRule="auto" w:before="209"/>
        <w:ind w:left="159" w:right="153"/>
        <w:jc w:val="both"/>
      </w:pPr>
      <w:r>
        <w:rPr/>
        <w:t>Durante la infección por los patógenos, el proceso de apoptosis de los neutrófilos se produce por la activación de la cascada de caspasas ya sea por la vía intrínseca o extrínseca, resultando en la fragmentación del ADN y formación de cuerpos apoptóticos. La apoptosis se acompañada de una reducción de la capacidad de respuesta a estímulos y disminución de la intensidad de  </w:t>
      </w:r>
      <w:r>
        <w:rPr>
          <w:spacing w:val="38"/>
        </w:rPr>
        <w:t> </w:t>
      </w:r>
      <w:r>
        <w:rPr/>
        <w:t>fagocitosis</w:t>
      </w:r>
    </w:p>
    <w:p>
      <w:pPr>
        <w:pStyle w:val="BodyText"/>
        <w:spacing w:before="3"/>
        <w:ind w:left="159"/>
        <w:jc w:val="both"/>
      </w:pPr>
      <w:r>
        <w:rPr/>
        <w:t>de los PMN al ocurrir la activación de la explosión respiratoria. Este tipo de muerte</w:t>
      </w:r>
    </w:p>
    <w:p>
      <w:pPr>
        <w:spacing w:after="0"/>
        <w:jc w:val="both"/>
        <w:sectPr>
          <w:footerReference w:type="default" r:id="rId13"/>
          <w:pgSz w:w="12240" w:h="15840"/>
          <w:pgMar w:footer="1527" w:header="726" w:top="1200" w:bottom="1720" w:left="1540" w:right="1540"/>
          <w:pgNumType w:start="1"/>
        </w:sectPr>
      </w:pPr>
    </w:p>
    <w:p>
      <w:pPr>
        <w:pStyle w:val="BodyText"/>
        <w:spacing w:before="8"/>
        <w:rPr>
          <w:sz w:val="15"/>
        </w:rPr>
      </w:pPr>
    </w:p>
    <w:p>
      <w:pPr>
        <w:pStyle w:val="BodyText"/>
        <w:spacing w:line="360" w:lineRule="auto" w:before="69"/>
        <w:ind w:left="159" w:right="156"/>
        <w:jc w:val="both"/>
      </w:pPr>
      <w:r>
        <w:rPr/>
        <w:t>celular se ve afectada con la expresión de la cápsula por </w:t>
      </w:r>
      <w:r>
        <w:rPr>
          <w:i/>
        </w:rPr>
        <w:t>S. aureus, </w:t>
      </w:r>
      <w:r>
        <w:rPr/>
        <w:t>ocasionando la persistencia de la infección en la glándula</w:t>
      </w:r>
      <w:r>
        <w:rPr>
          <w:spacing w:val="-24"/>
        </w:rPr>
        <w:t> </w:t>
      </w:r>
      <w:r>
        <w:rPr/>
        <w:t>mamaria.</w:t>
      </w:r>
    </w:p>
    <w:p>
      <w:pPr>
        <w:pStyle w:val="BodyText"/>
      </w:pPr>
    </w:p>
    <w:p>
      <w:pPr>
        <w:pStyle w:val="BodyText"/>
        <w:spacing w:line="360" w:lineRule="auto" w:before="145"/>
        <w:ind w:left="159" w:right="153"/>
        <w:jc w:val="both"/>
      </w:pPr>
      <w:r>
        <w:rPr/>
        <w:t>Lo anterior hace necesario entender el mecanismo de infección de </w:t>
      </w:r>
      <w:r>
        <w:rPr>
          <w:i/>
        </w:rPr>
        <w:t>S. aureus </w:t>
      </w:r>
      <w:r>
        <w:rPr/>
        <w:t>de tipo CP5 y CP8 y </w:t>
      </w:r>
      <w:r>
        <w:rPr>
          <w:spacing w:val="-3"/>
        </w:rPr>
        <w:t>su </w:t>
      </w:r>
      <w:r>
        <w:rPr/>
        <w:t>influencia sobre la fagocitosis y la apoptosis en los neutrófilos para explicar el mecanismo de infección de </w:t>
      </w:r>
      <w:r>
        <w:rPr>
          <w:i/>
        </w:rPr>
        <w:t>S. aureus </w:t>
      </w:r>
      <w:r>
        <w:rPr/>
        <w:t>en la glándula mamaria en las vacas lecheras. El objetivo del estudios fue evaluar la actividad de fagocitosis y la inducción de apoptosis de los neutrófilos de vacas mediante la exposición </w:t>
      </w:r>
      <w:r>
        <w:rPr>
          <w:i/>
          <w:spacing w:val="-3"/>
        </w:rPr>
        <w:t>in  </w:t>
      </w:r>
      <w:r>
        <w:rPr>
          <w:i/>
        </w:rPr>
        <w:t>vitro </w:t>
      </w:r>
      <w:r>
        <w:rPr/>
        <w:t>al </w:t>
      </w:r>
      <w:r>
        <w:rPr>
          <w:i/>
        </w:rPr>
        <w:t>S. aureus </w:t>
      </w:r>
      <w:r>
        <w:rPr/>
        <w:t>de tipo CP5 y</w:t>
      </w:r>
      <w:r>
        <w:rPr>
          <w:spacing w:val="-11"/>
        </w:rPr>
        <w:t> </w:t>
      </w:r>
      <w:r>
        <w:rPr/>
        <w:t>CP8.</w:t>
      </w:r>
    </w:p>
    <w:p>
      <w:pPr>
        <w:spacing w:after="0" w:line="360" w:lineRule="auto"/>
        <w:jc w:val="both"/>
        <w:sectPr>
          <w:pgSz w:w="12240" w:h="15840"/>
          <w:pgMar w:header="726" w:footer="1527" w:top="1200" w:bottom="1720" w:left="1540" w:right="1540"/>
        </w:sectPr>
      </w:pPr>
    </w:p>
    <w:p>
      <w:pPr>
        <w:pStyle w:val="BodyText"/>
        <w:rPr>
          <w:sz w:val="20"/>
        </w:rPr>
      </w:pPr>
    </w:p>
    <w:p>
      <w:pPr>
        <w:pStyle w:val="BodyText"/>
        <w:spacing w:before="4"/>
        <w:rPr>
          <w:sz w:val="16"/>
        </w:rPr>
      </w:pPr>
    </w:p>
    <w:p>
      <w:pPr>
        <w:pStyle w:val="Heading1"/>
        <w:numPr>
          <w:ilvl w:val="0"/>
          <w:numId w:val="4"/>
        </w:numPr>
        <w:tabs>
          <w:tab w:pos="468" w:val="left" w:leader="none"/>
        </w:tabs>
        <w:spacing w:line="240" w:lineRule="auto" w:before="63" w:after="0"/>
        <w:ind w:left="467" w:right="0" w:hanging="308"/>
        <w:jc w:val="both"/>
      </w:pPr>
      <w:bookmarkStart w:name="_bookmark6" w:id="8"/>
      <w:bookmarkEnd w:id="8"/>
      <w:r>
        <w:rPr>
          <w:b w:val="0"/>
        </w:rPr>
      </w:r>
      <w:bookmarkStart w:name="_bookmark6" w:id="9"/>
      <w:bookmarkEnd w:id="9"/>
      <w:r>
        <w:rPr/>
        <w:t>R</w:t>
      </w:r>
      <w:r>
        <w:rPr/>
        <w:t>EVISIÓN DE</w:t>
      </w:r>
      <w:r>
        <w:rPr>
          <w:spacing w:val="-9"/>
        </w:rPr>
        <w:t> </w:t>
      </w:r>
      <w:r>
        <w:rPr/>
        <w:t>LITERATURA</w:t>
      </w:r>
    </w:p>
    <w:p>
      <w:pPr>
        <w:pStyle w:val="BodyText"/>
        <w:rPr>
          <w:b/>
          <w:sz w:val="28"/>
        </w:rPr>
      </w:pPr>
    </w:p>
    <w:p>
      <w:pPr>
        <w:pStyle w:val="BodyText"/>
        <w:spacing w:before="8"/>
        <w:rPr>
          <w:b/>
          <w:sz w:val="38"/>
        </w:rPr>
      </w:pPr>
    </w:p>
    <w:p>
      <w:pPr>
        <w:spacing w:before="0"/>
        <w:ind w:left="159" w:right="0" w:firstLine="0"/>
        <w:jc w:val="both"/>
        <w:rPr>
          <w:b/>
          <w:i/>
          <w:sz w:val="24"/>
        </w:rPr>
      </w:pPr>
      <w:bookmarkStart w:name="_bookmark7" w:id="10"/>
      <w:bookmarkEnd w:id="10"/>
      <w:r>
        <w:rPr/>
      </w:r>
      <w:r>
        <w:rPr>
          <w:b/>
          <w:sz w:val="24"/>
        </w:rPr>
        <w:t>INFECCIÓN DE LA GLÁNDULA MAMARIA BOVINA POR </w:t>
      </w:r>
      <w:r>
        <w:rPr>
          <w:b/>
          <w:i/>
          <w:sz w:val="24"/>
        </w:rPr>
        <w:t>Staphylococcus</w:t>
      </w:r>
    </w:p>
    <w:p>
      <w:pPr>
        <w:pStyle w:val="Heading4"/>
        <w:spacing w:before="137"/>
        <w:rPr>
          <w:i/>
        </w:rPr>
      </w:pPr>
      <w:r>
        <w:rPr>
          <w:i/>
        </w:rPr>
        <w:t>aureus</w:t>
      </w:r>
    </w:p>
    <w:p>
      <w:pPr>
        <w:pStyle w:val="BodyText"/>
        <w:rPr>
          <w:b/>
          <w:i/>
        </w:rPr>
      </w:pPr>
    </w:p>
    <w:p>
      <w:pPr>
        <w:pStyle w:val="BodyText"/>
        <w:spacing w:before="7"/>
        <w:rPr>
          <w:b/>
          <w:i/>
          <w:sz w:val="29"/>
        </w:rPr>
      </w:pPr>
    </w:p>
    <w:p>
      <w:pPr>
        <w:pStyle w:val="BodyText"/>
        <w:spacing w:line="360" w:lineRule="auto"/>
        <w:ind w:left="159" w:right="157"/>
        <w:jc w:val="both"/>
      </w:pPr>
      <w:r>
        <w:rPr/>
        <w:t>La mastitis es la principal enfermedad del ganado lechero siendo </w:t>
      </w:r>
      <w:r>
        <w:rPr>
          <w:i/>
        </w:rPr>
        <w:t>S. aureus </w:t>
      </w:r>
      <w:r>
        <w:rPr/>
        <w:t>el patógeno causal más importante (Hogan </w:t>
      </w:r>
      <w:r>
        <w:rPr>
          <w:i/>
        </w:rPr>
        <w:t>et al., </w:t>
      </w:r>
      <w:r>
        <w:rPr/>
        <w:t>1995). Durante este proceso infeccioso la producción de leche disminuye al afectarse la capa secretora del tejido glandular repercutiendo así mismo en las características fisicoquímicas de la leche y causando pérdidas económicas en el sector agropecuario. En respuesta a la infección glandular, hay un incremento del conteo de células somáticas (CCS) (Hass </w:t>
      </w:r>
      <w:r>
        <w:rPr>
          <w:i/>
        </w:rPr>
        <w:t>et al</w:t>
      </w:r>
      <w:r>
        <w:rPr/>
        <w:t>., 2004; Leither, </w:t>
      </w:r>
      <w:r>
        <w:rPr>
          <w:i/>
        </w:rPr>
        <w:t>et al</w:t>
      </w:r>
      <w:r>
        <w:rPr/>
        <w:t>., 2000) principalmente en la proporción de leucocitos, que migran, al ser estimulados los mecanismos inmunes de la glándula mamaria ante el desarrollo de la mastitis (Kimura </w:t>
      </w:r>
      <w:r>
        <w:rPr>
          <w:i/>
        </w:rPr>
        <w:t>et al</w:t>
      </w:r>
      <w:r>
        <w:rPr/>
        <w:t>., 2008).</w:t>
      </w:r>
    </w:p>
    <w:p>
      <w:pPr>
        <w:pStyle w:val="BodyText"/>
        <w:spacing w:line="357" w:lineRule="auto" w:before="209"/>
        <w:ind w:left="159" w:right="155"/>
        <w:jc w:val="both"/>
      </w:pPr>
      <w:r>
        <w:rPr/>
        <w:t>El incremento en el nivel de células somáticas, particularmente durante la fase crónica de la mastitis causada por </w:t>
      </w:r>
      <w:r>
        <w:rPr>
          <w:i/>
        </w:rPr>
        <w:t>S. aureus </w:t>
      </w:r>
      <w:r>
        <w:rPr/>
        <w:t>principalmente es en la proporción de neutrófilos de 3 a 22% en glándulas mamarias no infectadas a 55-98% en glándulas infectadas (Riollet </w:t>
      </w:r>
      <w:r>
        <w:rPr>
          <w:i/>
        </w:rPr>
        <w:t>et al., </w:t>
      </w:r>
      <w:r>
        <w:rPr/>
        <w:t>2001).</w:t>
      </w:r>
    </w:p>
    <w:p>
      <w:pPr>
        <w:pStyle w:val="BodyText"/>
        <w:spacing w:line="360" w:lineRule="auto" w:before="212"/>
        <w:ind w:left="159" w:right="154"/>
        <w:jc w:val="both"/>
      </w:pPr>
      <w:r>
        <w:rPr/>
        <w:t>La persistencia de la infección en la glándula mamaria se encuentra asociada a los factores de virulencia de </w:t>
      </w:r>
      <w:r>
        <w:rPr>
          <w:i/>
        </w:rPr>
        <w:t>S. aureus </w:t>
      </w:r>
      <w:r>
        <w:rPr/>
        <w:t>que contribuyen a acentuar la inflamación y la respuesta leucocitaria local (Sladek </w:t>
      </w:r>
      <w:r>
        <w:rPr>
          <w:i/>
        </w:rPr>
        <w:t>et al</w:t>
      </w:r>
      <w:r>
        <w:rPr/>
        <w:t>., 2005). Un factor de virulencia importante que contribuye a evadir la respuesta inmune innata del hospedero es la cápsula compuesta de polisacáridos que recubre la pared bacteriana afectando la resistencia de la glándula mamaria (Sutra y Poutrel, 1994)</w:t>
      </w:r>
    </w:p>
    <w:p>
      <w:pPr>
        <w:pStyle w:val="BodyText"/>
        <w:spacing w:line="360" w:lineRule="auto" w:before="209"/>
        <w:ind w:left="159" w:right="154"/>
        <w:jc w:val="both"/>
      </w:pPr>
      <w:r>
        <w:rPr/>
        <w:t>El </w:t>
      </w:r>
      <w:r>
        <w:rPr>
          <w:i/>
        </w:rPr>
        <w:t>S. aureus </w:t>
      </w:r>
      <w:r>
        <w:rPr/>
        <w:t>tiene la habilidad de situarse intracelularmente en células epiteliales y en los fagocitos que incrementan la sobrevivencia intracelular y reducen el efecto de  los  antibióticos  sobre  la  bacteria.  </w:t>
      </w:r>
      <w:r>
        <w:rPr>
          <w:i/>
        </w:rPr>
        <w:t>Staphylococcus  aureus  </w:t>
      </w:r>
      <w:r>
        <w:rPr/>
        <w:t>son  coco   Gram</w:t>
      </w:r>
    </w:p>
    <w:p>
      <w:pPr>
        <w:spacing w:after="0" w:line="360" w:lineRule="auto"/>
        <w:jc w:val="both"/>
        <w:sectPr>
          <w:pgSz w:w="12240" w:h="15840"/>
          <w:pgMar w:header="726" w:footer="1527" w:top="1200" w:bottom="1720" w:left="1540" w:right="1540"/>
        </w:sectPr>
      </w:pPr>
    </w:p>
    <w:p>
      <w:pPr>
        <w:pStyle w:val="BodyText"/>
        <w:spacing w:before="8"/>
        <w:rPr>
          <w:sz w:val="15"/>
        </w:rPr>
      </w:pPr>
    </w:p>
    <w:p>
      <w:pPr>
        <w:pStyle w:val="BodyText"/>
        <w:spacing w:line="360" w:lineRule="auto" w:before="69"/>
        <w:ind w:left="159" w:right="152"/>
        <w:jc w:val="both"/>
      </w:pPr>
      <w:r>
        <w:rPr/>
        <w:t>positivos agrupados en racimos de 1 micra de diámetro (Figura 1). La pared celular está compuesta de peptidoglicano ácidos tecoicos que constituyen el 40% del peso de la pared. </w:t>
      </w:r>
      <w:r>
        <w:rPr>
          <w:i/>
        </w:rPr>
        <w:t>S. aureus </w:t>
      </w:r>
      <w:r>
        <w:rPr/>
        <w:t>posee diferentes factores de virulencia que </w:t>
      </w:r>
      <w:r>
        <w:rPr>
          <w:spacing w:val="-3"/>
        </w:rPr>
        <w:t>se </w:t>
      </w:r>
      <w:r>
        <w:rPr/>
        <w:t>clasifican en tres categorías de acuerdo a su participación en el proceso de infección: 1) adherencia a la célula huésped o matriz extracelular </w:t>
      </w:r>
      <w:r>
        <w:rPr>
          <w:spacing w:val="-4"/>
        </w:rPr>
        <w:t>como </w:t>
      </w:r>
      <w:r>
        <w:rPr/>
        <w:t>las proteínas de unión a fibrinógeno, fibronectina, colágeno y coagulasa; 2) evasión  de las defensas del huésped como las enterotoxinas, la leucocidina de Panton- Valentine, proteína A, lipasas y polisacáridos capsulares; 3) invasión de la célula huésped y penetración de los tejidos como la toxina α, hemolisinas β, γ y δ (Bustos-Martínez, </w:t>
      </w:r>
      <w:r>
        <w:rPr>
          <w:i/>
        </w:rPr>
        <w:t>et al.</w:t>
      </w:r>
      <w:r>
        <w:rPr/>
        <w:t>,</w:t>
      </w:r>
      <w:r>
        <w:rPr>
          <w:spacing w:val="-10"/>
        </w:rPr>
        <w:t> </w:t>
      </w:r>
      <w:r>
        <w:rPr/>
        <w:t>2006).</w:t>
      </w:r>
    </w:p>
    <w:p>
      <w:pPr>
        <w:pStyle w:val="BodyText"/>
        <w:rPr>
          <w:sz w:val="20"/>
        </w:rPr>
      </w:pPr>
    </w:p>
    <w:p>
      <w:pPr>
        <w:pStyle w:val="BodyText"/>
        <w:rPr>
          <w:sz w:val="20"/>
        </w:rPr>
      </w:pPr>
    </w:p>
    <w:p>
      <w:pPr>
        <w:pStyle w:val="BodyText"/>
        <w:spacing w:before="1"/>
        <w:rPr>
          <w:sz w:val="28"/>
        </w:rPr>
      </w:pPr>
      <w:r>
        <w:rPr/>
        <w:drawing>
          <wp:anchor distT="0" distB="0" distL="0" distR="0" allowOverlap="1" layoutInCell="1" locked="0" behindDoc="0" simplePos="0" relativeHeight="0">
            <wp:simplePos x="0" y="0"/>
            <wp:positionH relativeFrom="page">
              <wp:posOffset>2624454</wp:posOffset>
            </wp:positionH>
            <wp:positionV relativeFrom="paragraph">
              <wp:posOffset>229944</wp:posOffset>
            </wp:positionV>
            <wp:extent cx="2501147" cy="2083974"/>
            <wp:effectExtent l="0" t="0" r="0" b="0"/>
            <wp:wrapTopAndBottom/>
            <wp:docPr id="3" name="image2.jpeg" descr=""/>
            <wp:cNvGraphicFramePr>
              <a:graphicFrameLocks noChangeAspect="1"/>
            </wp:cNvGraphicFramePr>
            <a:graphic>
              <a:graphicData uri="http://schemas.openxmlformats.org/drawingml/2006/picture">
                <pic:pic>
                  <pic:nvPicPr>
                    <pic:cNvPr id="4" name="image2.jpeg"/>
                    <pic:cNvPicPr/>
                  </pic:nvPicPr>
                  <pic:blipFill>
                    <a:blip r:embed="rId14" cstate="print"/>
                    <a:stretch>
                      <a:fillRect/>
                    </a:stretch>
                  </pic:blipFill>
                  <pic:spPr>
                    <a:xfrm>
                      <a:off x="0" y="0"/>
                      <a:ext cx="2501147" cy="2083974"/>
                    </a:xfrm>
                    <a:prstGeom prst="rect">
                      <a:avLst/>
                    </a:prstGeom>
                  </pic:spPr>
                </pic:pic>
              </a:graphicData>
            </a:graphic>
          </wp:anchor>
        </w:drawing>
      </w:r>
    </w:p>
    <w:p>
      <w:pPr>
        <w:spacing w:line="278" w:lineRule="auto" w:before="104"/>
        <w:ind w:left="2604" w:right="2525" w:firstLine="0"/>
        <w:jc w:val="left"/>
        <w:rPr>
          <w:sz w:val="20"/>
        </w:rPr>
      </w:pPr>
      <w:r>
        <w:rPr>
          <w:b/>
          <w:sz w:val="22"/>
        </w:rPr>
        <w:t>Figura 1</w:t>
      </w:r>
      <w:r>
        <w:rPr>
          <w:sz w:val="22"/>
        </w:rPr>
        <w:t>: Tinción Gram, muestra de </w:t>
      </w:r>
      <w:r>
        <w:rPr>
          <w:i/>
          <w:sz w:val="22"/>
        </w:rPr>
        <w:t>S. </w:t>
      </w:r>
      <w:r>
        <w:rPr>
          <w:i/>
          <w:sz w:val="22"/>
        </w:rPr>
        <w:t>aureus</w:t>
      </w:r>
      <w:r>
        <w:rPr>
          <w:sz w:val="22"/>
        </w:rPr>
        <w:t>, cocos positivos </w:t>
      </w:r>
      <w:r>
        <w:rPr>
          <w:sz w:val="20"/>
        </w:rPr>
        <w:t>100X.</w:t>
      </w:r>
    </w:p>
    <w:p>
      <w:pPr>
        <w:pStyle w:val="BodyText"/>
        <w:rPr>
          <w:sz w:val="20"/>
        </w:rPr>
      </w:pPr>
    </w:p>
    <w:p>
      <w:pPr>
        <w:pStyle w:val="BodyText"/>
        <w:rPr>
          <w:sz w:val="20"/>
        </w:rPr>
      </w:pPr>
    </w:p>
    <w:p>
      <w:pPr>
        <w:pStyle w:val="BodyText"/>
        <w:rPr>
          <w:sz w:val="20"/>
        </w:rPr>
      </w:pPr>
    </w:p>
    <w:p>
      <w:pPr>
        <w:pStyle w:val="BodyText"/>
        <w:spacing w:line="360" w:lineRule="auto" w:before="185"/>
        <w:ind w:left="159" w:right="158"/>
        <w:jc w:val="both"/>
      </w:pPr>
      <w:r>
        <w:rPr/>
        <w:t>Se han identificado 11 serotipos capsulares de </w:t>
      </w:r>
      <w:r>
        <w:rPr>
          <w:i/>
        </w:rPr>
        <w:t>S. aureu</w:t>
      </w:r>
      <w:r>
        <w:rPr/>
        <w:t>s en aislados de leche de animales con mastitis, de los cuales T5 y T8 son considerados los más patógenos por su alta prevalencia (42% y 45%) (Lee </w:t>
      </w:r>
      <w:r>
        <w:rPr>
          <w:i/>
        </w:rPr>
        <w:t>et al</w:t>
      </w:r>
      <w:r>
        <w:rPr/>
        <w:t>., 2005; Verdier </w:t>
      </w:r>
      <w:r>
        <w:rPr>
          <w:i/>
        </w:rPr>
        <w:t>et al</w:t>
      </w:r>
      <w:r>
        <w:rPr/>
        <w:t>., 2007).</w:t>
      </w:r>
    </w:p>
    <w:p>
      <w:pPr>
        <w:pStyle w:val="BodyText"/>
        <w:spacing w:line="360" w:lineRule="auto" w:before="209"/>
        <w:ind w:left="159" w:right="154"/>
        <w:jc w:val="both"/>
      </w:pPr>
      <w:r>
        <w:rPr/>
        <w:t>T5 y T8 están formados por repetidas unidades de trisacáridos similares de N- acetil acido mannosaminurónico, N-acetil  L-fucosamina y N-acetil    F-fucosamina.</w:t>
      </w:r>
    </w:p>
    <w:p>
      <w:pPr>
        <w:spacing w:after="0" w:line="360" w:lineRule="auto"/>
        <w:jc w:val="both"/>
        <w:sectPr>
          <w:pgSz w:w="12240" w:h="15840"/>
          <w:pgMar w:header="726" w:footer="1527" w:top="1200" w:bottom="1720" w:left="1540" w:right="1540"/>
        </w:sectPr>
      </w:pPr>
    </w:p>
    <w:p>
      <w:pPr>
        <w:pStyle w:val="BodyText"/>
        <w:spacing w:before="8"/>
        <w:rPr>
          <w:sz w:val="15"/>
        </w:rPr>
      </w:pPr>
    </w:p>
    <w:p>
      <w:pPr>
        <w:pStyle w:val="BodyText"/>
        <w:spacing w:line="355" w:lineRule="auto" w:before="69"/>
        <w:ind w:left="159" w:right="162"/>
        <w:jc w:val="both"/>
      </w:pPr>
      <w:r>
        <w:rPr/>
        <w:t>Estos dos tipos capsulares son serológicamente distintos, existiendo diferencias  en los enlaces entre el azúcar y los sitios de O acetilación (Watts </w:t>
      </w:r>
      <w:r>
        <w:rPr>
          <w:i/>
        </w:rPr>
        <w:t>et al</w:t>
      </w:r>
      <w:r>
        <w:rPr/>
        <w:t>.,</w:t>
      </w:r>
      <w:r>
        <w:rPr>
          <w:spacing w:val="-26"/>
        </w:rPr>
        <w:t> </w:t>
      </w:r>
      <w:r>
        <w:rPr/>
        <w:t>2005).</w:t>
      </w:r>
    </w:p>
    <w:p>
      <w:pPr>
        <w:pStyle w:val="BodyText"/>
        <w:spacing w:line="360" w:lineRule="auto" w:before="215"/>
        <w:ind w:left="159" w:right="155"/>
        <w:jc w:val="both"/>
      </w:pPr>
      <w:r>
        <w:rPr/>
        <w:t>La proteína A y la cápsula son factores antifagocíticos que afectan la resistencia  de la glándula mamaria (Sladek y Rysanek 2000). Los polisacáridos capsulares ayudan a evadir la respuesta inmune innata al impedir la opsonización para que ocurra la fagocitosis eficaz del patógeno por los neutrófilos (O'Riordan y Lee, 2004).</w:t>
      </w:r>
    </w:p>
    <w:p>
      <w:pPr>
        <w:pStyle w:val="BodyText"/>
        <w:spacing w:line="360" w:lineRule="auto" w:before="209"/>
        <w:ind w:left="159" w:right="155"/>
        <w:jc w:val="both"/>
      </w:pPr>
      <w:r>
        <w:rPr/>
        <w:t>La migración de los neutrofilos (PMN) en la glándula mamaria proporciona la primera línea de defensa frente a patógenos durante la mastitis, jugando un papel crucial en la resistencia a la infección (Paape </w:t>
      </w:r>
      <w:r>
        <w:rPr>
          <w:i/>
        </w:rPr>
        <w:t>et al., </w:t>
      </w:r>
      <w:r>
        <w:rPr/>
        <w:t>2003; Velázquez </w:t>
      </w:r>
      <w:r>
        <w:rPr>
          <w:i/>
        </w:rPr>
        <w:t>et al</w:t>
      </w:r>
      <w:r>
        <w:rPr/>
        <w:t>., 2008). Los PMN tienen la habilidad de fagocitar y neutralizar bacterias mediante la generación de especies de oxígeno reactivo (Paape </w:t>
      </w:r>
      <w:r>
        <w:rPr>
          <w:i/>
        </w:rPr>
        <w:t>et al., </w:t>
      </w:r>
      <w:r>
        <w:rPr/>
        <w:t>2002). Por su parte el agente libera potentes toxinas que pueden neutralizar a los leucocitos y causar necrosis de las células epiteliales en la glándula mamaria que secreta citocinas para reclutar neutrófilos en el sitio de infección (Rinaldi </w:t>
      </w:r>
      <w:r>
        <w:rPr>
          <w:i/>
        </w:rPr>
        <w:t>et al., </w:t>
      </w:r>
      <w:r>
        <w:rPr/>
        <w:t>2006).</w:t>
      </w:r>
    </w:p>
    <w:p>
      <w:pPr>
        <w:pStyle w:val="BodyText"/>
      </w:pPr>
    </w:p>
    <w:p>
      <w:pPr>
        <w:pStyle w:val="BodyText"/>
      </w:pPr>
    </w:p>
    <w:p>
      <w:pPr>
        <w:pStyle w:val="BodyText"/>
        <w:spacing w:before="5"/>
        <w:rPr>
          <w:sz w:val="29"/>
        </w:rPr>
      </w:pPr>
    </w:p>
    <w:p>
      <w:pPr>
        <w:pStyle w:val="Heading3"/>
        <w:spacing w:line="360" w:lineRule="auto"/>
        <w:ind w:right="217"/>
        <w:jc w:val="both"/>
      </w:pPr>
      <w:bookmarkStart w:name="_bookmark8" w:id="11"/>
      <w:bookmarkEnd w:id="11"/>
      <w:r>
        <w:rPr>
          <w:b w:val="0"/>
        </w:rPr>
      </w:r>
      <w:r>
        <w:rPr/>
        <w:t>LOS NEUTRÓFILOS EN LA RESPUESTA INMUNE INNATA DE </w:t>
      </w:r>
      <w:r>
        <w:rPr>
          <w:spacing w:val="3"/>
        </w:rPr>
        <w:t>LA</w:t>
      </w:r>
      <w:r>
        <w:rPr>
          <w:spacing w:val="-34"/>
        </w:rPr>
        <w:t> </w:t>
      </w:r>
      <w:r>
        <w:rPr/>
        <w:t>GLÁNDULA MAMARIA</w:t>
      </w:r>
    </w:p>
    <w:p>
      <w:pPr>
        <w:pStyle w:val="BodyText"/>
        <w:rPr>
          <w:b/>
        </w:rPr>
      </w:pPr>
    </w:p>
    <w:p>
      <w:pPr>
        <w:pStyle w:val="BodyText"/>
        <w:rPr>
          <w:b/>
          <w:sz w:val="25"/>
        </w:rPr>
      </w:pPr>
    </w:p>
    <w:p>
      <w:pPr>
        <w:pStyle w:val="BodyText"/>
        <w:spacing w:line="360" w:lineRule="auto" w:before="1"/>
        <w:ind w:left="159" w:right="155"/>
        <w:jc w:val="both"/>
      </w:pPr>
      <w:r>
        <w:rPr/>
        <w:t>Los tejidos de la glándula mamaria están protegidos por 2 mecanismos de defensa: inmunidad innata e inmunidad adaptativa (Oviedo-Boyso, </w:t>
      </w:r>
      <w:r>
        <w:rPr>
          <w:i/>
        </w:rPr>
        <w:t>et al</w:t>
      </w:r>
      <w:r>
        <w:rPr/>
        <w:t>., 2007). La inmunidad innata de la glándula mamaria está dada por las barrera anatómica, fisiológica, fagocítica, inflamatoria. </w:t>
      </w:r>
      <w:r>
        <w:rPr>
          <w:spacing w:val="-4"/>
        </w:rPr>
        <w:t>El </w:t>
      </w:r>
      <w:r>
        <w:rPr/>
        <w:t>contacto de las bacterias al entrar en la glándula mamaria con las células somáticas en la leche y células epiteliales que la recubren inducen la activación del sistema inmune innato (Wellnitz y Bruckmaier, 2012).</w:t>
      </w:r>
    </w:p>
    <w:p>
      <w:pPr>
        <w:spacing w:after="0" w:line="360" w:lineRule="auto"/>
        <w:jc w:val="both"/>
        <w:sectPr>
          <w:pgSz w:w="12240" w:h="15840"/>
          <w:pgMar w:header="726" w:footer="1527" w:top="1200" w:bottom="1720" w:left="1540" w:right="1540"/>
        </w:sectPr>
      </w:pPr>
    </w:p>
    <w:p>
      <w:pPr>
        <w:pStyle w:val="BodyText"/>
        <w:spacing w:before="8"/>
        <w:rPr>
          <w:sz w:val="15"/>
        </w:rPr>
      </w:pPr>
    </w:p>
    <w:p>
      <w:pPr>
        <w:pStyle w:val="BodyText"/>
        <w:spacing w:line="360" w:lineRule="auto" w:before="69"/>
        <w:ind w:left="159" w:right="153"/>
        <w:jc w:val="both"/>
      </w:pPr>
      <w:r>
        <w:rPr/>
        <w:t>La piel y el canal del pezón son considerado la primera barrera contra patógenos. El estrato córneo de la piel evita la penetración de agua, así como la pérdida de capas inferiores, manteniendo suavidad y flexibilidad. </w:t>
      </w:r>
      <w:r>
        <w:rPr>
          <w:spacing w:val="-4"/>
        </w:rPr>
        <w:t>El </w:t>
      </w:r>
      <w:r>
        <w:rPr/>
        <w:t>canal del pezón está cubierto por queratina esencial para mantener la función de barrera física y  química (Sordillo </w:t>
      </w:r>
      <w:r>
        <w:rPr>
          <w:i/>
        </w:rPr>
        <w:t>et al., </w:t>
      </w:r>
      <w:r>
        <w:rPr/>
        <w:t>1997). La infección </w:t>
      </w:r>
      <w:r>
        <w:rPr>
          <w:spacing w:val="-3"/>
        </w:rPr>
        <w:t>se </w:t>
      </w:r>
      <w:r>
        <w:rPr/>
        <w:t>establece luego de que la bacteria gana la entrada a la glándula mamaria vía </w:t>
      </w:r>
      <w:r>
        <w:rPr>
          <w:spacing w:val="2"/>
        </w:rPr>
        <w:t>el </w:t>
      </w:r>
      <w:r>
        <w:rPr/>
        <w:t>canal del pezón. Si la interacción con el patógeno persiste y los niveles bacterianos aumentan en la glándula mamaria, las toxinas comienzan a dañas el epitelio mamario (Dallard, 2007). El número de células somáticas aumenta, el alveolo comienza a perder su integridad estructural y se rompe la barrera sangre leche. Los neutrófilos y macrófagos forman la barrera fagocítica.</w:t>
      </w:r>
    </w:p>
    <w:p>
      <w:pPr>
        <w:pStyle w:val="BodyText"/>
        <w:spacing w:line="360" w:lineRule="auto" w:before="209"/>
        <w:ind w:left="159" w:right="154"/>
        <w:jc w:val="both"/>
      </w:pPr>
      <w:r>
        <w:rPr/>
        <w:t>Los neutrófilos se forman en la médula ósea y constituyen de 20 a 30% de leucocitos sanguíneos en rumiantes, su vida media en la circulación es de 8.9 h (Papee </w:t>
      </w:r>
      <w:r>
        <w:rPr>
          <w:i/>
        </w:rPr>
        <w:t>et al</w:t>
      </w:r>
      <w:r>
        <w:rPr/>
        <w:t>., 2003).</w:t>
      </w:r>
    </w:p>
    <w:p>
      <w:pPr>
        <w:pStyle w:val="BodyText"/>
        <w:spacing w:line="360" w:lineRule="auto" w:before="209"/>
        <w:ind w:left="159" w:right="153"/>
        <w:jc w:val="both"/>
      </w:pPr>
      <w:r>
        <w:rPr/>
        <w:t>Los neutrófilos son células redondas de cerca de </w:t>
      </w:r>
      <w:r>
        <w:rPr>
          <w:spacing w:val="2"/>
        </w:rPr>
        <w:t>12μm </w:t>
      </w:r>
      <w:r>
        <w:rPr/>
        <w:t>de diámetro. La cromatina del núcleo es compacta y </w:t>
      </w:r>
      <w:r>
        <w:rPr>
          <w:spacing w:val="-4"/>
        </w:rPr>
        <w:t>toma </w:t>
      </w:r>
      <w:r>
        <w:rPr/>
        <w:t>una forma segmentada, poseen aparato de Golgi y algunas mitocondrias, en su citoplasma presentan granulaciones que pueden ser de tres tipos: gránulos primarios o azurófilos, gránulos secundarios o específicos y un tercer tipo de gránulos denominados “largos” o “novel” (Figura  2)  (Tizard, 2009). Los primeros contienen enzimas microbicidas, como mieloperoxidasa y lizosimas, proteasas neutrales </w:t>
      </w:r>
      <w:r>
        <w:rPr>
          <w:spacing w:val="-4"/>
        </w:rPr>
        <w:t>como </w:t>
      </w:r>
      <w:r>
        <w:rPr/>
        <w:t>elastasa e hidrolasas ácidas (glucuronidasa beta y la catepsina B) son los primeros en aparecer en el proceso de gramulopoyesis. Estos gránulos son peroxidasa positiva, la peroxidasa en presencia de peróxido de hidrógeno y los iones haluro matan a la bacteria  (Slauson y Cooper, 2002). Los gránulos secundarios contienen lisozimas, colagenasa y lactoferrina parecen en la etapa de mielocito, son peroxidasa negativa. La lisozima presente en gránulos azurófilos y secundarios es un importante componente bactericida, en bovinos la concentración de esta enzima se  presenta  en  bajas  concentraciones  en  gránulos  azurófilos  (Mehzard  </w:t>
      </w:r>
      <w:r>
        <w:rPr>
          <w:i/>
        </w:rPr>
        <w:t>et</w:t>
      </w:r>
      <w:r>
        <w:rPr>
          <w:i/>
          <w:spacing w:val="22"/>
        </w:rPr>
        <w:t> </w:t>
      </w:r>
      <w:r>
        <w:rPr>
          <w:i/>
        </w:rPr>
        <w:t>al</w:t>
      </w:r>
      <w:r>
        <w:rPr/>
        <w:t>.,</w:t>
      </w:r>
    </w:p>
    <w:p>
      <w:pPr>
        <w:spacing w:after="0" w:line="360" w:lineRule="auto"/>
        <w:jc w:val="both"/>
        <w:sectPr>
          <w:pgSz w:w="12240" w:h="15840"/>
          <w:pgMar w:header="726" w:footer="1527" w:top="1200" w:bottom="1720" w:left="1540" w:right="1540"/>
        </w:sectPr>
      </w:pPr>
    </w:p>
    <w:p>
      <w:pPr>
        <w:pStyle w:val="BodyText"/>
        <w:spacing w:before="8"/>
        <w:rPr>
          <w:sz w:val="15"/>
        </w:rPr>
      </w:pPr>
    </w:p>
    <w:p>
      <w:pPr>
        <w:pStyle w:val="BodyText"/>
        <w:spacing w:line="360" w:lineRule="auto" w:before="69"/>
        <w:ind w:left="159" w:right="154"/>
        <w:jc w:val="both"/>
      </w:pPr>
      <w:r>
        <w:rPr/>
        <w:t>2010). Los gránulos “novel” son más largos, densos y más numerosos que los gránulos azurófilos y secundarios, son peroxidasa negativa, contienen lactoferrina, β defensinas y proteínas altamente cationicas llamadas bactenecinas, Bac 7 y Bac</w:t>
      </w:r>
    </w:p>
    <w:p>
      <w:pPr>
        <w:pStyle w:val="BodyText"/>
        <w:spacing w:line="357" w:lineRule="auto" w:before="8"/>
        <w:ind w:left="159" w:right="153"/>
        <w:jc w:val="both"/>
      </w:pPr>
      <w:r>
        <w:rPr/>
        <w:t>5. Los gránulos predominantes en el citoplasma de PMN de leche parecen ser en mayor proporción gránulos azurófilos. Mientras que los PMN tienen un número reducido de gránulos secundarios en comparación con PMN de sangre (Paape </w:t>
      </w:r>
      <w:r>
        <w:rPr>
          <w:i/>
        </w:rPr>
        <w:t>et </w:t>
      </w:r>
      <w:r>
        <w:rPr>
          <w:i/>
        </w:rPr>
        <w:t>al</w:t>
      </w:r>
      <w:r>
        <w:rPr/>
        <w:t>., 2003).</w:t>
      </w:r>
    </w:p>
    <w:p>
      <w:pPr>
        <w:pStyle w:val="BodyText"/>
        <w:spacing w:before="10"/>
        <w:rPr>
          <w:sz w:val="14"/>
        </w:rPr>
      </w:pPr>
      <w:r>
        <w:rPr/>
        <w:pict>
          <v:group style="position:absolute;margin-left:181.699997pt;margin-top:10.517974pt;width:251pt;height:359.3pt;mso-position-horizontal-relative:page;mso-position-vertical-relative:paragraph;z-index:1072;mso-wrap-distance-left:0;mso-wrap-distance-right:0" coordorigin="3634,210" coordsize="5020,7186">
            <v:shape style="position:absolute;left:4013;top:210;width:4209;height:5458" type="#_x0000_t75" stroked="false">
              <v:imagedata r:id="rId15" o:title=""/>
            </v:shape>
            <v:rect style="position:absolute;left:3634;top:5628;width:5020;height:1768" filled="true" fillcolor="#ffffff" stroked="false">
              <v:fill type="solid"/>
            </v:rect>
            <v:shape style="position:absolute;left:3634;top:210;width:5020;height:7186" type="#_x0000_t202" filled="false" stroked="false">
              <v:textbox inset="0,0,0,0">
                <w:txbxContent>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10"/>
                      <w:rPr>
                        <w:sz w:val="16"/>
                      </w:rPr>
                    </w:pPr>
                  </w:p>
                  <w:p>
                    <w:pPr>
                      <w:spacing w:line="240" w:lineRule="auto" w:before="0"/>
                      <w:ind w:left="145" w:right="139" w:firstLine="0"/>
                      <w:jc w:val="both"/>
                      <w:rPr>
                        <w:sz w:val="20"/>
                      </w:rPr>
                    </w:pPr>
                    <w:r>
                      <w:rPr>
                        <w:b/>
                        <w:sz w:val="20"/>
                      </w:rPr>
                      <w:t>Figura 2. </w:t>
                    </w:r>
                    <w:r>
                      <w:rPr>
                        <w:sz w:val="20"/>
                      </w:rPr>
                      <w:t>Microscopía electrónica de transmisión de un neutrófilo bovino aislado de sangre. Núcleo multilobulado (N), gránulos de glucógeno (G), gránulos azurófilos o primarios (A), gránulos secundarios o específicos (E), gránulos terciarios o "novel", x 15000. Tomada de Paape, </w:t>
                    </w:r>
                    <w:r>
                      <w:rPr>
                        <w:i/>
                        <w:sz w:val="20"/>
                      </w:rPr>
                      <w:t>et. al</w:t>
                    </w:r>
                    <w:r>
                      <w:rPr>
                        <w:sz w:val="20"/>
                      </w:rPr>
                      <w:t>., 2003.</w:t>
                    </w:r>
                  </w:p>
                </w:txbxContent>
              </v:textbox>
              <w10:wrap type="none"/>
            </v:shape>
            <w10:wrap type="topAndBottom"/>
          </v:group>
        </w:pict>
      </w:r>
    </w:p>
    <w:p>
      <w:pPr>
        <w:pStyle w:val="BodyText"/>
        <w:rPr>
          <w:sz w:val="20"/>
        </w:rPr>
      </w:pPr>
    </w:p>
    <w:p>
      <w:pPr>
        <w:pStyle w:val="BodyText"/>
        <w:spacing w:before="1"/>
        <w:rPr>
          <w:sz w:val="19"/>
        </w:rPr>
      </w:pPr>
    </w:p>
    <w:p>
      <w:pPr>
        <w:pStyle w:val="BodyText"/>
        <w:spacing w:line="360" w:lineRule="auto"/>
        <w:ind w:left="159" w:right="156"/>
        <w:jc w:val="both"/>
      </w:pPr>
      <w:r>
        <w:rPr/>
        <w:t>El ciclo de vida de los PMN comprende tres fases: una fase intramedular desarrollada en la médula ósea, una circulatoria o sanguínea y la fase en los tejidos. Durante la fase intramedular se desarrolla la proliferación, maduración y almacenamiento  de  PMN  en  la  medula  ósea,  la  cual  comprende  la  etapa de</w:t>
      </w:r>
    </w:p>
    <w:p>
      <w:pPr>
        <w:spacing w:after="0" w:line="360" w:lineRule="auto"/>
        <w:jc w:val="both"/>
        <w:sectPr>
          <w:pgSz w:w="12240" w:h="15840"/>
          <w:pgMar w:header="726" w:footer="1527" w:top="1200" w:bottom="1720" w:left="1540" w:right="1540"/>
        </w:sectPr>
      </w:pPr>
    </w:p>
    <w:p>
      <w:pPr>
        <w:pStyle w:val="BodyText"/>
        <w:spacing w:before="8"/>
        <w:rPr>
          <w:sz w:val="15"/>
        </w:rPr>
      </w:pPr>
    </w:p>
    <w:p>
      <w:pPr>
        <w:pStyle w:val="BodyText"/>
        <w:spacing w:line="360" w:lineRule="auto" w:before="69"/>
        <w:ind w:left="159" w:right="153"/>
        <w:jc w:val="both"/>
      </w:pPr>
      <w:r>
        <w:rPr/>
        <w:t>diferenciación celular de mieloblastos, promielocitos y mielocitos. La maduración incluye el estado de mietamielocitos y células de banda (Rojas-Espinosa y Arce- Paredes, 2003). Los neutrófilos maduros se presentan en fase de circulación y la fase en los tejidos (Papee </w:t>
      </w:r>
      <w:r>
        <w:rPr>
          <w:i/>
        </w:rPr>
        <w:t>et al</w:t>
      </w:r>
      <w:r>
        <w:rPr/>
        <w:t>., 2003).</w:t>
      </w:r>
    </w:p>
    <w:p>
      <w:pPr>
        <w:pStyle w:val="BodyText"/>
        <w:spacing w:line="360" w:lineRule="auto" w:before="204"/>
        <w:ind w:left="159" w:right="153"/>
        <w:jc w:val="both"/>
      </w:pPr>
      <w:r>
        <w:rPr/>
        <w:t>Los neutrófilos PMN son atraídos por factores quimiotácticos hacia los sitios de infección por la proliferación bacteriana, para circunscribir, capturar y destruir los agentes extraños a través de la fagocitosis. Estos elementos quimiotácticos son la pared bacteriana y el detritus celular; los componentes del complemento C5a y C3a, y las IL-1, IL-2 e IL-8. Estos factores se unen a receptores específicos en la membrana plasmática del PMN (Paape </w:t>
      </w:r>
      <w:r>
        <w:rPr>
          <w:i/>
        </w:rPr>
        <w:t>et al</w:t>
      </w:r>
      <w:r>
        <w:rPr/>
        <w:t>., 2003).</w:t>
      </w:r>
    </w:p>
    <w:p>
      <w:pPr>
        <w:pStyle w:val="BodyText"/>
        <w:spacing w:line="357" w:lineRule="auto" w:before="209"/>
        <w:ind w:left="159" w:right="154"/>
        <w:jc w:val="both"/>
      </w:pPr>
      <w:r>
        <w:rPr/>
        <w:t>Al producirse la migración leucocitaria; durante la primera fase las células del endotelio vascular expresen una glucoproteína la P-selectina (CD62P) que se une a la proteína superficial de los neutrofilos, la L-selectina (CD62L) almacenada dentro de los gránulos, que se traslada a la superficie de los neutrófilos (Lee </w:t>
      </w:r>
      <w:r>
        <w:rPr>
          <w:i/>
        </w:rPr>
        <w:t>et al., </w:t>
      </w:r>
      <w:r>
        <w:rPr/>
        <w:t>2005). En la segunda fase de la adhesión, los neutrófilos se activan por un lípido llamado factor activador plaquetario que es secretado por las células endoteliales. Esto provoca el incremento de la expresión superficial del receptor del complemento CR3 (MAC-1, CD11b/CD18.) o β</w:t>
      </w:r>
      <w:r>
        <w:rPr>
          <w:position w:val="-2"/>
          <w:sz w:val="16"/>
        </w:rPr>
        <w:t>2 </w:t>
      </w:r>
      <w:r>
        <w:rPr/>
        <w:t>integrinas. Estas moléculas se unen a moléculas de adhesión intracelular endotelial (ICAM-1 y ICAM-2), C3bi y moléculas de adhesión endotelial de leucocitos (ELAM-1) en la superficie del endotelio. (Cano y Montoya, 2001)</w:t>
      </w:r>
    </w:p>
    <w:p>
      <w:pPr>
        <w:pStyle w:val="BodyText"/>
        <w:spacing w:line="355" w:lineRule="auto" w:before="212"/>
        <w:ind w:left="159" w:right="153"/>
        <w:jc w:val="both"/>
      </w:pPr>
      <w:r>
        <w:rPr/>
        <w:t>El reconocimiento inmunológico del </w:t>
      </w:r>
      <w:r>
        <w:rPr>
          <w:i/>
        </w:rPr>
        <w:t>S.aureus </w:t>
      </w:r>
      <w:r>
        <w:rPr/>
        <w:t>se da por anticuerpos específicos que reconocen a las bacterias a través de la región </w:t>
      </w:r>
      <w:r>
        <w:rPr>
          <w:spacing w:val="3"/>
        </w:rPr>
        <w:t>Fab </w:t>
      </w:r>
      <w:r>
        <w:rPr/>
        <w:t>que se une al receptor Fc (FcR) en la superficie de los PMN. Los principales anticuerpos opsonizantes de </w:t>
      </w:r>
      <w:r>
        <w:rPr>
          <w:spacing w:val="-2"/>
        </w:rPr>
        <w:t>PMN </w:t>
      </w:r>
      <w:r>
        <w:rPr/>
        <w:t>bovinos son IgM e IgG</w:t>
      </w:r>
      <w:r>
        <w:rPr>
          <w:position w:val="-2"/>
          <w:sz w:val="16"/>
        </w:rPr>
        <w:t>2 </w:t>
      </w:r>
      <w:r>
        <w:rPr/>
        <w:t>por su actividad citofílica (Worku </w:t>
      </w:r>
      <w:r>
        <w:rPr>
          <w:i/>
        </w:rPr>
        <w:t>et al., </w:t>
      </w:r>
      <w:r>
        <w:rPr/>
        <w:t>1994). Los </w:t>
      </w:r>
      <w:r>
        <w:rPr>
          <w:spacing w:val="-2"/>
        </w:rPr>
        <w:t>PMN </w:t>
      </w:r>
      <w:r>
        <w:rPr/>
        <w:t>de bovinos expresan receptor Fcγ</w:t>
      </w:r>
      <w:r>
        <w:rPr>
          <w:position w:val="-2"/>
          <w:sz w:val="16"/>
        </w:rPr>
        <w:t>2 </w:t>
      </w:r>
      <w:r>
        <w:rPr/>
        <w:t>para IgG</w:t>
      </w:r>
      <w:r>
        <w:rPr>
          <w:position w:val="-2"/>
          <w:sz w:val="16"/>
        </w:rPr>
        <w:t>2</w:t>
      </w:r>
      <w:r>
        <w:rPr/>
        <w:t>. Se ha demostrado que se requiere una cantidad mínima de anticuerpo IgG</w:t>
      </w:r>
      <w:r>
        <w:rPr>
          <w:position w:val="-2"/>
          <w:sz w:val="16"/>
        </w:rPr>
        <w:t>2 </w:t>
      </w:r>
      <w:r>
        <w:rPr/>
        <w:t>para promover la fagocitosis, en comparación con la IgG1 (Lee </w:t>
      </w:r>
      <w:r>
        <w:rPr>
          <w:i/>
        </w:rPr>
        <w:t>et al</w:t>
      </w:r>
      <w:r>
        <w:rPr/>
        <w:t>., 2005). El componente C3b también opsoniza a las bacterias y se une al receptor CR1 y CR3, el primero es el </w:t>
      </w:r>
      <w:r>
        <w:rPr>
          <w:spacing w:val="-3"/>
        </w:rPr>
        <w:t>más </w:t>
      </w:r>
      <w:r>
        <w:rPr/>
        <w:t>abundante</w:t>
      </w:r>
      <w:r>
        <w:rPr>
          <w:spacing w:val="-15"/>
        </w:rPr>
        <w:t> </w:t>
      </w:r>
      <w:r>
        <w:rPr/>
        <w:t>en</w:t>
      </w:r>
    </w:p>
    <w:p>
      <w:pPr>
        <w:spacing w:after="0" w:line="355" w:lineRule="auto"/>
        <w:jc w:val="both"/>
        <w:sectPr>
          <w:pgSz w:w="12240" w:h="15840"/>
          <w:pgMar w:header="726" w:footer="1527" w:top="1200" w:bottom="1720" w:left="1540" w:right="1540"/>
        </w:sectPr>
      </w:pPr>
    </w:p>
    <w:p>
      <w:pPr>
        <w:pStyle w:val="BodyText"/>
        <w:spacing w:before="8"/>
        <w:rPr>
          <w:sz w:val="15"/>
        </w:rPr>
      </w:pPr>
    </w:p>
    <w:p>
      <w:pPr>
        <w:pStyle w:val="BodyText"/>
        <w:spacing w:line="360" w:lineRule="auto" w:before="69"/>
        <w:ind w:left="159" w:right="154"/>
        <w:jc w:val="both"/>
      </w:pPr>
      <w:r>
        <w:rPr/>
        <w:t>los </w:t>
      </w:r>
      <w:r>
        <w:rPr>
          <w:spacing w:val="-2"/>
        </w:rPr>
        <w:t>PMN </w:t>
      </w:r>
      <w:r>
        <w:rPr/>
        <w:t>de la glándula mamaria que en los </w:t>
      </w:r>
      <w:r>
        <w:rPr>
          <w:spacing w:val="-2"/>
        </w:rPr>
        <w:t>PMN </w:t>
      </w:r>
      <w:r>
        <w:rPr/>
        <w:t>de la sangre lo que sugiere que la migración de los neutrófilos induce la expresión de </w:t>
      </w:r>
      <w:r>
        <w:rPr>
          <w:spacing w:val="3"/>
        </w:rPr>
        <w:t>CR1. </w:t>
      </w:r>
      <w:r>
        <w:rPr/>
        <w:t>Sin embargo la actividad de complemento en la leche es poco efectiva en la destrucción de los patógenos  (Meglia,</w:t>
      </w:r>
      <w:r>
        <w:rPr>
          <w:spacing w:val="-9"/>
        </w:rPr>
        <w:t> </w:t>
      </w:r>
      <w:r>
        <w:rPr/>
        <w:t>2004).</w:t>
      </w:r>
    </w:p>
    <w:p>
      <w:pPr>
        <w:pStyle w:val="BodyText"/>
        <w:spacing w:line="360" w:lineRule="auto" w:before="204"/>
        <w:ind w:left="159" w:right="155"/>
        <w:jc w:val="both"/>
      </w:pPr>
      <w:r>
        <w:rPr/>
        <w:t>La proteína A Staphylococcal (SpA) se encuentra en la superficie de la pared celular de la bacteria del </w:t>
      </w:r>
      <w:r>
        <w:rPr>
          <w:i/>
        </w:rPr>
        <w:t>S. aureus </w:t>
      </w:r>
      <w:r>
        <w:rPr/>
        <w:t>tiene la habilidad de unirse a IgG por el fragmento Fc impidiendo la unión de la bacteria a los receptores FC específicos de las células fagocitarias, reduciendo la capacidad de opsonización de los fagocitos frente al </w:t>
      </w:r>
      <w:r>
        <w:rPr>
          <w:i/>
        </w:rPr>
        <w:t>S. aureus </w:t>
      </w:r>
      <w:r>
        <w:rPr/>
        <w:t>(Sutra y Poutrel</w:t>
      </w:r>
      <w:r>
        <w:rPr>
          <w:i/>
        </w:rPr>
        <w:t>, </w:t>
      </w:r>
      <w:r>
        <w:rPr/>
        <w:t>1994; Gemmell </w:t>
      </w:r>
      <w:r>
        <w:rPr>
          <w:i/>
        </w:rPr>
        <w:t>et al.</w:t>
      </w:r>
      <w:r>
        <w:rPr/>
        <w:t>, 1990).</w:t>
      </w:r>
    </w:p>
    <w:p>
      <w:pPr>
        <w:pStyle w:val="BodyText"/>
        <w:spacing w:line="360" w:lineRule="auto" w:before="209"/>
        <w:ind w:left="159" w:right="157"/>
        <w:jc w:val="both"/>
      </w:pPr>
      <w:r>
        <w:rPr/>
        <w:t>Cuando los componentes del complemento y las inmunoglobulinas se unen a los receptores de la superficie de los neutrófilos </w:t>
      </w:r>
      <w:r>
        <w:rPr>
          <w:spacing w:val="-3"/>
        </w:rPr>
        <w:t>se </w:t>
      </w:r>
      <w:r>
        <w:rPr/>
        <w:t>inicia la activación y generación de explosión oxidativa (Figura 3). Como consecuencia, aumenta el consumo de oxígeno la actividad de la hexosa monofosfato que a su vez activan al complejo NADPH. Este complejo enzimático está formado por 5 subunidades, tres están en la membrana del neutrófilo y 2 son citoplasmáticas. Cuando hay una aumento de oxígeno molecular se activa la NADPH y su activación consiste en la translocación del componente citoplasmático a la membrana del fagolisosoma mediante estímulos</w:t>
      </w:r>
      <w:r>
        <w:rPr>
          <w:spacing w:val="52"/>
        </w:rPr>
        <w:t> </w:t>
      </w:r>
      <w:r>
        <w:rPr/>
        <w:t>activadores</w:t>
      </w:r>
      <w:r>
        <w:rPr>
          <w:spacing w:val="52"/>
        </w:rPr>
        <w:t> </w:t>
      </w:r>
      <w:r>
        <w:rPr/>
        <w:t>de la</w:t>
      </w:r>
      <w:r>
        <w:rPr>
          <w:spacing w:val="53"/>
        </w:rPr>
        <w:t> </w:t>
      </w:r>
      <w:r>
        <w:rPr/>
        <w:t>proteín-quinasa C</w:t>
      </w:r>
      <w:r>
        <w:rPr>
          <w:spacing w:val="51"/>
        </w:rPr>
        <w:t> </w:t>
      </w:r>
      <w:r>
        <w:rPr/>
        <w:t>(Arango</w:t>
      </w:r>
      <w:r>
        <w:rPr>
          <w:spacing w:val="55"/>
        </w:rPr>
        <w:t> </w:t>
      </w:r>
      <w:r>
        <w:rPr>
          <w:i/>
        </w:rPr>
        <w:t>et</w:t>
      </w:r>
      <w:r>
        <w:rPr>
          <w:i/>
          <w:spacing w:val="52"/>
        </w:rPr>
        <w:t> </w:t>
      </w:r>
      <w:r>
        <w:rPr>
          <w:i/>
        </w:rPr>
        <w:t>al</w:t>
      </w:r>
      <w:r>
        <w:rPr/>
        <w:t>.,</w:t>
      </w:r>
      <w:r>
        <w:rPr>
          <w:spacing w:val="53"/>
        </w:rPr>
        <w:t> </w:t>
      </w:r>
      <w:r>
        <w:rPr/>
        <w:t>2010).</w:t>
      </w:r>
      <w:r>
        <w:rPr>
          <w:spacing w:val="52"/>
        </w:rPr>
        <w:t> </w:t>
      </w:r>
      <w:r>
        <w:rPr/>
        <w:t>El</w:t>
      </w:r>
      <w:r>
        <w:rPr>
          <w:spacing w:val="56"/>
        </w:rPr>
        <w:t> </w:t>
      </w:r>
      <w:r>
        <w:rPr/>
        <w:t>primer</w:t>
      </w:r>
    </w:p>
    <w:p>
      <w:pPr>
        <w:pStyle w:val="BodyText"/>
        <w:spacing w:line="343" w:lineRule="auto" w:before="3"/>
        <w:ind w:left="159" w:right="157"/>
        <w:jc w:val="both"/>
      </w:pPr>
      <w:r>
        <w:rPr/>
        <w:t>producto de este sistema es la reducción de oxígeno molecular en anión superóxido (O</w:t>
      </w:r>
      <w:r>
        <w:rPr>
          <w:position w:val="11"/>
          <w:sz w:val="16"/>
        </w:rPr>
        <w:t>-</w:t>
      </w:r>
      <w:r>
        <w:rPr>
          <w:position w:val="-2"/>
          <w:sz w:val="16"/>
        </w:rPr>
        <w:t>2). </w:t>
      </w:r>
      <w:r>
        <w:rPr/>
        <w:t>El cual es dismutado por la superoxido dismutasa a producir oxígeno y peróxido de hidrógeno (H</w:t>
      </w:r>
      <w:r>
        <w:rPr>
          <w:position w:val="-2"/>
          <w:sz w:val="16"/>
        </w:rPr>
        <w:t>2</w:t>
      </w:r>
      <w:r>
        <w:rPr/>
        <w:t>O</w:t>
      </w:r>
      <w:r>
        <w:rPr>
          <w:position w:val="-2"/>
          <w:sz w:val="16"/>
        </w:rPr>
        <w:t>2</w:t>
      </w:r>
      <w:r>
        <w:rPr/>
        <w:t>). Cuando se fusiona el gránulo primario se libera la miolepoxidasa que cataliza la formación de hipoclorito a partir de H</w:t>
      </w:r>
      <w:r>
        <w:rPr>
          <w:position w:val="-2"/>
          <w:sz w:val="16"/>
        </w:rPr>
        <w:t>2</w:t>
      </w:r>
      <w:r>
        <w:rPr/>
        <w:t>O</w:t>
      </w:r>
      <w:r>
        <w:rPr>
          <w:position w:val="-2"/>
          <w:sz w:val="16"/>
        </w:rPr>
        <w:t>2 </w:t>
      </w:r>
      <w:r>
        <w:rPr/>
        <w:t>en el fagolisosoma (Paape </w:t>
      </w:r>
      <w:r>
        <w:rPr>
          <w:i/>
        </w:rPr>
        <w:t>et al</w:t>
      </w:r>
      <w:r>
        <w:rPr/>
        <w:t>., 2003).</w:t>
      </w:r>
    </w:p>
    <w:p>
      <w:pPr>
        <w:spacing w:after="0" w:line="343" w:lineRule="auto"/>
        <w:jc w:val="both"/>
        <w:sectPr>
          <w:pgSz w:w="12240" w:h="15840"/>
          <w:pgMar w:header="726" w:footer="1527" w:top="1200" w:bottom="1720" w:left="1540" w:right="1540"/>
        </w:sectPr>
      </w:pPr>
    </w:p>
    <w:p>
      <w:pPr>
        <w:pStyle w:val="BodyText"/>
        <w:spacing w:before="7"/>
        <w:rPr>
          <w:sz w:val="21"/>
        </w:rPr>
      </w:pPr>
    </w:p>
    <w:p>
      <w:pPr>
        <w:pStyle w:val="BodyText"/>
        <w:ind w:left="524"/>
        <w:rPr>
          <w:sz w:val="20"/>
        </w:rPr>
      </w:pPr>
      <w:r>
        <w:rPr>
          <w:sz w:val="20"/>
        </w:rPr>
        <w:pict>
          <v:group style="width:405.35pt;height:373.05pt;mso-position-horizontal-relative:char;mso-position-vertical-relative:line" coordorigin="0,0" coordsize="8107,7461">
            <v:shape style="position:absolute;left:0;top:0;width:8107;height:5957" type="#_x0000_t75" stroked="false">
              <v:imagedata r:id="rId16" o:title=""/>
            </v:shape>
            <v:rect style="position:absolute;left:148;top:5876;width:7687;height:1585" filled="true" fillcolor="#ffffff" stroked="false">
              <v:fill type="solid"/>
            </v:rect>
            <v:shape style="position:absolute;left:0;top:0;width:8107;height:7461" type="#_x0000_t202" filled="false" stroked="false">
              <v:textbox inset="0,0,0,0">
                <w:txbxContent>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6"/>
                      <w:rPr>
                        <w:sz w:val="32"/>
                      </w:rPr>
                    </w:pPr>
                  </w:p>
                  <w:p>
                    <w:pPr>
                      <w:spacing w:line="242" w:lineRule="auto" w:before="0"/>
                      <w:ind w:left="293" w:right="407" w:firstLine="0"/>
                      <w:jc w:val="both"/>
                      <w:rPr>
                        <w:sz w:val="22"/>
                      </w:rPr>
                    </w:pPr>
                    <w:r>
                      <w:rPr>
                        <w:b/>
                        <w:sz w:val="22"/>
                      </w:rPr>
                      <w:t>Figura 3</w:t>
                    </w:r>
                    <w:r>
                      <w:rPr>
                        <w:sz w:val="22"/>
                      </w:rPr>
                      <w:t>. Fagocitosis por el neutrófilo y actividad microbicida. Durante el proceso de fagocitosis las bacterias son destruidas a través del estallido respiratorio y proteínas liberadas por los gránulos. Modificada de Kennedy y  DeLeo</w:t>
                    </w:r>
                    <w:r>
                      <w:rPr>
                        <w:spacing w:val="-1"/>
                        <w:sz w:val="22"/>
                      </w:rPr>
                      <w:t> </w:t>
                    </w:r>
                    <w:r>
                      <w:rPr>
                        <w:sz w:val="22"/>
                      </w:rPr>
                      <w:t>2009.</w:t>
                    </w:r>
                  </w:p>
                </w:txbxContent>
              </v:textbox>
              <w10:wrap type="none"/>
            </v:shape>
          </v:group>
        </w:pict>
      </w:r>
      <w:r>
        <w:rPr>
          <w:sz w:val="20"/>
        </w:rPr>
      </w:r>
    </w:p>
    <w:p>
      <w:pPr>
        <w:pStyle w:val="BodyText"/>
        <w:rPr>
          <w:sz w:val="20"/>
        </w:rPr>
      </w:pPr>
    </w:p>
    <w:p>
      <w:pPr>
        <w:pStyle w:val="BodyText"/>
        <w:spacing w:before="11"/>
        <w:rPr>
          <w:sz w:val="29"/>
        </w:rPr>
      </w:pPr>
    </w:p>
    <w:p>
      <w:pPr>
        <w:pStyle w:val="BodyText"/>
        <w:spacing w:line="360" w:lineRule="auto" w:before="70"/>
        <w:ind w:left="159" w:right="157"/>
        <w:jc w:val="both"/>
      </w:pPr>
      <w:r>
        <w:rPr/>
        <w:t>Después de la ingestión de las bacterias y la liberación de productos químicos una gran proporción de PMN tienen un proceso de muerte celular programada (Apoptosis) limitando así el daño al tejido. Finalmente los neutrófilos apoptóticos son ingeridos por los  macrófagos promoviendo la resolución de la inflamación.</w:t>
      </w:r>
    </w:p>
    <w:p>
      <w:pPr>
        <w:spacing w:after="0" w:line="360" w:lineRule="auto"/>
        <w:jc w:val="both"/>
        <w:sectPr>
          <w:pgSz w:w="12240" w:h="15840"/>
          <w:pgMar w:header="726" w:footer="1527" w:top="1200" w:bottom="1720" w:left="1540" w:right="1540"/>
        </w:sectPr>
      </w:pPr>
    </w:p>
    <w:p>
      <w:pPr>
        <w:pStyle w:val="BodyText"/>
        <w:spacing w:before="10"/>
        <w:rPr>
          <w:sz w:val="14"/>
        </w:rPr>
      </w:pPr>
    </w:p>
    <w:p>
      <w:pPr>
        <w:pStyle w:val="Heading3"/>
        <w:spacing w:before="69"/>
        <w:ind w:right="0"/>
        <w:jc w:val="both"/>
      </w:pPr>
      <w:bookmarkStart w:name="_bookmark9" w:id="12"/>
      <w:bookmarkEnd w:id="12"/>
      <w:r>
        <w:rPr>
          <w:b w:val="0"/>
        </w:rPr>
      </w:r>
      <w:r>
        <w:rPr/>
        <w:t>PROCESO DE APOPTOSIS Y NECROSIS DE NEUTRÓFILOS BOVINOS</w:t>
      </w:r>
    </w:p>
    <w:p>
      <w:pPr>
        <w:pStyle w:val="BodyText"/>
        <w:rPr>
          <w:b/>
        </w:rPr>
      </w:pPr>
    </w:p>
    <w:p>
      <w:pPr>
        <w:pStyle w:val="BodyText"/>
        <w:rPr>
          <w:b/>
        </w:rPr>
      </w:pPr>
    </w:p>
    <w:p>
      <w:pPr>
        <w:pStyle w:val="BodyText"/>
        <w:spacing w:line="360" w:lineRule="auto" w:before="147"/>
        <w:ind w:left="159" w:right="152"/>
        <w:jc w:val="both"/>
      </w:pPr>
      <w:r>
        <w:rPr/>
        <w:t>La muerte celular es parte del desarrollo </w:t>
      </w:r>
      <w:r>
        <w:rPr>
          <w:spacing w:val="-3"/>
        </w:rPr>
        <w:t>normal </w:t>
      </w:r>
      <w:r>
        <w:rPr/>
        <w:t>y la maduración del ciclo de las células. Es componente de patrones de respuesta a los agentes xenobióticos y modulaciones endógenas </w:t>
      </w:r>
      <w:r>
        <w:rPr>
          <w:spacing w:val="-4"/>
        </w:rPr>
        <w:t>como</w:t>
      </w:r>
      <w:r>
        <w:rPr>
          <w:spacing w:val="58"/>
        </w:rPr>
        <w:t> </w:t>
      </w:r>
      <w:r>
        <w:rPr/>
        <w:t>la inflamación. Existen dos tipos de muerte celular: necrosis y la apoptosis (Trump </w:t>
      </w:r>
      <w:r>
        <w:rPr>
          <w:i/>
        </w:rPr>
        <w:t>et al</w:t>
      </w:r>
      <w:r>
        <w:rPr/>
        <w:t>., 1997). La necrosis se caracteriza por producir dilatación del retículo endoplásmico y mitocondrias, picnosis del núcleo y disolución de la cromatina; pérdida de la continuidad de la membrana citoplasmática y lisis citoplasmática. Ocasionando la migración de células inmunes generando inflamación (Elena,</w:t>
      </w:r>
      <w:r>
        <w:rPr>
          <w:spacing w:val="-13"/>
        </w:rPr>
        <w:t> </w:t>
      </w:r>
      <w:r>
        <w:rPr/>
        <w:t>2002).</w:t>
      </w:r>
    </w:p>
    <w:p>
      <w:pPr>
        <w:pStyle w:val="BodyText"/>
        <w:spacing w:line="360" w:lineRule="auto" w:before="209"/>
        <w:ind w:left="159" w:right="154"/>
        <w:jc w:val="both"/>
      </w:pPr>
      <w:r>
        <w:rPr/>
        <w:t>Después de la fagocitosis, se liberan los factores oxidantes (IRO), los neutrófilos mueres. La inducción de la muerte celular programada de los PMN y su fagocitosis por macrófagos limita el daño del tejido.</w:t>
      </w:r>
    </w:p>
    <w:p>
      <w:pPr>
        <w:pStyle w:val="BodyText"/>
        <w:spacing w:line="360" w:lineRule="auto" w:before="209"/>
        <w:ind w:left="159" w:right="156"/>
        <w:jc w:val="both"/>
      </w:pPr>
      <w:r>
        <w:rPr/>
        <w:t>Una característica importante de la virulencia de </w:t>
      </w:r>
      <w:r>
        <w:rPr>
          <w:i/>
        </w:rPr>
        <w:t>S. aureus </w:t>
      </w:r>
      <w:r>
        <w:rPr/>
        <w:t>es la modulación de la apoptosis de los neutrófilos. En el tejido mamario infectado se observan cambios producto de la necrosis y la apoptosis de las células epiteliales, estos tipos de muerte celular se distinguen mediante cambios morfológicos, químicos y moleculares producto de la infección y de múltiples reacciones inmunes que contribuyen a la enfermedad (Zhao y Lacasse, 2008).</w:t>
      </w:r>
    </w:p>
    <w:p>
      <w:pPr>
        <w:pStyle w:val="BodyText"/>
        <w:spacing w:line="360" w:lineRule="auto" w:before="209"/>
        <w:ind w:left="159" w:right="157"/>
        <w:jc w:val="both"/>
      </w:pPr>
      <w:r>
        <w:rPr/>
        <w:t>La apoptosis en los neutrófilos PMN es caracterizada morfológicamente por la condensación y marginación de la cromatina, zeiosis, y translocación de fosfatidilserina a la membrana plasmática. Así mismo está acompañada de la reducción de la capacidad de respuesta a estímulos, reducción de la intensidad de fagocitosis y degranulación de la célula con una activación de la explosión respiratoria que interfieren con la función del neutrofilos permitiendo el desarrollo de una infección crónica o clínica en la glándula mamaria (Sladek </w:t>
      </w:r>
      <w:r>
        <w:rPr>
          <w:i/>
        </w:rPr>
        <w:t>et al</w:t>
      </w:r>
      <w:r>
        <w:rPr/>
        <w:t>., 2005).</w:t>
      </w:r>
    </w:p>
    <w:p>
      <w:pPr>
        <w:pStyle w:val="BodyText"/>
        <w:spacing w:line="362" w:lineRule="auto" w:before="209"/>
        <w:ind w:left="159" w:right="155"/>
        <w:jc w:val="both"/>
      </w:pPr>
      <w:r>
        <w:rPr/>
        <w:t>El nivel de infección de la glándula mamaria por </w:t>
      </w:r>
      <w:r>
        <w:rPr>
          <w:i/>
        </w:rPr>
        <w:t>S. aureus </w:t>
      </w:r>
      <w:r>
        <w:rPr/>
        <w:t>CP en el hato lechero incrementa el riesgo de infección en las vacas por la persistencia de la infección</w:t>
      </w:r>
    </w:p>
    <w:p>
      <w:pPr>
        <w:spacing w:after="0" w:line="362" w:lineRule="auto"/>
        <w:jc w:val="both"/>
        <w:sectPr>
          <w:pgSz w:w="12240" w:h="15840"/>
          <w:pgMar w:header="726" w:footer="1527" w:top="1200" w:bottom="1720" w:left="1540" w:right="1540"/>
        </w:sectPr>
      </w:pPr>
    </w:p>
    <w:p>
      <w:pPr>
        <w:pStyle w:val="BodyText"/>
        <w:spacing w:before="8"/>
        <w:rPr>
          <w:sz w:val="15"/>
        </w:rPr>
      </w:pPr>
    </w:p>
    <w:p>
      <w:pPr>
        <w:pStyle w:val="BodyText"/>
        <w:spacing w:line="360" w:lineRule="auto" w:before="69"/>
        <w:ind w:left="159" w:right="154"/>
        <w:jc w:val="both"/>
      </w:pPr>
      <w:r>
        <w:rPr/>
        <w:t>de ésta en la glándula mamaria (Sladek </w:t>
      </w:r>
      <w:r>
        <w:rPr>
          <w:i/>
        </w:rPr>
        <w:t>et al</w:t>
      </w:r>
      <w:r>
        <w:rPr/>
        <w:t>., 2005; Lee </w:t>
      </w:r>
      <w:r>
        <w:rPr>
          <w:i/>
        </w:rPr>
        <w:t>et al</w:t>
      </w:r>
      <w:r>
        <w:rPr/>
        <w:t>., 2005). Hay un control de la apoptosis de neutrófilos ya que su prolongación o aceleración producen daños (Klebir y Filep, 2010). El retraso de su apoptosis y persistencia en los sitios de inflamación contribuyen a la patología de la enfermedad inflamatoria crónica. A pesar que los PMNs proporcionan un beneficio mediante la eliminación del agente infeccioso, la exposición prolongada del tejido mamario a los mismos resulta en daño al epitelio secretor. En contraste, una sobrevivencia corta de los PMN puede contribuir a la suceptibilidad de una infección severa y recurrente en algunas situaciones (</w:t>
      </w:r>
      <w:r>
        <w:rPr>
          <w:color w:val="231F1F"/>
        </w:rPr>
        <w:t>Elbim y Lizard, 2009).</w:t>
      </w:r>
    </w:p>
    <w:p>
      <w:pPr>
        <w:pStyle w:val="BodyText"/>
        <w:spacing w:line="360" w:lineRule="auto" w:before="209"/>
        <w:ind w:left="159" w:right="154"/>
        <w:jc w:val="both"/>
      </w:pPr>
      <w:r>
        <w:rPr/>
        <w:t>La apoptosis puede ser consecuencia de la activación de las vías extrínseca o intrínseca. Las células apoptóticas se evidencian bioquímicamente por la translocación de las fosfatidilserinas desde la membrana interna a la externa de la bicapa lipídica que conforma la membrana celular, fragmentación de ADN por acción de endonucleasas activadas formando lo que se conoce como cuerpos apoptóticos, activación de la cascada de las caspasas, y la vías de señalización propias de la mitocondria (Schulze-Osthoff </w:t>
      </w:r>
      <w:r>
        <w:rPr>
          <w:i/>
        </w:rPr>
        <w:t>et al</w:t>
      </w:r>
      <w:r>
        <w:rPr/>
        <w:t>., 1998).</w:t>
      </w:r>
    </w:p>
    <w:p>
      <w:pPr>
        <w:pStyle w:val="BodyText"/>
      </w:pPr>
    </w:p>
    <w:p>
      <w:pPr>
        <w:pStyle w:val="BodyText"/>
        <w:spacing w:line="360" w:lineRule="auto" w:before="144"/>
        <w:ind w:left="159" w:right="155"/>
        <w:jc w:val="both"/>
      </w:pPr>
      <w:r>
        <w:rPr/>
        <w:t>La vía extrínseca desencadena la muerte celular después de la ligadura de los receptores de muerte celular de la superficie, el TNF-α o los receptores TRAIL o Fas (CD95), para </w:t>
      </w:r>
      <w:r>
        <w:rPr>
          <w:spacing w:val="-2"/>
        </w:rPr>
        <w:t>formar </w:t>
      </w:r>
      <w:r>
        <w:rPr/>
        <w:t>el complejo de señalización que induce a la muerte.  Estos receptores presentan una estructura conservada en su región citoplasmática denominada dominio de muerte (CC), que permite la interacción proteína-proteína con otro dominio de muerte denominado TRADD (dominio de muerte asociado al receptor del TNF o FADD (dominio de muerte asociado a Fas), estas proteínas a su vez tienen un dominio efector de muerte (DED) que recluta DED que tienen procascasa-8. Este ensamblaje activa a la caspasa 8 la </w:t>
      </w:r>
      <w:r>
        <w:rPr>
          <w:spacing w:val="-3"/>
        </w:rPr>
        <w:t>cual </w:t>
      </w:r>
      <w:r>
        <w:rPr/>
        <w:t>activa a la caspasa efectora 3 (Figura 4) (Shirokova,</w:t>
      </w:r>
      <w:r>
        <w:rPr>
          <w:spacing w:val="-13"/>
        </w:rPr>
        <w:t> </w:t>
      </w:r>
      <w:r>
        <w:rPr/>
        <w:t>2007).</w:t>
      </w:r>
    </w:p>
    <w:p>
      <w:pPr>
        <w:pStyle w:val="BodyText"/>
        <w:spacing w:line="360" w:lineRule="auto" w:before="2"/>
        <w:ind w:left="159" w:right="154"/>
        <w:jc w:val="both"/>
      </w:pPr>
      <w:r>
        <w:rPr/>
        <w:t>A bajas concentraciones (&gt;0.1 ng/ml), el TNF-α retrasa la apoptosis de PMN e induce la producción de citocinas proinflamatorias, y a concentraciones altas (10- 100 ng/ml) inicia el proceso de apoptosis (Elbim y Estaquier, 2010).</w:t>
      </w:r>
    </w:p>
    <w:p>
      <w:pPr>
        <w:spacing w:after="0" w:line="360" w:lineRule="auto"/>
        <w:jc w:val="both"/>
        <w:sectPr>
          <w:pgSz w:w="12240" w:h="15840"/>
          <w:pgMar w:header="726" w:footer="1527" w:top="1200" w:bottom="1720" w:left="1540" w:right="1540"/>
        </w:sectPr>
      </w:pPr>
    </w:p>
    <w:p>
      <w:pPr>
        <w:pStyle w:val="BodyText"/>
        <w:spacing w:before="8"/>
        <w:rPr>
          <w:sz w:val="15"/>
        </w:rPr>
      </w:pPr>
    </w:p>
    <w:p>
      <w:pPr>
        <w:pStyle w:val="BodyText"/>
        <w:spacing w:line="360" w:lineRule="auto" w:before="69"/>
        <w:ind w:left="159" w:right="153"/>
        <w:jc w:val="both"/>
      </w:pPr>
      <w:r>
        <w:rPr/>
        <w:t>La vía intrínseca o mitocondrial inicia a través de la generación de ROS, esto es seguido por la pérdida del potencial de membrana mitocondrial (ΔΨm), induciendo junto con Bcl-2 la liberación del citocromo C, el factor inductor de apoptosis, y G endonucleasa. Citocromo C induce la oligomerización de Apaf-1, que tienen un dominio de reclutamiento de caspasas (CARD) que se libera con la unión del citocromo C. Lo anterior desencadena la activación de casapasa 9 que activa la caspasa efectora 3 y a factores de degradación de ADN.</w:t>
      </w:r>
    </w:p>
    <w:p>
      <w:pPr>
        <w:pStyle w:val="BodyText"/>
        <w:spacing w:before="7"/>
        <w:rPr>
          <w:sz w:val="14"/>
        </w:rPr>
      </w:pPr>
      <w:r>
        <w:rPr/>
        <w:drawing>
          <wp:anchor distT="0" distB="0" distL="0" distR="0" allowOverlap="1" layoutInCell="1" locked="0" behindDoc="0" simplePos="0" relativeHeight="1144">
            <wp:simplePos x="0" y="0"/>
            <wp:positionH relativeFrom="page">
              <wp:posOffset>1852929</wp:posOffset>
            </wp:positionH>
            <wp:positionV relativeFrom="paragraph">
              <wp:posOffset>131875</wp:posOffset>
            </wp:positionV>
            <wp:extent cx="4063204" cy="3218688"/>
            <wp:effectExtent l="0" t="0" r="0" b="0"/>
            <wp:wrapTopAndBottom/>
            <wp:docPr id="5" name="image5.jpeg" descr=""/>
            <wp:cNvGraphicFramePr>
              <a:graphicFrameLocks noChangeAspect="1"/>
            </wp:cNvGraphicFramePr>
            <a:graphic>
              <a:graphicData uri="http://schemas.openxmlformats.org/drawingml/2006/picture">
                <pic:pic>
                  <pic:nvPicPr>
                    <pic:cNvPr id="6" name="image5.jpeg"/>
                    <pic:cNvPicPr/>
                  </pic:nvPicPr>
                  <pic:blipFill>
                    <a:blip r:embed="rId17" cstate="print"/>
                    <a:stretch>
                      <a:fillRect/>
                    </a:stretch>
                  </pic:blipFill>
                  <pic:spPr>
                    <a:xfrm>
                      <a:off x="0" y="0"/>
                      <a:ext cx="4063204" cy="3218688"/>
                    </a:xfrm>
                    <a:prstGeom prst="rect">
                      <a:avLst/>
                    </a:prstGeom>
                  </pic:spPr>
                </pic:pic>
              </a:graphicData>
            </a:graphic>
          </wp:anchor>
        </w:drawing>
      </w:r>
    </w:p>
    <w:p>
      <w:pPr>
        <w:pStyle w:val="BodyText"/>
        <w:spacing w:before="3"/>
        <w:rPr>
          <w:sz w:val="27"/>
        </w:rPr>
      </w:pPr>
    </w:p>
    <w:p>
      <w:pPr>
        <w:spacing w:line="276" w:lineRule="auto" w:before="0"/>
        <w:ind w:left="159" w:right="152" w:firstLine="0"/>
        <w:jc w:val="both"/>
        <w:rPr>
          <w:sz w:val="20"/>
        </w:rPr>
      </w:pPr>
      <w:r>
        <w:rPr>
          <w:b/>
          <w:sz w:val="20"/>
        </w:rPr>
        <w:t>FIGURA 4: </w:t>
      </w:r>
      <w:r>
        <w:rPr>
          <w:sz w:val="20"/>
        </w:rPr>
        <w:t>Vías del proceso de apoptosis. Vía extracelular a través de la ligadura a receptores de muerte celular; vía intracelular por la pérdida del potencial de membrana de la mitocondria. DD dominio de muerte, DED dominio efector de la muerte y CARD dominio de reclutamiento de caspasas.</w:t>
      </w:r>
    </w:p>
    <w:p>
      <w:pPr>
        <w:pStyle w:val="BodyText"/>
        <w:rPr>
          <w:sz w:val="20"/>
        </w:rPr>
      </w:pPr>
    </w:p>
    <w:p>
      <w:pPr>
        <w:pStyle w:val="BodyText"/>
        <w:rPr>
          <w:sz w:val="20"/>
        </w:rPr>
      </w:pPr>
    </w:p>
    <w:p>
      <w:pPr>
        <w:pStyle w:val="BodyText"/>
        <w:rPr>
          <w:sz w:val="20"/>
        </w:rPr>
      </w:pPr>
    </w:p>
    <w:p>
      <w:pPr>
        <w:pStyle w:val="BodyText"/>
        <w:spacing w:line="360" w:lineRule="auto" w:before="127"/>
        <w:ind w:left="159" w:right="156"/>
        <w:jc w:val="both"/>
      </w:pPr>
      <w:r>
        <w:rPr/>
        <w:t>Se ha observado que los neutrófilos con cambios típicos de la apoptosis aparecen 24hr después de la estimulación con un análogo sintético del péptido de muramil dentro del tejido mamario (Sládek Z. y Rysánek D, 2000). Así mismo, después de 24 hrs de la administración con PBS Y LPS en la glándula mamaria se observaron</w:t>
      </w:r>
    </w:p>
    <w:p>
      <w:pPr>
        <w:spacing w:after="0" w:line="360" w:lineRule="auto"/>
        <w:jc w:val="both"/>
        <w:sectPr>
          <w:pgSz w:w="12240" w:h="15840"/>
          <w:pgMar w:header="726" w:footer="1527" w:top="1200" w:bottom="1720" w:left="1540" w:right="1540"/>
        </w:sectPr>
      </w:pPr>
    </w:p>
    <w:p>
      <w:pPr>
        <w:pStyle w:val="BodyText"/>
        <w:spacing w:before="8"/>
        <w:rPr>
          <w:sz w:val="15"/>
        </w:rPr>
      </w:pPr>
    </w:p>
    <w:p>
      <w:pPr>
        <w:pStyle w:val="BodyText"/>
        <w:spacing w:line="355" w:lineRule="auto" w:before="69"/>
        <w:ind w:left="159" w:right="169"/>
        <w:jc w:val="both"/>
      </w:pPr>
      <w:r>
        <w:rPr/>
        <w:t>alteraciones típicas de la apoptosis aunque el pico más alto se ha observado a las 48 hrs después del tratamiento (Sládek Z. y Rysánek D, 2001).</w:t>
      </w:r>
    </w:p>
    <w:p>
      <w:pPr>
        <w:pStyle w:val="BodyText"/>
        <w:spacing w:line="360" w:lineRule="auto" w:before="215"/>
        <w:ind w:left="159" w:right="157"/>
        <w:jc w:val="both"/>
      </w:pPr>
      <w:r>
        <w:rPr/>
        <w:t>Van Oostveldt </w:t>
      </w:r>
      <w:r>
        <w:rPr>
          <w:i/>
        </w:rPr>
        <w:t>et al</w:t>
      </w:r>
      <w:r>
        <w:rPr/>
        <w:t>., (2001) evaluaron el porcentaje de apoptosis y necrosis en neutrófilos de sangre y leche de vacas en período de lactación temprana y en período de lactación tardía después de 4hr de incubación a 37°C. Observaron diferencias significativas en los porcentajes de apoptosis y necrosis de neutrófilos obtenidos de sangre, siendo mayor en vacas en periodo de lactación temprana. Mientras que los porcentajes de apoptosis y necrosis de neutrófilos obtenidos de leche no mostraron diferencias significativas.</w:t>
      </w:r>
    </w:p>
    <w:p>
      <w:pPr>
        <w:pStyle w:val="BodyText"/>
      </w:pPr>
    </w:p>
    <w:p>
      <w:pPr>
        <w:pStyle w:val="BodyText"/>
        <w:spacing w:line="360" w:lineRule="auto" w:before="145"/>
        <w:ind w:left="159" w:right="155"/>
        <w:jc w:val="both"/>
      </w:pPr>
      <w:r>
        <w:rPr/>
        <w:t>Se ha demostrado que la diapédesis del endotelio capilar, al epitelio mamario por migración resulta en un decremento en la actividad de fagocitosis y respiración oxidativa de los PMN (Smits </w:t>
      </w:r>
      <w:hyperlink r:id="rId18">
        <w:r>
          <w:rPr>
            <w:i/>
          </w:rPr>
          <w:t>et</w:t>
        </w:r>
      </w:hyperlink>
      <w:r>
        <w:rPr>
          <w:i/>
        </w:rPr>
        <w:t> al., </w:t>
      </w:r>
      <w:r>
        <w:rPr/>
        <w:t>1999). Así mismo la migración a través de la capa de células endoteliales y células epiteliales, induce también la apoptosis en los neutrófilos (Van Oostveldt </w:t>
      </w:r>
      <w:r>
        <w:rPr>
          <w:i/>
        </w:rPr>
        <w:t>et al., </w:t>
      </w:r>
      <w:r>
        <w:rPr/>
        <w:t>2002). Además de que los PMN fagocitan glóbulos de grasa y caseína en la leche, reduciendo su actividad de fagocitosis (Reinitz, </w:t>
      </w:r>
      <w:r>
        <w:rPr>
          <w:i/>
        </w:rPr>
        <w:t>et al</w:t>
      </w:r>
      <w:r>
        <w:rPr/>
        <w:t>., 1982).</w:t>
      </w:r>
    </w:p>
    <w:p>
      <w:pPr>
        <w:pStyle w:val="BodyText"/>
        <w:spacing w:line="360" w:lineRule="auto" w:before="209"/>
        <w:ind w:left="159" w:right="154"/>
        <w:jc w:val="both"/>
      </w:pPr>
      <w:r>
        <w:rPr/>
        <w:t>Si los neutrófilos apoptóticos no son fagocitados por lo macrófagos entran en proceso de necrosis que ha diferencias de la apoptosis, durante la necrosis se libera el contenido celular dañando a las células circundantes (Prump  </w:t>
      </w:r>
      <w:r>
        <w:rPr>
          <w:i/>
        </w:rPr>
        <w:t>et.  al., </w:t>
      </w:r>
      <w:r>
        <w:rPr/>
        <w:t>1997).</w:t>
      </w:r>
    </w:p>
    <w:p>
      <w:pPr>
        <w:pStyle w:val="BodyText"/>
      </w:pPr>
    </w:p>
    <w:p>
      <w:pPr>
        <w:pStyle w:val="BodyText"/>
        <w:spacing w:line="360" w:lineRule="auto" w:before="140"/>
        <w:ind w:left="159" w:right="154"/>
        <w:jc w:val="both"/>
      </w:pPr>
      <w:r>
        <w:rPr/>
        <w:t>Se sabe que </w:t>
      </w:r>
      <w:r>
        <w:rPr>
          <w:i/>
        </w:rPr>
        <w:t>S. aureus in vitro </w:t>
      </w:r>
      <w:r>
        <w:rPr/>
        <w:t>induce la muerte celular programada en neutrófilos de la sangre humana (Nilsdotter-Augustinsson </w:t>
      </w:r>
      <w:r>
        <w:rPr>
          <w:i/>
        </w:rPr>
        <w:t>et. al</w:t>
      </w:r>
      <w:r>
        <w:rPr/>
        <w:t>., 2004). Actualmente es necesario el estudio de los tipos capsulares 5 y 8 de </w:t>
      </w:r>
      <w:r>
        <w:rPr>
          <w:i/>
        </w:rPr>
        <w:t>Staphylococcus aureus </w:t>
      </w:r>
      <w:r>
        <w:rPr/>
        <w:t>en su capacidad para inducir apoptosis en neutrófilos bovinos durante la mastitis para tratar de explicar el proceso de patogénesis de este patógeno.</w:t>
      </w:r>
    </w:p>
    <w:p>
      <w:pPr>
        <w:spacing w:after="0" w:line="360" w:lineRule="auto"/>
        <w:jc w:val="both"/>
        <w:sectPr>
          <w:pgSz w:w="12240" w:h="15840"/>
          <w:pgMar w:header="726" w:footer="1527" w:top="1200" w:bottom="1720" w:left="1540" w:right="1540"/>
        </w:sectPr>
      </w:pPr>
    </w:p>
    <w:p>
      <w:pPr>
        <w:pStyle w:val="BodyText"/>
        <w:rPr>
          <w:sz w:val="20"/>
        </w:rPr>
      </w:pPr>
    </w:p>
    <w:p>
      <w:pPr>
        <w:pStyle w:val="BodyText"/>
        <w:rPr>
          <w:sz w:val="20"/>
        </w:rPr>
      </w:pPr>
    </w:p>
    <w:p>
      <w:pPr>
        <w:pStyle w:val="BodyText"/>
        <w:spacing w:before="4"/>
        <w:rPr>
          <w:sz w:val="23"/>
        </w:rPr>
      </w:pPr>
    </w:p>
    <w:p>
      <w:pPr>
        <w:pStyle w:val="ListParagraph"/>
        <w:numPr>
          <w:ilvl w:val="0"/>
          <w:numId w:val="5"/>
        </w:numPr>
        <w:tabs>
          <w:tab w:pos="521" w:val="left" w:leader="none"/>
        </w:tabs>
        <w:spacing w:line="240" w:lineRule="auto" w:before="61" w:after="0"/>
        <w:ind w:left="520" w:right="0" w:hanging="361"/>
        <w:jc w:val="both"/>
        <w:rPr>
          <w:b/>
          <w:sz w:val="32"/>
        </w:rPr>
      </w:pPr>
      <w:bookmarkStart w:name="_bookmark10" w:id="13"/>
      <w:bookmarkEnd w:id="13"/>
      <w:r>
        <w:rPr/>
      </w:r>
      <w:bookmarkStart w:name="_bookmark10" w:id="14"/>
      <w:bookmarkEnd w:id="14"/>
      <w:r>
        <w:rPr>
          <w:b/>
          <w:sz w:val="32"/>
        </w:rPr>
        <w:t>J</w:t>
      </w:r>
      <w:r>
        <w:rPr>
          <w:b/>
          <w:sz w:val="32"/>
        </w:rPr>
        <w:t>USTIFICACIÓN</w:t>
      </w:r>
    </w:p>
    <w:p>
      <w:pPr>
        <w:pStyle w:val="BodyText"/>
        <w:rPr>
          <w:b/>
          <w:sz w:val="32"/>
        </w:rPr>
      </w:pPr>
    </w:p>
    <w:p>
      <w:pPr>
        <w:pStyle w:val="BodyText"/>
        <w:spacing w:before="2"/>
        <w:rPr>
          <w:b/>
          <w:sz w:val="40"/>
        </w:rPr>
      </w:pPr>
    </w:p>
    <w:p>
      <w:pPr>
        <w:pStyle w:val="BodyText"/>
        <w:spacing w:line="360" w:lineRule="auto" w:before="1"/>
        <w:ind w:left="159" w:right="153"/>
        <w:jc w:val="both"/>
      </w:pPr>
      <w:r>
        <w:rPr/>
        <w:t>El </w:t>
      </w:r>
      <w:r>
        <w:rPr>
          <w:i/>
        </w:rPr>
        <w:t>S. aureus </w:t>
      </w:r>
      <w:r>
        <w:rPr/>
        <w:t>es el principal patógeno causante de mastitis en las vacas lecheras, afectando la producción láctea por la persistencia de la infección glandular. Este patógeno acentúa el proceso de infección a través de sus factores de virulencia asociados a evadir el sistema inmune del hospedero</w:t>
      </w:r>
      <w:r>
        <w:rPr>
          <w:i/>
        </w:rPr>
        <w:t>; </w:t>
      </w:r>
      <w:r>
        <w:rPr/>
        <w:t>la presencia de los serotipos capsulares 5 y 8 contribuyen a una mayor resistencia a la fagocitosis por los neutrófilos que constituyen la barrera celular </w:t>
      </w:r>
      <w:r>
        <w:rPr>
          <w:spacing w:val="-3"/>
        </w:rPr>
        <w:t>más </w:t>
      </w:r>
      <w:r>
        <w:rPr/>
        <w:t>importante frente a la infección de la glándula mamaria. Actualmente se desconoce el mecanismo de acción de  los tipos capsulares 5 y 8 para inducir apoptosis en los neutrófilos. Por lo cual es necesario evaluar las cepas capsulares de </w:t>
      </w:r>
      <w:r>
        <w:rPr>
          <w:i/>
        </w:rPr>
        <w:t>S. aureus </w:t>
      </w:r>
      <w:r>
        <w:rPr/>
        <w:t>en su capacidad para inducir la apoptosis </w:t>
      </w:r>
      <w:r>
        <w:rPr>
          <w:i/>
          <w:spacing w:val="-3"/>
        </w:rPr>
        <w:t>in </w:t>
      </w:r>
      <w:r>
        <w:rPr>
          <w:i/>
        </w:rPr>
        <w:t>vitro </w:t>
      </w:r>
      <w:r>
        <w:rPr/>
        <w:t>para explicar los mecanismos de infección de la glándula mamaria en las vacas</w:t>
      </w:r>
      <w:r>
        <w:rPr>
          <w:spacing w:val="-7"/>
        </w:rPr>
        <w:t> </w:t>
      </w:r>
      <w:r>
        <w:rPr/>
        <w:t>lecheras.</w:t>
      </w:r>
    </w:p>
    <w:p>
      <w:pPr>
        <w:spacing w:after="0" w:line="360" w:lineRule="auto"/>
        <w:jc w:val="both"/>
        <w:sectPr>
          <w:pgSz w:w="12240" w:h="15840"/>
          <w:pgMar w:header="726" w:footer="1527" w:top="1200" w:bottom="1720" w:left="1540" w:right="1540"/>
        </w:sectPr>
      </w:pPr>
    </w:p>
    <w:p>
      <w:pPr>
        <w:pStyle w:val="BodyText"/>
        <w:spacing w:before="9"/>
        <w:rPr>
          <w:sz w:val="18"/>
        </w:rPr>
      </w:pPr>
    </w:p>
    <w:p>
      <w:pPr>
        <w:pStyle w:val="Heading1"/>
        <w:numPr>
          <w:ilvl w:val="0"/>
          <w:numId w:val="5"/>
        </w:numPr>
        <w:tabs>
          <w:tab w:pos="468" w:val="left" w:leader="none"/>
        </w:tabs>
        <w:spacing w:line="240" w:lineRule="auto" w:before="63" w:after="0"/>
        <w:ind w:left="467" w:right="0" w:hanging="308"/>
        <w:jc w:val="both"/>
      </w:pPr>
      <w:bookmarkStart w:name="_bookmark11" w:id="15"/>
      <w:bookmarkEnd w:id="15"/>
      <w:r>
        <w:rPr>
          <w:b w:val="0"/>
        </w:rPr>
      </w:r>
      <w:bookmarkStart w:name="_bookmark11" w:id="16"/>
      <w:bookmarkEnd w:id="16"/>
      <w:r>
        <w:rPr/>
        <w:t>HI</w:t>
      </w:r>
      <w:r>
        <w:rPr/>
        <w:t>PÓTESIS</w:t>
      </w:r>
    </w:p>
    <w:p>
      <w:pPr>
        <w:pStyle w:val="BodyText"/>
        <w:rPr>
          <w:b/>
          <w:sz w:val="28"/>
        </w:rPr>
      </w:pPr>
    </w:p>
    <w:p>
      <w:pPr>
        <w:pStyle w:val="BodyText"/>
        <w:rPr>
          <w:b/>
          <w:sz w:val="28"/>
        </w:rPr>
      </w:pPr>
    </w:p>
    <w:p>
      <w:pPr>
        <w:pStyle w:val="BodyText"/>
        <w:spacing w:line="357" w:lineRule="auto" w:before="166"/>
        <w:ind w:left="159" w:right="157"/>
        <w:jc w:val="both"/>
      </w:pPr>
      <w:r>
        <w:rPr/>
        <w:t>Existen diferencias entre los tipos capsulares 5 y 8 de </w:t>
      </w:r>
      <w:r>
        <w:rPr>
          <w:i/>
        </w:rPr>
        <w:t>S. aureus </w:t>
      </w:r>
      <w:r>
        <w:rPr/>
        <w:t>en su capacidad para afectar la actividad de fagocitosis e inducir </w:t>
      </w:r>
      <w:r>
        <w:rPr>
          <w:i/>
        </w:rPr>
        <w:t>in vitro </w:t>
      </w:r>
      <w:r>
        <w:rPr/>
        <w:t>la apoptosis en neutrófilos de vacas lecheras.</w:t>
      </w:r>
    </w:p>
    <w:p>
      <w:pPr>
        <w:spacing w:after="0" w:line="357" w:lineRule="auto"/>
        <w:jc w:val="both"/>
        <w:sectPr>
          <w:pgSz w:w="12240" w:h="15840"/>
          <w:pgMar w:header="726" w:footer="1527" w:top="1200" w:bottom="1720" w:left="1540" w:right="1540"/>
        </w:sectPr>
      </w:pPr>
    </w:p>
    <w:p>
      <w:pPr>
        <w:pStyle w:val="BodyText"/>
        <w:spacing w:before="9"/>
        <w:rPr>
          <w:sz w:val="18"/>
        </w:rPr>
      </w:pPr>
    </w:p>
    <w:p>
      <w:pPr>
        <w:pStyle w:val="Heading1"/>
        <w:numPr>
          <w:ilvl w:val="0"/>
          <w:numId w:val="5"/>
        </w:numPr>
        <w:tabs>
          <w:tab w:pos="468" w:val="left" w:leader="none"/>
        </w:tabs>
        <w:spacing w:line="240" w:lineRule="auto" w:before="63" w:after="0"/>
        <w:ind w:left="467" w:right="0" w:hanging="308"/>
        <w:jc w:val="left"/>
      </w:pPr>
      <w:bookmarkStart w:name="_bookmark12" w:id="17"/>
      <w:bookmarkEnd w:id="17"/>
      <w:r>
        <w:rPr>
          <w:b w:val="0"/>
        </w:rPr>
      </w:r>
      <w:bookmarkStart w:name="_bookmark12" w:id="18"/>
      <w:bookmarkEnd w:id="18"/>
      <w:r>
        <w:rPr/>
        <w:t>O</w:t>
      </w:r>
      <w:r>
        <w:rPr/>
        <w:t>BJETIVOS</w:t>
      </w:r>
    </w:p>
    <w:p>
      <w:pPr>
        <w:pStyle w:val="BodyText"/>
        <w:rPr>
          <w:b/>
          <w:sz w:val="28"/>
        </w:rPr>
      </w:pPr>
    </w:p>
    <w:p>
      <w:pPr>
        <w:pStyle w:val="BodyText"/>
        <w:spacing w:before="9"/>
        <w:rPr>
          <w:b/>
          <w:sz w:val="25"/>
        </w:rPr>
      </w:pPr>
    </w:p>
    <w:p>
      <w:pPr>
        <w:pStyle w:val="Heading3"/>
      </w:pPr>
      <w:r>
        <w:rPr/>
        <w:t>Objetivo general</w:t>
      </w:r>
    </w:p>
    <w:p>
      <w:pPr>
        <w:pStyle w:val="BodyText"/>
        <w:spacing w:before="3"/>
        <w:rPr>
          <w:b/>
          <w:sz w:val="30"/>
        </w:rPr>
      </w:pPr>
    </w:p>
    <w:p>
      <w:pPr>
        <w:spacing w:line="360" w:lineRule="auto" w:before="0"/>
        <w:ind w:left="1163" w:right="154" w:firstLine="0"/>
        <w:jc w:val="both"/>
        <w:rPr>
          <w:sz w:val="24"/>
        </w:rPr>
      </w:pPr>
      <w:r>
        <w:rPr>
          <w:sz w:val="24"/>
        </w:rPr>
        <w:t>Evaluar el efecto de los tipos capsulares 5 y 8 de </w:t>
      </w:r>
      <w:r>
        <w:rPr>
          <w:i/>
          <w:sz w:val="24"/>
        </w:rPr>
        <w:t>Staphylococcus aureus </w:t>
      </w:r>
      <w:r>
        <w:rPr>
          <w:sz w:val="24"/>
        </w:rPr>
        <w:t>sobre la fagocitosis y apoptosis </w:t>
      </w:r>
      <w:r>
        <w:rPr>
          <w:i/>
          <w:spacing w:val="-3"/>
          <w:sz w:val="24"/>
        </w:rPr>
        <w:t>in </w:t>
      </w:r>
      <w:r>
        <w:rPr>
          <w:i/>
          <w:sz w:val="24"/>
        </w:rPr>
        <w:t>vitro </w:t>
      </w:r>
      <w:r>
        <w:rPr>
          <w:sz w:val="24"/>
        </w:rPr>
        <w:t>de neutrófilos de bovinos lecheros.</w:t>
      </w:r>
    </w:p>
    <w:p>
      <w:pPr>
        <w:pStyle w:val="BodyText"/>
      </w:pPr>
    </w:p>
    <w:p>
      <w:pPr>
        <w:pStyle w:val="BodyText"/>
        <w:spacing w:before="10"/>
        <w:rPr>
          <w:sz w:val="28"/>
        </w:rPr>
      </w:pPr>
    </w:p>
    <w:p>
      <w:pPr>
        <w:pStyle w:val="Heading3"/>
      </w:pPr>
      <w:r>
        <w:rPr/>
        <w:t>Objetivos específicos</w:t>
      </w:r>
    </w:p>
    <w:p>
      <w:pPr>
        <w:pStyle w:val="BodyText"/>
        <w:spacing w:before="1"/>
        <w:rPr>
          <w:b/>
          <w:sz w:val="30"/>
        </w:rPr>
      </w:pPr>
    </w:p>
    <w:p>
      <w:pPr>
        <w:pStyle w:val="ListParagraph"/>
        <w:numPr>
          <w:ilvl w:val="1"/>
          <w:numId w:val="5"/>
        </w:numPr>
        <w:tabs>
          <w:tab w:pos="865" w:val="left" w:leader="none"/>
          <w:tab w:pos="866" w:val="left" w:leader="none"/>
        </w:tabs>
        <w:spacing w:line="355" w:lineRule="auto" w:before="0" w:after="0"/>
        <w:ind w:left="880" w:right="158" w:hanging="360"/>
        <w:jc w:val="left"/>
        <w:rPr>
          <w:sz w:val="24"/>
        </w:rPr>
      </w:pPr>
      <w:r>
        <w:rPr>
          <w:sz w:val="24"/>
        </w:rPr>
        <w:t>Evaluar la actividad de fagocitosis </w:t>
      </w:r>
      <w:r>
        <w:rPr>
          <w:i/>
          <w:spacing w:val="-3"/>
          <w:sz w:val="24"/>
        </w:rPr>
        <w:t>in </w:t>
      </w:r>
      <w:r>
        <w:rPr>
          <w:i/>
          <w:sz w:val="24"/>
        </w:rPr>
        <w:t>vitro </w:t>
      </w:r>
      <w:r>
        <w:rPr>
          <w:sz w:val="24"/>
        </w:rPr>
        <w:t>de neutrófilos frente a los tipos capsulares 5 y 8 de </w:t>
      </w:r>
      <w:r>
        <w:rPr>
          <w:i/>
          <w:sz w:val="24"/>
        </w:rPr>
        <w:t>S. aureus </w:t>
      </w:r>
      <w:r>
        <w:rPr>
          <w:sz w:val="24"/>
        </w:rPr>
        <w:t>de vacas</w:t>
      </w:r>
      <w:r>
        <w:rPr>
          <w:spacing w:val="-16"/>
          <w:sz w:val="24"/>
        </w:rPr>
        <w:t> </w:t>
      </w:r>
      <w:r>
        <w:rPr>
          <w:sz w:val="24"/>
        </w:rPr>
        <w:t>lecheras</w:t>
      </w:r>
    </w:p>
    <w:p>
      <w:pPr>
        <w:pStyle w:val="ListParagraph"/>
        <w:numPr>
          <w:ilvl w:val="1"/>
          <w:numId w:val="5"/>
        </w:numPr>
        <w:tabs>
          <w:tab w:pos="865" w:val="left" w:leader="none"/>
          <w:tab w:pos="866" w:val="left" w:leader="none"/>
        </w:tabs>
        <w:spacing w:line="240" w:lineRule="auto" w:before="6" w:after="0"/>
        <w:ind w:left="865" w:right="0" w:hanging="345"/>
        <w:jc w:val="left"/>
        <w:rPr>
          <w:sz w:val="24"/>
        </w:rPr>
      </w:pPr>
      <w:r>
        <w:rPr>
          <w:sz w:val="24"/>
        </w:rPr>
        <w:t>Evaluar el efecto de tipos capsulares 5 y 8 de </w:t>
      </w:r>
      <w:r>
        <w:rPr>
          <w:i/>
          <w:sz w:val="24"/>
        </w:rPr>
        <w:t>S. aureus </w:t>
      </w:r>
      <w:r>
        <w:rPr>
          <w:sz w:val="24"/>
        </w:rPr>
        <w:t>sobre la  </w:t>
      </w:r>
      <w:r>
        <w:rPr>
          <w:spacing w:val="22"/>
          <w:sz w:val="24"/>
        </w:rPr>
        <w:t> </w:t>
      </w:r>
      <w:r>
        <w:rPr>
          <w:sz w:val="24"/>
        </w:rPr>
        <w:t>apoptosis</w:t>
      </w:r>
    </w:p>
    <w:p>
      <w:pPr>
        <w:spacing w:before="139"/>
        <w:ind w:left="880" w:right="3245" w:firstLine="0"/>
        <w:jc w:val="left"/>
        <w:rPr>
          <w:sz w:val="24"/>
        </w:rPr>
      </w:pPr>
      <w:r>
        <w:rPr>
          <w:i/>
          <w:sz w:val="24"/>
        </w:rPr>
        <w:t>in vitro </w:t>
      </w:r>
      <w:r>
        <w:rPr>
          <w:sz w:val="24"/>
        </w:rPr>
        <w:t>de los neutrófilos.</w:t>
      </w:r>
    </w:p>
    <w:p>
      <w:pPr>
        <w:spacing w:after="0"/>
        <w:jc w:val="left"/>
        <w:rPr>
          <w:sz w:val="24"/>
        </w:rPr>
        <w:sectPr>
          <w:pgSz w:w="12240" w:h="15840"/>
          <w:pgMar w:header="726" w:footer="1527" w:top="1200" w:bottom="1720" w:left="1540" w:right="1540"/>
        </w:sectPr>
      </w:pPr>
    </w:p>
    <w:p>
      <w:pPr>
        <w:pStyle w:val="BodyText"/>
        <w:spacing w:before="9"/>
        <w:rPr>
          <w:sz w:val="18"/>
        </w:rPr>
      </w:pPr>
    </w:p>
    <w:p>
      <w:pPr>
        <w:pStyle w:val="Heading1"/>
        <w:numPr>
          <w:ilvl w:val="0"/>
          <w:numId w:val="5"/>
        </w:numPr>
        <w:tabs>
          <w:tab w:pos="468" w:val="left" w:leader="none"/>
        </w:tabs>
        <w:spacing w:line="240" w:lineRule="auto" w:before="63" w:after="0"/>
        <w:ind w:left="467" w:right="0" w:hanging="308"/>
        <w:jc w:val="both"/>
      </w:pPr>
      <w:bookmarkStart w:name="_bookmark13" w:id="19"/>
      <w:bookmarkEnd w:id="19"/>
      <w:r>
        <w:rPr>
          <w:b w:val="0"/>
        </w:rPr>
      </w:r>
      <w:bookmarkStart w:name="_bookmark13" w:id="20"/>
      <w:bookmarkEnd w:id="20"/>
      <w:r>
        <w:rPr/>
        <w:t>M</w:t>
      </w:r>
      <w:r>
        <w:rPr/>
        <w:t>ATERIAL Y</w:t>
      </w:r>
      <w:r>
        <w:rPr>
          <w:spacing w:val="-10"/>
        </w:rPr>
        <w:t> </w:t>
      </w:r>
      <w:r>
        <w:rPr/>
        <w:t>MÉTODO</w:t>
      </w:r>
    </w:p>
    <w:p>
      <w:pPr>
        <w:pStyle w:val="BodyText"/>
        <w:spacing w:before="11"/>
        <w:rPr>
          <w:b/>
          <w:sz w:val="34"/>
        </w:rPr>
      </w:pPr>
    </w:p>
    <w:p>
      <w:pPr>
        <w:pStyle w:val="Heading3"/>
        <w:ind w:right="0"/>
        <w:jc w:val="both"/>
      </w:pPr>
      <w:bookmarkStart w:name="_bookmark14" w:id="21"/>
      <w:bookmarkEnd w:id="21"/>
      <w:r>
        <w:rPr>
          <w:b w:val="0"/>
        </w:rPr>
      </w:r>
      <w:r>
        <w:rPr/>
        <w:t>6.1. Zona de muestreo</w:t>
      </w:r>
    </w:p>
    <w:p>
      <w:pPr>
        <w:pStyle w:val="BodyText"/>
        <w:spacing w:line="360" w:lineRule="auto" w:before="108"/>
        <w:ind w:left="159" w:right="155"/>
        <w:jc w:val="both"/>
      </w:pPr>
      <w:r>
        <w:rPr/>
        <w:t>Las muestras se obtuvieron de los bovinos lecheros de la posta zootécnica de la Facultad de Medicina Veterinaria y Zootecnia UAEM, localizada en el Cerrillo Piedras Blancas, Municipio de Toluca, Estado de México. Localizada a 19°24´Latitud norte y 99°40´ Longitud oeste </w:t>
      </w:r>
      <w:r>
        <w:rPr>
          <w:spacing w:val="3"/>
        </w:rPr>
        <w:t>del </w:t>
      </w:r>
      <w:r>
        <w:rPr/>
        <w:t>meridiano de Greenwich, a 2500 metros sobre el nivel </w:t>
      </w:r>
      <w:r>
        <w:rPr>
          <w:spacing w:val="-3"/>
        </w:rPr>
        <w:t>del </w:t>
      </w:r>
      <w:r>
        <w:rPr/>
        <w:t>mar, presenta un </w:t>
      </w:r>
      <w:r>
        <w:rPr>
          <w:spacing w:val="-3"/>
        </w:rPr>
        <w:t>clima </w:t>
      </w:r>
      <w:r>
        <w:rPr/>
        <w:t>templado subhúmedo con lluvias en verano-otoño C(w2)(w)b(l)g de acuerdo a la clasificación de Koeppen,  adaptada para la República Mexicana, según García (1972). Presenta una temperatura media anual de 16°C y un rango de 12 a 18°C y con una precipitación pluvial de 800 a 1200 mm</w:t>
      </w:r>
      <w:r>
        <w:rPr>
          <w:spacing w:val="-14"/>
        </w:rPr>
        <w:t> </w:t>
      </w:r>
      <w:r>
        <w:rPr/>
        <w:t>anuales.</w:t>
      </w:r>
    </w:p>
    <w:p>
      <w:pPr>
        <w:pStyle w:val="BodyText"/>
      </w:pPr>
    </w:p>
    <w:p>
      <w:pPr>
        <w:pStyle w:val="BodyText"/>
        <w:spacing w:before="6"/>
        <w:rPr>
          <w:sz w:val="32"/>
        </w:rPr>
      </w:pPr>
    </w:p>
    <w:p>
      <w:pPr>
        <w:pStyle w:val="Heading3"/>
        <w:numPr>
          <w:ilvl w:val="1"/>
          <w:numId w:val="6"/>
        </w:numPr>
        <w:tabs>
          <w:tab w:pos="564" w:val="left" w:leader="none"/>
        </w:tabs>
        <w:spacing w:line="240" w:lineRule="auto" w:before="1" w:after="0"/>
        <w:ind w:left="563" w:right="0" w:hanging="404"/>
        <w:jc w:val="both"/>
      </w:pPr>
      <w:bookmarkStart w:name="_bookmark15" w:id="22"/>
      <w:bookmarkEnd w:id="22"/>
      <w:r>
        <w:rPr>
          <w:b w:val="0"/>
        </w:rPr>
      </w:r>
      <w:bookmarkStart w:name="_bookmark15" w:id="23"/>
      <w:bookmarkEnd w:id="23"/>
      <w:r>
        <w:rPr/>
        <w:t>P</w:t>
      </w:r>
      <w:r>
        <w:rPr/>
        <w:t>oblación animal en</w:t>
      </w:r>
      <w:r>
        <w:rPr>
          <w:spacing w:val="-19"/>
        </w:rPr>
        <w:t> </w:t>
      </w:r>
      <w:r>
        <w:rPr/>
        <w:t>estudio</w:t>
      </w:r>
    </w:p>
    <w:p>
      <w:pPr>
        <w:pStyle w:val="BodyText"/>
        <w:spacing w:line="360" w:lineRule="auto" w:before="209"/>
        <w:ind w:left="159" w:right="154"/>
        <w:jc w:val="both"/>
      </w:pPr>
      <w:r>
        <w:rPr/>
        <w:t>La población total de animales en la unidad lechera en línea de ordeño fue de 25 bovinos hembras, de la raza Holstein de origen nacional y Jersey de 121 días de lactación en promedio, multíparas. Los animales fueron manejados en un sistema de producción semiintensivo, en condiciones de pastoreo controlado en praderas inducidas de Rye Grass (</w:t>
      </w:r>
      <w:r>
        <w:rPr>
          <w:i/>
        </w:rPr>
        <w:t>Lolium perenne</w:t>
      </w:r>
      <w:r>
        <w:rPr/>
        <w:t>) y trébol blanco (</w:t>
      </w:r>
      <w:r>
        <w:rPr>
          <w:i/>
        </w:rPr>
        <w:t>Trifolium repens</w:t>
      </w:r>
      <w:r>
        <w:rPr/>
        <w:t>). La leche se obtuvo mediante un sistema de ordeño mecánico y un protocolo de buenas prácticas de manejo e higiene.</w:t>
      </w:r>
    </w:p>
    <w:p>
      <w:pPr>
        <w:pStyle w:val="BodyText"/>
      </w:pPr>
    </w:p>
    <w:p>
      <w:pPr>
        <w:pStyle w:val="BodyText"/>
      </w:pPr>
    </w:p>
    <w:p>
      <w:pPr>
        <w:pStyle w:val="BodyText"/>
        <w:spacing w:before="10"/>
        <w:rPr>
          <w:sz w:val="29"/>
        </w:rPr>
      </w:pPr>
    </w:p>
    <w:p>
      <w:pPr>
        <w:pStyle w:val="Heading3"/>
        <w:numPr>
          <w:ilvl w:val="1"/>
          <w:numId w:val="6"/>
        </w:numPr>
        <w:tabs>
          <w:tab w:pos="564" w:val="left" w:leader="none"/>
        </w:tabs>
        <w:spacing w:line="240" w:lineRule="auto" w:before="0" w:after="0"/>
        <w:ind w:left="563" w:right="0" w:hanging="404"/>
        <w:jc w:val="both"/>
      </w:pPr>
      <w:bookmarkStart w:name="_bookmark16" w:id="24"/>
      <w:bookmarkEnd w:id="24"/>
      <w:r>
        <w:rPr>
          <w:b w:val="0"/>
        </w:rPr>
      </w:r>
      <w:bookmarkStart w:name="_bookmark16" w:id="25"/>
      <w:bookmarkEnd w:id="25"/>
      <w:r>
        <w:rPr/>
        <w:t>G</w:t>
      </w:r>
      <w:r>
        <w:rPr/>
        <w:t>rupo de</w:t>
      </w:r>
      <w:r>
        <w:rPr>
          <w:spacing w:val="-8"/>
        </w:rPr>
        <w:t> </w:t>
      </w:r>
      <w:r>
        <w:rPr/>
        <w:t>animales</w:t>
      </w:r>
    </w:p>
    <w:p>
      <w:pPr>
        <w:pStyle w:val="BodyText"/>
        <w:spacing w:line="352" w:lineRule="auto" w:before="204"/>
        <w:ind w:left="159" w:right="154"/>
        <w:jc w:val="both"/>
      </w:pPr>
      <w:r>
        <w:rPr/>
        <w:t>El grupo de animales donadores se integró con 3 vacas clínicamente sanas con un período </w:t>
      </w:r>
      <w:r>
        <w:rPr>
          <w:i/>
        </w:rPr>
        <w:t>pos partum </w:t>
      </w:r>
      <w:r>
        <w:rPr/>
        <w:t>en promedio de 121 días (Van Oostvelt </w:t>
      </w:r>
      <w:r>
        <w:rPr>
          <w:i/>
        </w:rPr>
        <w:t>et. al., </w:t>
      </w:r>
      <w:r>
        <w:rPr/>
        <w:t>2001). Los criterios de inclusión al grupo de estudio fueron: serología negativa a anticuerpos anti </w:t>
      </w:r>
      <w:r>
        <w:rPr>
          <w:i/>
        </w:rPr>
        <w:t>S. aureus </w:t>
      </w:r>
      <w:r>
        <w:rPr/>
        <w:t>tipo capsular 5 y 8 (Karakawa </w:t>
      </w:r>
      <w:r>
        <w:rPr>
          <w:i/>
        </w:rPr>
        <w:t>et al., </w:t>
      </w:r>
      <w:r>
        <w:rPr/>
        <w:t>1985), conteos celulares somáticos en leche ˂ de 200 x 10</w:t>
      </w:r>
      <w:r>
        <w:rPr>
          <w:position w:val="11"/>
          <w:sz w:val="16"/>
        </w:rPr>
        <w:t>3  </w:t>
      </w:r>
      <w:r>
        <w:rPr/>
        <w:t>células/ml, bacteriológicamente negativas a    3</w:t>
      </w:r>
    </w:p>
    <w:p>
      <w:pPr>
        <w:spacing w:after="0" w:line="352" w:lineRule="auto"/>
        <w:jc w:val="both"/>
        <w:sectPr>
          <w:pgSz w:w="12240" w:h="15840"/>
          <w:pgMar w:header="726" w:footer="1527" w:top="1200" w:bottom="1720" w:left="1540" w:right="1540"/>
        </w:sectPr>
      </w:pPr>
    </w:p>
    <w:p>
      <w:pPr>
        <w:pStyle w:val="BodyText"/>
        <w:spacing w:before="8"/>
        <w:rPr>
          <w:sz w:val="15"/>
        </w:rPr>
      </w:pPr>
    </w:p>
    <w:p>
      <w:pPr>
        <w:pStyle w:val="BodyText"/>
        <w:spacing w:line="360" w:lineRule="auto" w:before="69"/>
        <w:ind w:left="159" w:right="159"/>
        <w:jc w:val="both"/>
      </w:pPr>
      <w:r>
        <w:rPr/>
        <w:t>muestreos consecutivos a </w:t>
      </w:r>
      <w:r>
        <w:rPr>
          <w:i/>
        </w:rPr>
        <w:t>Staphylococcus aureus </w:t>
      </w:r>
      <w:r>
        <w:rPr/>
        <w:t>y negativas a la prueba de california (Capuco </w:t>
      </w:r>
      <w:r>
        <w:rPr>
          <w:i/>
        </w:rPr>
        <w:t>et, al</w:t>
      </w:r>
      <w:r>
        <w:rPr/>
        <w:t>., 1986). El uso y cuidado de las vacas fue supervisado por personal calificado del área de producción animal. Durante el estudio las vacas se mantuvieron en condiciones adecuadas de alojamiento, atención y cuidado en la unidad de producción lechera en consideración a las normas oficiales mexicanas NOM-052-ZOO 1995 y NOM 062-ZOO 1999.</w:t>
      </w:r>
    </w:p>
    <w:p>
      <w:pPr>
        <w:pStyle w:val="BodyText"/>
        <w:spacing w:before="1"/>
        <w:rPr>
          <w:sz w:val="21"/>
        </w:rPr>
      </w:pPr>
    </w:p>
    <w:p>
      <w:pPr>
        <w:pStyle w:val="Heading3"/>
        <w:numPr>
          <w:ilvl w:val="1"/>
          <w:numId w:val="6"/>
        </w:numPr>
        <w:tabs>
          <w:tab w:pos="631" w:val="left" w:leader="none"/>
        </w:tabs>
        <w:spacing w:line="240" w:lineRule="auto" w:before="0" w:after="0"/>
        <w:ind w:left="630" w:right="0" w:hanging="404"/>
        <w:jc w:val="both"/>
      </w:pPr>
      <w:bookmarkStart w:name="_bookmark17" w:id="26"/>
      <w:bookmarkEnd w:id="26"/>
      <w:r>
        <w:rPr>
          <w:b w:val="0"/>
        </w:rPr>
      </w:r>
      <w:bookmarkStart w:name="_bookmark17" w:id="27"/>
      <w:bookmarkEnd w:id="27"/>
      <w:r>
        <w:rPr/>
        <w:t>P</w:t>
      </w:r>
      <w:r>
        <w:rPr/>
        <w:t>rocedimiento de</w:t>
      </w:r>
      <w:r>
        <w:rPr>
          <w:spacing w:val="-18"/>
        </w:rPr>
        <w:t> </w:t>
      </w:r>
      <w:r>
        <w:rPr/>
        <w:t>diagnóstico</w:t>
      </w:r>
    </w:p>
    <w:p>
      <w:pPr>
        <w:pStyle w:val="BodyText"/>
        <w:spacing w:line="360" w:lineRule="auto" w:before="204"/>
        <w:ind w:left="159" w:right="154"/>
        <w:jc w:val="both"/>
      </w:pPr>
      <w:r>
        <w:rPr/>
        <w:t>El conteo de células somáticas se realizó empleando el método de Recuento Directo de Células Somáticas (Echeverri </w:t>
      </w:r>
      <w:r>
        <w:rPr>
          <w:i/>
        </w:rPr>
        <w:t>et. al., </w:t>
      </w:r>
      <w:r>
        <w:rPr/>
        <w:t>2010) bajo el siguiente procedimiento. Se delimitó un cuadrado 1cm x 1cm en un portaobjetos para colocarlo en una base de caja de petri, dentro de la superficie delimitada se depositaron 10µl de la muestra de leche previamente homogenizada. Se dejo secar la muestra en la estufa a 37°C durante 5 minutos, inmediatamente se fijo con alcohol al 95° durante 2 o 3 minutos. </w:t>
      </w:r>
      <w:r>
        <w:rPr>
          <w:spacing w:val="-4"/>
        </w:rPr>
        <w:t>Se </w:t>
      </w:r>
      <w:r>
        <w:rPr/>
        <w:t>procedió a lavar el frotis con agua corriente y se desengrasar con xilol 2 minutos dejando secar al aire. La muestra se coloreo con azul de metileno (SIGMA, México) durante 30 segundos y después se lavó la laminilla con agua corriente para ser observada en el microscopio</w:t>
      </w:r>
      <w:r>
        <w:rPr>
          <w:spacing w:val="-18"/>
        </w:rPr>
        <w:t> </w:t>
      </w:r>
      <w:r>
        <w:rPr/>
        <w:t>óptico.</w:t>
      </w:r>
    </w:p>
    <w:p>
      <w:pPr>
        <w:pStyle w:val="BodyText"/>
      </w:pPr>
    </w:p>
    <w:p>
      <w:pPr>
        <w:pStyle w:val="BodyText"/>
      </w:pPr>
    </w:p>
    <w:p>
      <w:pPr>
        <w:pStyle w:val="BodyText"/>
        <w:spacing w:before="10"/>
        <w:rPr>
          <w:sz w:val="29"/>
        </w:rPr>
      </w:pPr>
    </w:p>
    <w:p>
      <w:pPr>
        <w:pStyle w:val="Heading3"/>
        <w:numPr>
          <w:ilvl w:val="1"/>
          <w:numId w:val="6"/>
        </w:numPr>
        <w:tabs>
          <w:tab w:pos="564" w:val="left" w:leader="none"/>
        </w:tabs>
        <w:spacing w:line="240" w:lineRule="auto" w:before="0" w:after="0"/>
        <w:ind w:left="563" w:right="0" w:hanging="404"/>
        <w:jc w:val="both"/>
      </w:pPr>
      <w:bookmarkStart w:name="_bookmark18" w:id="28"/>
      <w:bookmarkEnd w:id="28"/>
      <w:r>
        <w:rPr>
          <w:b w:val="0"/>
        </w:rPr>
      </w:r>
      <w:bookmarkStart w:name="_bookmark18" w:id="29"/>
      <w:bookmarkEnd w:id="29"/>
      <w:r>
        <w:rPr/>
        <w:t>Dise</w:t>
      </w:r>
      <w:r>
        <w:rPr/>
        <w:t>ño del</w:t>
      </w:r>
      <w:r>
        <w:rPr>
          <w:spacing w:val="-16"/>
        </w:rPr>
        <w:t> </w:t>
      </w:r>
      <w:r>
        <w:rPr/>
        <w:t>experimento</w:t>
      </w:r>
    </w:p>
    <w:p>
      <w:pPr>
        <w:pStyle w:val="BodyText"/>
        <w:spacing w:line="360" w:lineRule="auto" w:before="204"/>
        <w:ind w:left="159" w:right="153"/>
        <w:jc w:val="both"/>
      </w:pPr>
      <w:r>
        <w:rPr/>
        <w:t>Para evaluar la actividad de fagocitosis de los neutrófilos bovinos se emplearon tres grupos experimentales, considerados como tratamiento: CP5 neutrófilos incubados con cepa capsular 5 de </w:t>
      </w:r>
      <w:r>
        <w:rPr>
          <w:i/>
        </w:rPr>
        <w:t>S. aureus </w:t>
      </w:r>
      <w:r>
        <w:rPr/>
        <w:t>y CP8 neutrófilos incubados con cepas capsulares 8 y el grupo de control CC neutrófilos incubados con cepas compactas de </w:t>
      </w:r>
      <w:r>
        <w:rPr>
          <w:i/>
        </w:rPr>
        <w:t>S. aureus </w:t>
      </w:r>
      <w:r>
        <w:rPr/>
        <w:t>agente. En los ensayos de inducción de apoptosis se empleó adcionalmente un control positivo C(+) neutrófilos incubados con ciclofosfamida (400μg/100µl) y un control negativo C(-) integrado por neutrófilos contenidos en el medio de cultivo.</w:t>
      </w:r>
    </w:p>
    <w:p>
      <w:pPr>
        <w:spacing w:after="0" w:line="360" w:lineRule="auto"/>
        <w:jc w:val="both"/>
        <w:sectPr>
          <w:pgSz w:w="12240" w:h="15840"/>
          <w:pgMar w:header="726" w:footer="1527" w:top="1200" w:bottom="1720" w:left="1540" w:right="1540"/>
        </w:sectPr>
      </w:pPr>
    </w:p>
    <w:p>
      <w:pPr>
        <w:pStyle w:val="BodyText"/>
        <w:spacing w:before="8"/>
        <w:rPr>
          <w:sz w:val="15"/>
        </w:rPr>
      </w:pPr>
    </w:p>
    <w:p>
      <w:pPr>
        <w:pStyle w:val="BodyText"/>
        <w:spacing w:line="360" w:lineRule="auto" w:before="69"/>
        <w:ind w:left="159" w:right="152"/>
        <w:jc w:val="both"/>
      </w:pPr>
      <w:r>
        <w:rPr/>
        <w:t>Los ensayos </w:t>
      </w:r>
      <w:r>
        <w:rPr>
          <w:i/>
        </w:rPr>
        <w:t>in vitro </w:t>
      </w:r>
      <w:r>
        <w:rPr/>
        <w:t>se realizaron por triplicado a partir de los grupos de tratamiento. Para evaluar el índice de Fagocitosis (IFN), Capacidad de Fagocitosis (CFN) y Apoptosis se emplearon 3 cepas por grupos siendo una de ellas el control para cada tipo capsular de </w:t>
      </w:r>
      <w:r>
        <w:rPr>
          <w:i/>
        </w:rPr>
        <w:t>Staphylococcus aureus</w:t>
      </w:r>
      <w:r>
        <w:rPr/>
        <w:t>, para el tipo compacto se empleo la cepa ATCC 12598 (Cowan1), para el CP5 la ATCC 25904 y para CP8 la ATCC 49525</w:t>
      </w:r>
    </w:p>
    <w:p>
      <w:pPr>
        <w:pStyle w:val="BodyText"/>
        <w:spacing w:before="3"/>
        <w:rPr>
          <w:sz w:val="20"/>
        </w:rPr>
      </w:pPr>
    </w:p>
    <w:p>
      <w:pPr>
        <w:pStyle w:val="Heading3"/>
        <w:numPr>
          <w:ilvl w:val="1"/>
          <w:numId w:val="6"/>
        </w:numPr>
        <w:tabs>
          <w:tab w:pos="564" w:val="left" w:leader="none"/>
        </w:tabs>
        <w:spacing w:line="240" w:lineRule="auto" w:before="0" w:after="0"/>
        <w:ind w:left="563" w:right="0" w:hanging="404"/>
        <w:jc w:val="both"/>
      </w:pPr>
      <w:bookmarkStart w:name="_bookmark19" w:id="30"/>
      <w:bookmarkEnd w:id="30"/>
      <w:r>
        <w:rPr>
          <w:b w:val="0"/>
        </w:rPr>
      </w:r>
      <w:bookmarkStart w:name="_bookmark19" w:id="31"/>
      <w:bookmarkEnd w:id="31"/>
      <w:r>
        <w:rPr/>
        <w:t>A</w:t>
      </w:r>
      <w:r>
        <w:rPr/>
        <w:t>islamiento de neutrófilos de</w:t>
      </w:r>
      <w:r>
        <w:rPr>
          <w:spacing w:val="-24"/>
        </w:rPr>
        <w:t> </w:t>
      </w:r>
      <w:r>
        <w:rPr/>
        <w:t>bovinos</w:t>
      </w:r>
    </w:p>
    <w:p>
      <w:pPr>
        <w:pStyle w:val="BodyText"/>
        <w:spacing w:line="360" w:lineRule="auto" w:before="209"/>
        <w:ind w:left="159" w:right="153"/>
        <w:jc w:val="both"/>
      </w:pPr>
      <w:r>
        <w:rPr/>
        <w:t>Los neutrófilos PMN se concentraron y aislaron a partir de una muestra de sangre bovina por venopunción de la vena yugular con previa asepsia de la zona con una torunda impregnada con alcohol etílico al 70%, la muestra se depositó en tubos de recolección al vacío (Vacutainer, Becton Dickison, USA) con heparina como anticoagulante (Worku </w:t>
      </w:r>
      <w:r>
        <w:rPr>
          <w:i/>
        </w:rPr>
        <w:t>et al., </w:t>
      </w:r>
      <w:r>
        <w:rPr/>
        <w:t>1994). El conteo diferencial de leucocitos se determinó por el método hematológico de tinción de Giemsa empleando un hemocitómetro. Los neutrófilos de la sangre se aislaron a partir de muestras sanguíneas recién obtenidos utilizando el método de la lisis hipotónica de eritrocitos (LHE) (Velázquez </w:t>
      </w:r>
      <w:r>
        <w:rPr>
          <w:i/>
        </w:rPr>
        <w:t>et al., </w:t>
      </w:r>
      <w:r>
        <w:rPr/>
        <w:t>2008). Para lo cual las muestras de sangre se centrifugaron a 1000g a 4°C por 20 minutos en tubos cónicos de propileno y a continuación se descartó el plasma. La lisis de eritrocitos se realizó colocando en tubos de plástico de 15 ml durante 30 segundos 8ml de solución A a 4ºC (NaCl,</w:t>
      </w:r>
    </w:p>
    <w:p>
      <w:pPr>
        <w:pStyle w:val="BodyText"/>
        <w:spacing w:line="352" w:lineRule="auto" w:before="2"/>
        <w:ind w:left="159" w:right="154"/>
        <w:jc w:val="both"/>
      </w:pPr>
      <w:r>
        <w:rPr/>
        <w:t>0.020 M), y 4ml de sangre. Posteriormente se agregaron 2 ml de solución B fría ( NaCl, 0.164 M) para centrifugarlo tres minutos a 300g. Se recuperó el pellet y se lavó dos veces en solución balanceada Hank’s para resuspenderlo en medio de cultivo RPMI 1640. La concentración de neutrófilos de ajustó a una concentración de 2.5 x 10</w:t>
      </w:r>
      <w:r>
        <w:rPr>
          <w:position w:val="11"/>
          <w:sz w:val="16"/>
        </w:rPr>
        <w:t>6   </w:t>
      </w:r>
      <w:r>
        <w:rPr/>
        <w:t>céls viables/ml. Tanto la pureza como la viabilidad de los   neutrófilos</w:t>
      </w:r>
    </w:p>
    <w:p>
      <w:pPr>
        <w:pStyle w:val="BodyText"/>
        <w:spacing w:line="360" w:lineRule="auto"/>
        <w:ind w:left="159" w:right="154"/>
        <w:jc w:val="both"/>
      </w:pPr>
      <w:r>
        <w:rPr/>
        <w:t>se estimó al 95%. La viabilidad de los neutrófilos se determinó empleando el método de exclusión de azul de tripán al 4%. La pureza de neutrófilos maduros se observo en un frotis celular sobre una laminilla de vidrio teñida con May Grünwald- Giemsa (Salgar </w:t>
      </w:r>
      <w:r>
        <w:rPr>
          <w:i/>
        </w:rPr>
        <w:t>et al</w:t>
      </w:r>
      <w:r>
        <w:rPr/>
        <w:t>., 1991).</w:t>
      </w:r>
    </w:p>
    <w:p>
      <w:pPr>
        <w:spacing w:after="0" w:line="360" w:lineRule="auto"/>
        <w:jc w:val="both"/>
        <w:sectPr>
          <w:pgSz w:w="12240" w:h="15840"/>
          <w:pgMar w:header="726" w:footer="1527" w:top="1200" w:bottom="1720" w:left="1540" w:right="1540"/>
        </w:sectPr>
      </w:pPr>
    </w:p>
    <w:p>
      <w:pPr>
        <w:pStyle w:val="BodyText"/>
        <w:spacing w:before="10"/>
        <w:rPr>
          <w:sz w:val="14"/>
        </w:rPr>
      </w:pPr>
    </w:p>
    <w:p>
      <w:pPr>
        <w:pStyle w:val="ListParagraph"/>
        <w:numPr>
          <w:ilvl w:val="1"/>
          <w:numId w:val="7"/>
        </w:numPr>
        <w:tabs>
          <w:tab w:pos="564" w:val="left" w:leader="none"/>
        </w:tabs>
        <w:spacing w:line="240" w:lineRule="auto" w:before="69" w:after="0"/>
        <w:ind w:left="563" w:right="0" w:hanging="404"/>
        <w:jc w:val="both"/>
        <w:rPr>
          <w:b/>
          <w:i/>
          <w:sz w:val="24"/>
        </w:rPr>
      </w:pPr>
      <w:bookmarkStart w:name="_bookmark20" w:id="32"/>
      <w:bookmarkEnd w:id="32"/>
      <w:r>
        <w:rPr/>
      </w:r>
      <w:bookmarkStart w:name="_bookmark20" w:id="33"/>
      <w:bookmarkEnd w:id="33"/>
      <w:r>
        <w:rPr>
          <w:b/>
          <w:sz w:val="24"/>
        </w:rPr>
        <w:t>P</w:t>
      </w:r>
      <w:r>
        <w:rPr>
          <w:b/>
          <w:sz w:val="24"/>
        </w:rPr>
        <w:t>roducción de la cápsula </w:t>
      </w:r>
      <w:r>
        <w:rPr>
          <w:b/>
          <w:i/>
          <w:sz w:val="24"/>
        </w:rPr>
        <w:t>in</w:t>
      </w:r>
      <w:r>
        <w:rPr>
          <w:b/>
          <w:i/>
          <w:spacing w:val="-14"/>
          <w:sz w:val="24"/>
        </w:rPr>
        <w:t> </w:t>
      </w:r>
      <w:r>
        <w:rPr>
          <w:b/>
          <w:i/>
          <w:sz w:val="24"/>
        </w:rPr>
        <w:t>vitro</w:t>
      </w:r>
    </w:p>
    <w:p>
      <w:pPr>
        <w:pStyle w:val="BodyText"/>
        <w:spacing w:line="360" w:lineRule="auto" w:before="209"/>
        <w:ind w:left="159" w:right="153"/>
        <w:jc w:val="both"/>
      </w:pPr>
      <w:r>
        <w:rPr/>
        <w:t>Se emplearon cepas de campo de </w:t>
      </w:r>
      <w:r>
        <w:rPr>
          <w:i/>
        </w:rPr>
        <w:t>S. aureus </w:t>
      </w:r>
      <w:r>
        <w:rPr/>
        <w:t>55, 77 y 99 aisladas de vacas con mastitis (García, 2013), previamente conservadas a -20°C en glicerol en caldo de infusión cerebro corazón (BHI) con glicerol al 25% (Tollersrud </w:t>
      </w:r>
      <w:r>
        <w:rPr>
          <w:i/>
        </w:rPr>
        <w:t>et al</w:t>
      </w:r>
      <w:r>
        <w:rPr/>
        <w:t>., 2000). El tipo capsular se determino mediante la reacción en cadena de la polimerasa (PCR) y la determinación de los serotipos capsulares con un antisuero policlonal de conejo anti-CP5, anti-CP8, la cepa de </w:t>
      </w:r>
      <w:r>
        <w:rPr>
          <w:i/>
        </w:rPr>
        <w:t>S.aureus </w:t>
      </w:r>
      <w:r>
        <w:rPr/>
        <w:t>de tipo compacto ATCCC 10832. La expresión de la cápsula </w:t>
      </w:r>
      <w:r>
        <w:rPr>
          <w:i/>
          <w:spacing w:val="-3"/>
        </w:rPr>
        <w:t>in </w:t>
      </w:r>
      <w:r>
        <w:rPr>
          <w:i/>
        </w:rPr>
        <w:t>vitro </w:t>
      </w:r>
      <w:r>
        <w:rPr/>
        <w:t>se llevó a cabo en el medio de infusión cerebro corazón adicionado al 10 % con suero de leche incubado durante 24hr (Sutra </w:t>
      </w:r>
      <w:r>
        <w:rPr>
          <w:i/>
        </w:rPr>
        <w:t>et </w:t>
      </w:r>
      <w:r>
        <w:rPr>
          <w:i/>
        </w:rPr>
        <w:t>al.</w:t>
      </w:r>
      <w:r>
        <w:rPr/>
        <w:t>,</w:t>
      </w:r>
      <w:r>
        <w:rPr>
          <w:spacing w:val="-4"/>
        </w:rPr>
        <w:t> </w:t>
      </w:r>
      <w:r>
        <w:rPr/>
        <w:t>1990).</w:t>
      </w:r>
    </w:p>
    <w:p>
      <w:pPr>
        <w:pStyle w:val="BodyText"/>
      </w:pPr>
    </w:p>
    <w:p>
      <w:pPr>
        <w:pStyle w:val="BodyText"/>
        <w:spacing w:before="7"/>
        <w:rPr>
          <w:sz w:val="35"/>
        </w:rPr>
      </w:pPr>
    </w:p>
    <w:p>
      <w:pPr>
        <w:pStyle w:val="Heading3"/>
        <w:numPr>
          <w:ilvl w:val="1"/>
          <w:numId w:val="7"/>
        </w:numPr>
        <w:tabs>
          <w:tab w:pos="703" w:val="left" w:leader="none"/>
        </w:tabs>
        <w:spacing w:line="240" w:lineRule="auto" w:before="0" w:after="0"/>
        <w:ind w:left="702" w:right="0" w:hanging="543"/>
        <w:jc w:val="both"/>
        <w:rPr>
          <w:sz w:val="28"/>
        </w:rPr>
      </w:pPr>
      <w:bookmarkStart w:name="_bookmark21" w:id="34"/>
      <w:bookmarkEnd w:id="34"/>
      <w:r>
        <w:rPr>
          <w:b w:val="0"/>
        </w:rPr>
      </w:r>
      <w:bookmarkStart w:name="_bookmark21" w:id="35"/>
      <w:bookmarkEnd w:id="35"/>
      <w:r>
        <w:rPr/>
        <w:t>E</w:t>
      </w:r>
      <w:r>
        <w:rPr/>
        <w:t>valuación de la actividad de fagocitosis </w:t>
      </w:r>
      <w:r>
        <w:rPr>
          <w:i/>
        </w:rPr>
        <w:t>in</w:t>
      </w:r>
      <w:r>
        <w:rPr>
          <w:i/>
          <w:spacing w:val="-15"/>
        </w:rPr>
        <w:t> </w:t>
      </w:r>
      <w:r>
        <w:rPr>
          <w:i/>
        </w:rPr>
        <w:t>vitro</w:t>
      </w:r>
      <w:r>
        <w:rPr/>
        <w:t>.</w:t>
      </w:r>
    </w:p>
    <w:p>
      <w:pPr>
        <w:pStyle w:val="Heading2"/>
        <w:spacing w:before="167"/>
      </w:pPr>
      <w:bookmarkStart w:name="_bookmark22" w:id="36"/>
      <w:bookmarkEnd w:id="36"/>
      <w:r>
        <w:rPr>
          <w:b w:val="0"/>
        </w:rPr>
      </w:r>
      <w:r>
        <w:rPr/>
        <w:t>Microscopia óptica y epifluorescencia</w:t>
      </w:r>
    </w:p>
    <w:p>
      <w:pPr>
        <w:pStyle w:val="BodyText"/>
        <w:rPr>
          <w:b/>
          <w:sz w:val="26"/>
        </w:rPr>
      </w:pPr>
    </w:p>
    <w:p>
      <w:pPr>
        <w:pStyle w:val="BodyText"/>
        <w:spacing w:before="1"/>
        <w:rPr>
          <w:b/>
          <w:sz w:val="23"/>
        </w:rPr>
      </w:pPr>
    </w:p>
    <w:p>
      <w:pPr>
        <w:pStyle w:val="BodyText"/>
        <w:spacing w:line="350" w:lineRule="auto"/>
        <w:ind w:left="159" w:right="155"/>
        <w:jc w:val="both"/>
      </w:pPr>
      <w:r>
        <w:rPr/>
        <w:t>Para determinar la actividad de fagocitosis </w:t>
      </w:r>
      <w:r>
        <w:rPr>
          <w:i/>
          <w:spacing w:val="-3"/>
        </w:rPr>
        <w:t>in </w:t>
      </w:r>
      <w:r>
        <w:rPr>
          <w:i/>
        </w:rPr>
        <w:t>vitro </w:t>
      </w:r>
      <w:r>
        <w:rPr/>
        <w:t>se empleo como sustrato una suspensión bacteria inactivada a 120°C durante 20 minutos como sustrato ajustada a 2 x 10</w:t>
      </w:r>
      <w:r>
        <w:rPr>
          <w:position w:val="11"/>
          <w:sz w:val="16"/>
        </w:rPr>
        <w:t>8 </w:t>
      </w:r>
      <w:r>
        <w:rPr/>
        <w:t>CFU/ml conservada a 4°C hasta el momento de su uso. Se colocó en una proporción 1:10 neutrófilo:  bacteria (Sutra  </w:t>
      </w:r>
      <w:r>
        <w:rPr>
          <w:i/>
        </w:rPr>
        <w:t>et al</w:t>
      </w:r>
      <w:r>
        <w:rPr/>
        <w:t>., 1990).        </w:t>
      </w:r>
      <w:r>
        <w:rPr>
          <w:spacing w:val="60"/>
        </w:rPr>
        <w:t> </w:t>
      </w:r>
      <w:r>
        <w:rPr/>
        <w:t>En un</w:t>
      </w:r>
    </w:p>
    <w:p>
      <w:pPr>
        <w:pStyle w:val="BodyText"/>
        <w:spacing w:line="360" w:lineRule="auto" w:before="14"/>
        <w:ind w:left="159" w:right="155"/>
        <w:jc w:val="both"/>
      </w:pPr>
      <w:r>
        <w:rPr/>
        <w:t>microtubo se adiciono 0.1ml de la suspensión bacterial, </w:t>
      </w:r>
      <w:r>
        <w:rPr>
          <w:spacing w:val="-3"/>
        </w:rPr>
        <w:t>0.1ml </w:t>
      </w:r>
      <w:r>
        <w:rPr/>
        <w:t>de suero autólogo inactivado a 56°C y 0.8ml de suspensión de neutrófilos. La muestras se incubaron a 37°C durante 1 hr, posteriormente se le adicionó lisostafina (1µg/ml, SIGMA, USA) y se reincubaron nuevamente por 30 minutos, se realizó un frotis que se tiño con May Grünwald-Giemsa y se observó en el microscopio óptico. La actividad de fagocitosis </w:t>
      </w:r>
      <w:r>
        <w:rPr>
          <w:i/>
          <w:spacing w:val="-3"/>
        </w:rPr>
        <w:t>in </w:t>
      </w:r>
      <w:r>
        <w:rPr>
          <w:i/>
        </w:rPr>
        <w:t>vitro </w:t>
      </w:r>
      <w:r>
        <w:rPr/>
        <w:t>se evaluó a partir del IFN determinado por el número promedio de bacterias fagocitadas por neutrófilo, después de observar y contar 200 células en diferentes campos microscópicos. La CFN se estimó a partir del porcentaje de células que fagocitaron, apreciadas en el campo microscópico 100x de  observación en diferentes campos contando 200</w:t>
      </w:r>
      <w:r>
        <w:rPr>
          <w:spacing w:val="-18"/>
        </w:rPr>
        <w:t> </w:t>
      </w:r>
      <w:r>
        <w:rPr/>
        <w:t>PMN.</w:t>
      </w:r>
    </w:p>
    <w:p>
      <w:pPr>
        <w:spacing w:after="0" w:line="360" w:lineRule="auto"/>
        <w:jc w:val="both"/>
        <w:sectPr>
          <w:pgSz w:w="12240" w:h="15840"/>
          <w:pgMar w:header="726" w:footer="1527" w:top="1200" w:bottom="1720" w:left="1540" w:right="1540"/>
        </w:sectPr>
      </w:pPr>
    </w:p>
    <w:p>
      <w:pPr>
        <w:pStyle w:val="BodyText"/>
        <w:spacing w:before="8"/>
        <w:rPr>
          <w:sz w:val="15"/>
        </w:rPr>
      </w:pPr>
    </w:p>
    <w:p>
      <w:pPr>
        <w:pStyle w:val="BodyText"/>
        <w:spacing w:line="340" w:lineRule="auto" w:before="69"/>
        <w:ind w:left="159" w:right="154"/>
        <w:jc w:val="both"/>
      </w:pPr>
      <w:r>
        <w:rPr/>
        <w:t>Como sustrato para el ensayo de fagocitosis </w:t>
      </w:r>
      <w:r>
        <w:rPr>
          <w:i/>
        </w:rPr>
        <w:t>in vitro</w:t>
      </w:r>
      <w:r>
        <w:rPr/>
        <w:t>, observado en el microscopio de fluorescencia se empleó una suspensión bacterial inactivada de </w:t>
      </w:r>
      <w:r>
        <w:rPr>
          <w:i/>
        </w:rPr>
        <w:t>S. aureus</w:t>
      </w:r>
      <w:r>
        <w:rPr/>
        <w:t>, ajustada a 2 x 10</w:t>
      </w:r>
      <w:r>
        <w:rPr>
          <w:position w:val="11"/>
          <w:sz w:val="16"/>
        </w:rPr>
        <w:t>8 </w:t>
      </w:r>
      <w:r>
        <w:rPr/>
        <w:t>CFU/ml y conjugada con isotiocianato de fluoresceína.</w:t>
      </w:r>
    </w:p>
    <w:p>
      <w:pPr>
        <w:pStyle w:val="Heading3"/>
        <w:numPr>
          <w:ilvl w:val="1"/>
          <w:numId w:val="7"/>
        </w:numPr>
        <w:tabs>
          <w:tab w:pos="626" w:val="left" w:leader="none"/>
        </w:tabs>
        <w:spacing w:line="240" w:lineRule="auto" w:before="245" w:after="0"/>
        <w:ind w:left="625" w:right="0" w:hanging="466"/>
        <w:jc w:val="both"/>
        <w:rPr>
          <w:sz w:val="28"/>
        </w:rPr>
      </w:pPr>
      <w:bookmarkStart w:name="_bookmark23" w:id="37"/>
      <w:bookmarkEnd w:id="37"/>
      <w:r>
        <w:rPr>
          <w:b w:val="0"/>
        </w:rPr>
      </w:r>
      <w:bookmarkStart w:name="_bookmark23" w:id="38"/>
      <w:bookmarkEnd w:id="38"/>
      <w:r>
        <w:rPr/>
        <w:t>E</w:t>
      </w:r>
      <w:r>
        <w:rPr/>
        <w:t>valuación de la apoptosis </w:t>
      </w:r>
      <w:r>
        <w:rPr>
          <w:i/>
          <w:spacing w:val="-3"/>
        </w:rPr>
        <w:t>in </w:t>
      </w:r>
      <w:r>
        <w:rPr>
          <w:i/>
        </w:rPr>
        <w:t>vitro </w:t>
      </w:r>
      <w:r>
        <w:rPr/>
        <w:t>de</w:t>
      </w:r>
      <w:r>
        <w:rPr>
          <w:spacing w:val="-9"/>
        </w:rPr>
        <w:t> </w:t>
      </w:r>
      <w:r>
        <w:rPr/>
        <w:t>neutrófilos</w:t>
      </w:r>
    </w:p>
    <w:p>
      <w:pPr>
        <w:pStyle w:val="BodyText"/>
        <w:spacing w:before="4"/>
        <w:rPr>
          <w:b/>
          <w:sz w:val="35"/>
        </w:rPr>
      </w:pPr>
    </w:p>
    <w:p>
      <w:pPr>
        <w:pStyle w:val="Heading2"/>
      </w:pPr>
      <w:bookmarkStart w:name="_bookmark24" w:id="39"/>
      <w:bookmarkEnd w:id="39"/>
      <w:r>
        <w:rPr>
          <w:b w:val="0"/>
        </w:rPr>
      </w:r>
      <w:r>
        <w:rPr/>
        <w:t>6.9.1 Microscopio de campo claro</w:t>
      </w:r>
    </w:p>
    <w:p>
      <w:pPr>
        <w:pStyle w:val="BodyText"/>
        <w:spacing w:line="360" w:lineRule="auto" w:before="214"/>
        <w:ind w:left="159" w:right="154"/>
        <w:jc w:val="both"/>
      </w:pPr>
      <w:r>
        <w:rPr/>
        <w:t>El ensayo de la actividad de fagocitosis </w:t>
      </w:r>
      <w:r>
        <w:rPr>
          <w:i/>
        </w:rPr>
        <w:t>in vitro </w:t>
      </w:r>
      <w:r>
        <w:rPr/>
        <w:t>se realizó de acuerdo al procedimiento descrito anteriormente. La evaluación de la apoptosis </w:t>
      </w:r>
      <w:r>
        <w:rPr>
          <w:i/>
        </w:rPr>
        <w:t>in vitro </w:t>
      </w:r>
      <w:r>
        <w:rPr/>
        <w:t>de los neutrófilos aislados de vacas lecheras, se realizó a partir de un frotis teñido con May Grünwald-Giemsa, las muestras se observaron en el microscopio de campo claro 100x analizando diferentes campos para enumerar 200 neutrófilos por muestra de acuerdo a las características morfológicas descritas por Sladek y Rysanek (2000b).</w:t>
      </w:r>
    </w:p>
    <w:p>
      <w:pPr>
        <w:pStyle w:val="BodyText"/>
      </w:pPr>
    </w:p>
    <w:p>
      <w:pPr>
        <w:pStyle w:val="BodyText"/>
      </w:pPr>
    </w:p>
    <w:p>
      <w:pPr>
        <w:pStyle w:val="BodyText"/>
        <w:spacing w:before="10"/>
        <w:rPr>
          <w:sz w:val="32"/>
        </w:rPr>
      </w:pPr>
    </w:p>
    <w:p>
      <w:pPr>
        <w:pStyle w:val="Heading2"/>
      </w:pPr>
      <w:bookmarkStart w:name="_bookmark25" w:id="40"/>
      <w:bookmarkEnd w:id="40"/>
      <w:r>
        <w:rPr>
          <w:b w:val="0"/>
        </w:rPr>
      </w:r>
      <w:r>
        <w:rPr/>
        <w:t>6.8.2 Epifluorescencia</w:t>
      </w:r>
    </w:p>
    <w:p>
      <w:pPr>
        <w:pStyle w:val="BodyText"/>
        <w:spacing w:line="360" w:lineRule="auto" w:before="214"/>
        <w:ind w:left="159" w:right="153"/>
        <w:jc w:val="both"/>
      </w:pPr>
      <w:r>
        <w:rPr/>
        <w:t>La observación bajo el microscopio de epifluorescencia para determinar la apoptosis se realizó a partir de una solución de Bromuro de Etidio (100 µg/ml) (PROMEGA, Madison USA) y Naranja de Acridina (100 µg/ml). A 100 µl de muestra se le adicionó 8 µl de ambos reactivos. El número total de neutrófilos apoptóticos de determinó por el número de células que presentaban cromatina color verde brillante y una condensación o fragmentación nuclear y el número de PMN que tenían una cromatina color naranja brillante con condensación o fragmentación nuclear. Las células con cromatina verde brillante y estructura organizada eran células viables mientras que las células necróticas presentaron color anaranjado brillante y tenían estructura organizada (McGahon </w:t>
      </w:r>
      <w:r>
        <w:rPr>
          <w:i/>
        </w:rPr>
        <w:t>et al</w:t>
      </w:r>
      <w:r>
        <w:rPr/>
        <w:t>., 1995).</w:t>
      </w:r>
    </w:p>
    <w:p>
      <w:pPr>
        <w:pStyle w:val="BodyText"/>
      </w:pPr>
    </w:p>
    <w:p>
      <w:pPr>
        <w:pStyle w:val="BodyText"/>
        <w:spacing w:before="8"/>
        <w:rPr>
          <w:sz w:val="29"/>
        </w:rPr>
      </w:pPr>
    </w:p>
    <w:p>
      <w:pPr>
        <w:pStyle w:val="BodyText"/>
        <w:spacing w:line="362" w:lineRule="auto"/>
        <w:ind w:left="159" w:right="158"/>
        <w:jc w:val="both"/>
      </w:pPr>
      <w:r>
        <w:rPr/>
        <w:t>Así mismo los neutrófilos apoptóticos fueron analizados empleando el ensayo de annexin  V  conjugada  con  el  fluorocromo  Fluoresceína  (FITC)  y  el   marcador</w:t>
      </w:r>
    </w:p>
    <w:p>
      <w:pPr>
        <w:spacing w:after="0" w:line="362" w:lineRule="auto"/>
        <w:jc w:val="both"/>
        <w:sectPr>
          <w:pgSz w:w="12240" w:h="15840"/>
          <w:pgMar w:header="726" w:footer="1527" w:top="1200" w:bottom="1720" w:left="1540" w:right="1540"/>
        </w:sectPr>
      </w:pPr>
    </w:p>
    <w:p>
      <w:pPr>
        <w:pStyle w:val="BodyText"/>
        <w:spacing w:before="8"/>
        <w:rPr>
          <w:sz w:val="15"/>
        </w:rPr>
      </w:pPr>
    </w:p>
    <w:p>
      <w:pPr>
        <w:pStyle w:val="BodyText"/>
        <w:spacing w:line="360" w:lineRule="auto" w:before="69"/>
        <w:ind w:left="159" w:right="155"/>
        <w:jc w:val="both"/>
      </w:pPr>
      <w:r>
        <w:rPr/>
        <w:t>catiónico, ioduro de propidio (IP) como lo describe </w:t>
      </w:r>
      <w:r>
        <w:rPr>
          <w:i/>
        </w:rPr>
        <w:t>Sladek et al</w:t>
      </w:r>
      <w:r>
        <w:rPr/>
        <w:t>., (2005). Se empleó el kit de ANNEXIN V-FITC (SIGMA, Sailt Louis, Missouri, USA) de acuerdo a las instrucciones del fabricante. Las muestras se analizaron en el microscopio de epifluorescencia (Zeizz, West Germany).</w:t>
      </w:r>
    </w:p>
    <w:p>
      <w:pPr>
        <w:pStyle w:val="BodyText"/>
      </w:pPr>
    </w:p>
    <w:p>
      <w:pPr>
        <w:pStyle w:val="BodyText"/>
        <w:spacing w:line="360" w:lineRule="auto" w:before="139"/>
        <w:ind w:left="159" w:right="156"/>
        <w:jc w:val="both"/>
      </w:pPr>
      <w:r>
        <w:rPr/>
        <w:t>La suspensión de neutrófilos:bacterias después del ensayo de fagocitosis se resuspendió en 500μl de buffer de incubación posteriormente se le agregaron 5µl de ANNEXIN V-FITC conjugada con 10µl de Ioduro de Propidio, se incubaron los tubos a temperatura ambiente en la oscuridad durante 10 minutos. Se determinó la inducción de apoptosis observando la muestra bajo el microscopio de  fluorescencia por el conteo de 200 células por muestra. Fueron consideradas como células apoptóticas, los </w:t>
      </w:r>
      <w:r>
        <w:rPr>
          <w:spacing w:val="-2"/>
        </w:rPr>
        <w:t>PMN </w:t>
      </w:r>
      <w:r>
        <w:rPr/>
        <w:t>que presentaron membrana celular de color verde de acuerdo a las características descritas por  Fox </w:t>
      </w:r>
      <w:r>
        <w:rPr>
          <w:i/>
        </w:rPr>
        <w:t>et al</w:t>
      </w:r>
      <w:r>
        <w:rPr/>
        <w:t>.,</w:t>
      </w:r>
      <w:r>
        <w:rPr>
          <w:spacing w:val="-16"/>
        </w:rPr>
        <w:t> </w:t>
      </w:r>
      <w:r>
        <w:rPr/>
        <w:t>(2010).</w:t>
      </w:r>
    </w:p>
    <w:p>
      <w:pPr>
        <w:pStyle w:val="BodyText"/>
        <w:spacing w:before="3"/>
        <w:rPr>
          <w:sz w:val="20"/>
        </w:rPr>
      </w:pPr>
    </w:p>
    <w:p>
      <w:pPr>
        <w:pStyle w:val="Heading3"/>
        <w:ind w:right="0"/>
        <w:jc w:val="both"/>
      </w:pPr>
      <w:bookmarkStart w:name="_bookmark26" w:id="41"/>
      <w:bookmarkEnd w:id="41"/>
      <w:r>
        <w:rPr>
          <w:b w:val="0"/>
        </w:rPr>
      </w:r>
      <w:r>
        <w:rPr/>
        <w:t>6.9 Evaluación de resultados</w:t>
      </w:r>
    </w:p>
    <w:p>
      <w:pPr>
        <w:pStyle w:val="BodyText"/>
        <w:spacing w:line="360" w:lineRule="auto" w:before="209"/>
        <w:ind w:left="159" w:right="153"/>
        <w:jc w:val="both"/>
      </w:pPr>
      <w:r>
        <w:rPr/>
        <w:t>A partir del índice del IFN y capacidad de fagocitosis CFN de los tratamientos, comparados con el  control, se determinó la media, la desviación estándar y el  error estándar. Para evaluar las diferencias de la actividad de fagocitosis e inducción de apoptosis entre los tratamientos y el grupo control se realizó una prueba de análisis de varianza (Lee </w:t>
      </w:r>
      <w:r>
        <w:rPr>
          <w:i/>
        </w:rPr>
        <w:t>et al</w:t>
      </w:r>
      <w:r>
        <w:rPr/>
        <w:t>, 2005) y una prueba de Tukey para comparar las medias de los tratamientos utilizando el programa GraphPad   </w:t>
      </w:r>
      <w:r>
        <w:rPr>
          <w:spacing w:val="10"/>
        </w:rPr>
        <w:t> </w:t>
      </w:r>
      <w:r>
        <w:rPr/>
        <w:t>Prism</w:t>
      </w:r>
    </w:p>
    <w:p>
      <w:pPr>
        <w:pStyle w:val="BodyText"/>
        <w:spacing w:before="2"/>
        <w:ind w:left="159"/>
        <w:jc w:val="both"/>
      </w:pPr>
      <w:r>
        <w:rPr/>
        <w:t>5.01 (GraphPad Sofware Inc. USA).</w:t>
      </w:r>
    </w:p>
    <w:p>
      <w:pPr>
        <w:spacing w:after="0"/>
        <w:jc w:val="both"/>
        <w:sectPr>
          <w:pgSz w:w="12240" w:h="15840"/>
          <w:pgMar w:header="726" w:footer="1527" w:top="1200" w:bottom="1720" w:left="1540" w:right="1540"/>
        </w:sectPr>
      </w:pPr>
    </w:p>
    <w:p>
      <w:pPr>
        <w:pStyle w:val="BodyText"/>
        <w:spacing w:before="9"/>
        <w:rPr>
          <w:sz w:val="18"/>
        </w:rPr>
      </w:pPr>
    </w:p>
    <w:p>
      <w:pPr>
        <w:pStyle w:val="Heading1"/>
        <w:numPr>
          <w:ilvl w:val="0"/>
          <w:numId w:val="5"/>
        </w:numPr>
        <w:tabs>
          <w:tab w:pos="468" w:val="left" w:leader="none"/>
        </w:tabs>
        <w:spacing w:line="240" w:lineRule="auto" w:before="63" w:after="0"/>
        <w:ind w:left="467" w:right="0" w:hanging="308"/>
        <w:jc w:val="both"/>
      </w:pPr>
      <w:bookmarkStart w:name="_bookmark27" w:id="42"/>
      <w:bookmarkEnd w:id="42"/>
      <w:r>
        <w:rPr>
          <w:b w:val="0"/>
        </w:rPr>
      </w:r>
      <w:bookmarkStart w:name="_bookmark27" w:id="43"/>
      <w:bookmarkEnd w:id="43"/>
      <w:r>
        <w:rPr/>
        <w:t>R</w:t>
      </w:r>
      <w:r>
        <w:rPr/>
        <w:t>ESULTADOS</w:t>
      </w:r>
    </w:p>
    <w:p>
      <w:pPr>
        <w:pStyle w:val="BodyText"/>
        <w:rPr>
          <w:b/>
          <w:sz w:val="28"/>
        </w:rPr>
      </w:pPr>
    </w:p>
    <w:p>
      <w:pPr>
        <w:pStyle w:val="BodyText"/>
        <w:rPr>
          <w:b/>
          <w:sz w:val="28"/>
        </w:rPr>
      </w:pPr>
    </w:p>
    <w:p>
      <w:pPr>
        <w:pStyle w:val="Heading3"/>
        <w:numPr>
          <w:ilvl w:val="1"/>
          <w:numId w:val="8"/>
        </w:numPr>
        <w:tabs>
          <w:tab w:pos="564" w:val="left" w:leader="none"/>
        </w:tabs>
        <w:spacing w:line="240" w:lineRule="auto" w:before="205" w:after="0"/>
        <w:ind w:left="563" w:right="0" w:hanging="404"/>
        <w:jc w:val="both"/>
      </w:pPr>
      <w:bookmarkStart w:name="_bookmark28" w:id="44"/>
      <w:bookmarkEnd w:id="44"/>
      <w:r>
        <w:rPr>
          <w:b w:val="0"/>
        </w:rPr>
      </w:r>
      <w:bookmarkStart w:name="_bookmark28" w:id="45"/>
      <w:bookmarkEnd w:id="45"/>
      <w:r>
        <w:rPr/>
        <w:t>P</w:t>
      </w:r>
      <w:r>
        <w:rPr/>
        <w:t>OBLACIÓN ANIMAL EN</w:t>
      </w:r>
      <w:r>
        <w:rPr>
          <w:spacing w:val="-15"/>
        </w:rPr>
        <w:t> </w:t>
      </w:r>
      <w:r>
        <w:rPr/>
        <w:t>ESTUDIO</w:t>
      </w:r>
    </w:p>
    <w:p>
      <w:pPr>
        <w:pStyle w:val="BodyText"/>
        <w:rPr>
          <w:b/>
        </w:rPr>
      </w:pPr>
    </w:p>
    <w:p>
      <w:pPr>
        <w:pStyle w:val="BodyText"/>
        <w:spacing w:before="7"/>
        <w:rPr>
          <w:b/>
          <w:sz w:val="29"/>
        </w:rPr>
      </w:pPr>
    </w:p>
    <w:p>
      <w:pPr>
        <w:pStyle w:val="BodyText"/>
        <w:spacing w:line="360" w:lineRule="auto"/>
        <w:ind w:left="159" w:right="153"/>
        <w:jc w:val="both"/>
      </w:pPr>
      <w:r>
        <w:rPr/>
        <w:t>Se confirmo en los animales donadores 57, 77 y 99; las muestras de leche fueron de cada cuarto fueron negativas a la prueba de California (indicando un &lt;200,000 Células/ml (Figura 5). Así mismo las placas con agar gelosa sangre y agar sal y manitol no mostraron crecimiento (Figura 6).</w:t>
      </w:r>
    </w:p>
    <w:p>
      <w:pPr>
        <w:pStyle w:val="BodyText"/>
        <w:spacing w:line="357" w:lineRule="auto" w:before="209"/>
        <w:ind w:left="159" w:right="154"/>
        <w:jc w:val="both"/>
      </w:pPr>
      <w:r>
        <w:rPr/>
        <w:t>La muestra de suero de las vacas obtenidas de las donadoras seleccionadas fueron negativas a la detección de anticuerpos anti-</w:t>
      </w:r>
      <w:r>
        <w:rPr>
          <w:i/>
        </w:rPr>
        <w:t>S. aureus </w:t>
      </w:r>
      <w:r>
        <w:rPr/>
        <w:t>CP8 y anti-S aureus CP5 mediante la prueba de aglutinación en placa (Figura 7).</w:t>
      </w:r>
    </w:p>
    <w:p>
      <w:pPr>
        <w:pStyle w:val="BodyText"/>
        <w:rPr>
          <w:sz w:val="20"/>
        </w:rPr>
      </w:pPr>
    </w:p>
    <w:p>
      <w:pPr>
        <w:pStyle w:val="BodyText"/>
        <w:rPr>
          <w:sz w:val="20"/>
        </w:rPr>
      </w:pPr>
    </w:p>
    <w:p>
      <w:pPr>
        <w:pStyle w:val="BodyText"/>
        <w:spacing w:before="3"/>
        <w:rPr>
          <w:sz w:val="28"/>
        </w:rPr>
      </w:pPr>
      <w:r>
        <w:rPr/>
        <w:drawing>
          <wp:anchor distT="0" distB="0" distL="0" distR="0" allowOverlap="1" layoutInCell="1" locked="0" behindDoc="0" simplePos="0" relativeHeight="1168">
            <wp:simplePos x="0" y="0"/>
            <wp:positionH relativeFrom="page">
              <wp:posOffset>1588135</wp:posOffset>
            </wp:positionH>
            <wp:positionV relativeFrom="paragraph">
              <wp:posOffset>240028</wp:posOffset>
            </wp:positionV>
            <wp:extent cx="1728865" cy="1680210"/>
            <wp:effectExtent l="0" t="0" r="0" b="0"/>
            <wp:wrapTopAndBottom/>
            <wp:docPr id="7" name="image6.jpeg" descr=""/>
            <wp:cNvGraphicFramePr>
              <a:graphicFrameLocks noChangeAspect="1"/>
            </wp:cNvGraphicFramePr>
            <a:graphic>
              <a:graphicData uri="http://schemas.openxmlformats.org/drawingml/2006/picture">
                <pic:pic>
                  <pic:nvPicPr>
                    <pic:cNvPr id="8" name="image6.jpeg"/>
                    <pic:cNvPicPr/>
                  </pic:nvPicPr>
                  <pic:blipFill>
                    <a:blip r:embed="rId19" cstate="print"/>
                    <a:stretch>
                      <a:fillRect/>
                    </a:stretch>
                  </pic:blipFill>
                  <pic:spPr>
                    <a:xfrm>
                      <a:off x="0" y="0"/>
                      <a:ext cx="1728865" cy="1680210"/>
                    </a:xfrm>
                    <a:prstGeom prst="rect">
                      <a:avLst/>
                    </a:prstGeom>
                  </pic:spPr>
                </pic:pic>
              </a:graphicData>
            </a:graphic>
          </wp:anchor>
        </w:drawing>
      </w:r>
      <w:r>
        <w:rPr/>
        <w:drawing>
          <wp:anchor distT="0" distB="0" distL="0" distR="0" allowOverlap="1" layoutInCell="1" locked="0" behindDoc="0" simplePos="0" relativeHeight="1192">
            <wp:simplePos x="0" y="0"/>
            <wp:positionH relativeFrom="page">
              <wp:posOffset>4550409</wp:posOffset>
            </wp:positionH>
            <wp:positionV relativeFrom="paragraph">
              <wp:posOffset>231138</wp:posOffset>
            </wp:positionV>
            <wp:extent cx="1635927" cy="1696212"/>
            <wp:effectExtent l="0" t="0" r="0" b="0"/>
            <wp:wrapTopAndBottom/>
            <wp:docPr id="9" name="image7.jpeg" descr=""/>
            <wp:cNvGraphicFramePr>
              <a:graphicFrameLocks noChangeAspect="1"/>
            </wp:cNvGraphicFramePr>
            <a:graphic>
              <a:graphicData uri="http://schemas.openxmlformats.org/drawingml/2006/picture">
                <pic:pic>
                  <pic:nvPicPr>
                    <pic:cNvPr id="10" name="image7.jpeg"/>
                    <pic:cNvPicPr/>
                  </pic:nvPicPr>
                  <pic:blipFill>
                    <a:blip r:embed="rId20" cstate="print"/>
                    <a:stretch>
                      <a:fillRect/>
                    </a:stretch>
                  </pic:blipFill>
                  <pic:spPr>
                    <a:xfrm>
                      <a:off x="0" y="0"/>
                      <a:ext cx="1635927" cy="1696212"/>
                    </a:xfrm>
                    <a:prstGeom prst="rect">
                      <a:avLst/>
                    </a:prstGeom>
                  </pic:spPr>
                </pic:pic>
              </a:graphicData>
            </a:graphic>
          </wp:anchor>
        </w:drawing>
      </w:r>
    </w:p>
    <w:p>
      <w:pPr>
        <w:pStyle w:val="BodyText"/>
        <w:spacing w:before="6"/>
        <w:rPr>
          <w:sz w:val="7"/>
        </w:rPr>
      </w:pPr>
    </w:p>
    <w:p>
      <w:pPr>
        <w:spacing w:after="0"/>
        <w:rPr>
          <w:sz w:val="7"/>
        </w:rPr>
        <w:sectPr>
          <w:pgSz w:w="12240" w:h="15840"/>
          <w:pgMar w:header="726" w:footer="1527" w:top="1200" w:bottom="1720" w:left="1540" w:right="1540"/>
        </w:sectPr>
      </w:pPr>
    </w:p>
    <w:p>
      <w:pPr>
        <w:spacing w:line="244" w:lineRule="auto" w:before="76"/>
        <w:ind w:left="913" w:right="67" w:firstLine="0"/>
        <w:jc w:val="both"/>
        <w:rPr>
          <w:sz w:val="20"/>
        </w:rPr>
      </w:pPr>
      <w:r>
        <w:rPr>
          <w:b/>
          <w:sz w:val="20"/>
        </w:rPr>
        <w:t>Figura 5</w:t>
      </w:r>
      <w:r>
        <w:rPr>
          <w:sz w:val="20"/>
        </w:rPr>
        <w:t>. Prueba de  California. Muestras de leche negativas a la prueba de california.</w:t>
      </w:r>
    </w:p>
    <w:p>
      <w:pPr>
        <w:spacing w:line="278" w:lineRule="auto" w:before="81"/>
        <w:ind w:left="913" w:right="901" w:firstLine="0"/>
        <w:jc w:val="both"/>
        <w:rPr>
          <w:sz w:val="20"/>
        </w:rPr>
      </w:pPr>
      <w:r>
        <w:rPr/>
        <w:br w:type="column"/>
      </w:r>
      <w:r>
        <w:rPr>
          <w:b/>
          <w:sz w:val="20"/>
        </w:rPr>
        <w:t>Figura 6</w:t>
      </w:r>
      <w:r>
        <w:rPr>
          <w:sz w:val="20"/>
        </w:rPr>
        <w:t>. Agar Sal y Manitol cultivado con muestra de leche negativa a la presencia de </w:t>
      </w:r>
      <w:r>
        <w:rPr>
          <w:i/>
          <w:sz w:val="20"/>
        </w:rPr>
        <w:t>S. aureus </w:t>
      </w:r>
      <w:r>
        <w:rPr>
          <w:sz w:val="20"/>
        </w:rPr>
        <w:t>después  de 24hr de incubación confirmada a 72 hr.</w:t>
      </w:r>
    </w:p>
    <w:p>
      <w:pPr>
        <w:spacing w:after="0" w:line="278" w:lineRule="auto"/>
        <w:jc w:val="both"/>
        <w:rPr>
          <w:sz w:val="20"/>
        </w:rPr>
        <w:sectPr>
          <w:type w:val="continuous"/>
          <w:pgSz w:w="12240" w:h="15840"/>
          <w:pgMar w:top="2520" w:bottom="280" w:left="1540" w:right="1540"/>
          <w:cols w:num="2" w:equalWidth="0">
            <w:col w:w="3698" w:space="1008"/>
            <w:col w:w="4454"/>
          </w:cols>
        </w:sectPr>
      </w:pPr>
    </w:p>
    <w:p>
      <w:pPr>
        <w:pStyle w:val="BodyText"/>
        <w:spacing w:before="1"/>
        <w:rPr>
          <w:sz w:val="22"/>
        </w:rPr>
      </w:pPr>
    </w:p>
    <w:p>
      <w:pPr>
        <w:pStyle w:val="BodyText"/>
        <w:ind w:left="2674"/>
        <w:rPr>
          <w:sz w:val="20"/>
        </w:rPr>
      </w:pPr>
      <w:r>
        <w:rPr>
          <w:sz w:val="20"/>
        </w:rPr>
        <w:drawing>
          <wp:inline distT="0" distB="0" distL="0" distR="0">
            <wp:extent cx="2408369" cy="596074"/>
            <wp:effectExtent l="0" t="0" r="0" b="0"/>
            <wp:docPr id="11" name="image8.jpeg" descr=""/>
            <wp:cNvGraphicFramePr>
              <a:graphicFrameLocks noChangeAspect="1"/>
            </wp:cNvGraphicFramePr>
            <a:graphic>
              <a:graphicData uri="http://schemas.openxmlformats.org/drawingml/2006/picture">
                <pic:pic>
                  <pic:nvPicPr>
                    <pic:cNvPr id="12" name="image8.jpeg"/>
                    <pic:cNvPicPr/>
                  </pic:nvPicPr>
                  <pic:blipFill>
                    <a:blip r:embed="rId21" cstate="print"/>
                    <a:stretch>
                      <a:fillRect/>
                    </a:stretch>
                  </pic:blipFill>
                  <pic:spPr>
                    <a:xfrm>
                      <a:off x="0" y="0"/>
                      <a:ext cx="2408369" cy="596074"/>
                    </a:xfrm>
                    <a:prstGeom prst="rect">
                      <a:avLst/>
                    </a:prstGeom>
                  </pic:spPr>
                </pic:pic>
              </a:graphicData>
            </a:graphic>
          </wp:inline>
        </w:drawing>
      </w:r>
      <w:r>
        <w:rPr>
          <w:sz w:val="20"/>
        </w:rPr>
      </w:r>
    </w:p>
    <w:p>
      <w:pPr>
        <w:pStyle w:val="BodyText"/>
        <w:spacing w:before="7"/>
        <w:rPr>
          <w:sz w:val="13"/>
        </w:rPr>
      </w:pPr>
    </w:p>
    <w:p>
      <w:pPr>
        <w:spacing w:line="276" w:lineRule="auto" w:before="76"/>
        <w:ind w:left="2652" w:right="2694" w:firstLine="0"/>
        <w:jc w:val="both"/>
        <w:rPr>
          <w:sz w:val="24"/>
        </w:rPr>
      </w:pPr>
      <w:r>
        <w:rPr>
          <w:b/>
          <w:sz w:val="20"/>
        </w:rPr>
        <w:t>Figura 7. </w:t>
      </w:r>
      <w:r>
        <w:rPr>
          <w:sz w:val="20"/>
        </w:rPr>
        <w:t>Prueba de aglutinación a partir de muestras de sueros bovinos para los tipos capsulares CP5, CP8 de </w:t>
      </w:r>
      <w:r>
        <w:rPr>
          <w:i/>
          <w:sz w:val="20"/>
        </w:rPr>
        <w:t>S.   aureus</w:t>
      </w:r>
      <w:r>
        <w:rPr>
          <w:sz w:val="24"/>
        </w:rPr>
        <w:t>.</w:t>
      </w:r>
    </w:p>
    <w:p>
      <w:pPr>
        <w:pStyle w:val="ListParagraph"/>
        <w:numPr>
          <w:ilvl w:val="2"/>
          <w:numId w:val="8"/>
        </w:numPr>
        <w:tabs>
          <w:tab w:pos="2994" w:val="left" w:leader="none"/>
        </w:tabs>
        <w:spacing w:line="273" w:lineRule="auto" w:before="4" w:after="0"/>
        <w:ind w:left="2652" w:right="2694" w:firstLine="0"/>
        <w:jc w:val="both"/>
        <w:rPr>
          <w:sz w:val="20"/>
        </w:rPr>
      </w:pPr>
      <w:r>
        <w:rPr>
          <w:sz w:val="20"/>
        </w:rPr>
        <w:t>control negativo (suero bovino); b) control negativo (suero anti-CP5); C) prueba positivo, y d) prueba</w:t>
      </w:r>
      <w:r>
        <w:rPr>
          <w:spacing w:val="-10"/>
          <w:sz w:val="20"/>
        </w:rPr>
        <w:t> </w:t>
      </w:r>
      <w:r>
        <w:rPr>
          <w:sz w:val="20"/>
        </w:rPr>
        <w:t>negativa.</w:t>
      </w:r>
    </w:p>
    <w:p>
      <w:pPr>
        <w:pStyle w:val="BodyText"/>
        <w:rPr>
          <w:sz w:val="20"/>
        </w:rPr>
      </w:pPr>
    </w:p>
    <w:p>
      <w:pPr>
        <w:pStyle w:val="BodyText"/>
        <w:rPr>
          <w:sz w:val="26"/>
        </w:rPr>
      </w:pPr>
    </w:p>
    <w:p>
      <w:pPr>
        <w:pStyle w:val="Heading3"/>
        <w:numPr>
          <w:ilvl w:val="1"/>
          <w:numId w:val="8"/>
        </w:numPr>
        <w:tabs>
          <w:tab w:pos="562" w:val="left" w:leader="none"/>
        </w:tabs>
        <w:spacing w:line="240" w:lineRule="auto" w:before="70" w:after="0"/>
        <w:ind w:left="561" w:right="0" w:hanging="402"/>
        <w:jc w:val="left"/>
      </w:pPr>
      <w:bookmarkStart w:name="_bookmark29" w:id="46"/>
      <w:bookmarkEnd w:id="46"/>
      <w:r>
        <w:rPr>
          <w:b w:val="0"/>
        </w:rPr>
      </w:r>
      <w:bookmarkStart w:name="_bookmark29" w:id="47"/>
      <w:bookmarkEnd w:id="47"/>
      <w:r>
        <w:rPr/>
        <w:t>A</w:t>
      </w:r>
      <w:r>
        <w:rPr/>
        <w:t>ISLAMIENTO DE</w:t>
      </w:r>
      <w:r>
        <w:rPr>
          <w:spacing w:val="-9"/>
        </w:rPr>
        <w:t> </w:t>
      </w:r>
      <w:r>
        <w:rPr/>
        <w:t>NEUTRÓFILOS</w:t>
      </w:r>
    </w:p>
    <w:p>
      <w:pPr>
        <w:pStyle w:val="BodyText"/>
        <w:spacing w:line="355" w:lineRule="auto" w:before="113"/>
        <w:ind w:left="159"/>
      </w:pPr>
      <w:r>
        <w:rPr/>
        <w:t>El aislamiento de los PMN en las muestras de sangre por el método de lisis hipotónica mostró una viabilidad de 94% (figura 8) y pureza de 95% (figura 9).</w:t>
      </w:r>
    </w:p>
    <w:p>
      <w:pPr>
        <w:pStyle w:val="BodyText"/>
        <w:rPr>
          <w:sz w:val="15"/>
        </w:rPr>
      </w:pPr>
      <w:r>
        <w:rPr/>
        <w:drawing>
          <wp:anchor distT="0" distB="0" distL="0" distR="0" allowOverlap="1" layoutInCell="1" locked="0" behindDoc="0" simplePos="0" relativeHeight="1216">
            <wp:simplePos x="0" y="0"/>
            <wp:positionH relativeFrom="page">
              <wp:posOffset>2416810</wp:posOffset>
            </wp:positionH>
            <wp:positionV relativeFrom="paragraph">
              <wp:posOffset>134645</wp:posOffset>
            </wp:positionV>
            <wp:extent cx="2939733" cy="1831371"/>
            <wp:effectExtent l="0" t="0" r="0" b="0"/>
            <wp:wrapTopAndBottom/>
            <wp:docPr id="13" name="image9.jpeg" descr=""/>
            <wp:cNvGraphicFramePr>
              <a:graphicFrameLocks noChangeAspect="1"/>
            </wp:cNvGraphicFramePr>
            <a:graphic>
              <a:graphicData uri="http://schemas.openxmlformats.org/drawingml/2006/picture">
                <pic:pic>
                  <pic:nvPicPr>
                    <pic:cNvPr id="14" name="image9.jpeg"/>
                    <pic:cNvPicPr/>
                  </pic:nvPicPr>
                  <pic:blipFill>
                    <a:blip r:embed="rId22" cstate="print"/>
                    <a:stretch>
                      <a:fillRect/>
                    </a:stretch>
                  </pic:blipFill>
                  <pic:spPr>
                    <a:xfrm>
                      <a:off x="0" y="0"/>
                      <a:ext cx="2939733" cy="1831371"/>
                    </a:xfrm>
                    <a:prstGeom prst="rect">
                      <a:avLst/>
                    </a:prstGeom>
                  </pic:spPr>
                </pic:pic>
              </a:graphicData>
            </a:graphic>
          </wp:anchor>
        </w:drawing>
      </w:r>
    </w:p>
    <w:p>
      <w:pPr>
        <w:spacing w:line="240" w:lineRule="auto" w:before="60"/>
        <w:ind w:left="2335" w:right="2382" w:firstLine="0"/>
        <w:jc w:val="both"/>
        <w:rPr>
          <w:rFonts w:ascii="Times New Roman" w:hAnsi="Times New Roman"/>
          <w:sz w:val="20"/>
        </w:rPr>
      </w:pPr>
      <w:r>
        <w:rPr>
          <w:b/>
          <w:sz w:val="20"/>
        </w:rPr>
        <w:t>Figura 8: </w:t>
      </w:r>
      <w:r>
        <w:rPr>
          <w:sz w:val="20"/>
        </w:rPr>
        <w:t>Prueba de viabilidad. Neutrófilos teñidos con azul de tripan al 4%. Objetivo 40x. a) neutrófilos viables, b) neutrófilo no</w:t>
      </w:r>
      <w:r>
        <w:rPr>
          <w:spacing w:val="-13"/>
          <w:sz w:val="20"/>
        </w:rPr>
        <w:t> </w:t>
      </w:r>
      <w:r>
        <w:rPr>
          <w:sz w:val="20"/>
        </w:rPr>
        <w:t>viable</w:t>
      </w:r>
      <w:r>
        <w:rPr>
          <w:rFonts w:ascii="Times New Roman" w:hAnsi="Times New Roman"/>
          <w:sz w:val="20"/>
        </w:rPr>
        <w:t>.</w: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18"/>
        </w:rPr>
      </w:pPr>
      <w:r>
        <w:rPr/>
        <w:drawing>
          <wp:anchor distT="0" distB="0" distL="0" distR="0" allowOverlap="1" layoutInCell="1" locked="0" behindDoc="0" simplePos="0" relativeHeight="1240">
            <wp:simplePos x="0" y="0"/>
            <wp:positionH relativeFrom="page">
              <wp:posOffset>2587625</wp:posOffset>
            </wp:positionH>
            <wp:positionV relativeFrom="paragraph">
              <wp:posOffset>157351</wp:posOffset>
            </wp:positionV>
            <wp:extent cx="2585741" cy="887444"/>
            <wp:effectExtent l="0" t="0" r="0" b="0"/>
            <wp:wrapTopAndBottom/>
            <wp:docPr id="15" name="image10.jpeg" descr=""/>
            <wp:cNvGraphicFramePr>
              <a:graphicFrameLocks noChangeAspect="1"/>
            </wp:cNvGraphicFramePr>
            <a:graphic>
              <a:graphicData uri="http://schemas.openxmlformats.org/drawingml/2006/picture">
                <pic:pic>
                  <pic:nvPicPr>
                    <pic:cNvPr id="16" name="image10.jpeg"/>
                    <pic:cNvPicPr/>
                  </pic:nvPicPr>
                  <pic:blipFill>
                    <a:blip r:embed="rId23" cstate="print"/>
                    <a:stretch>
                      <a:fillRect/>
                    </a:stretch>
                  </pic:blipFill>
                  <pic:spPr>
                    <a:xfrm>
                      <a:off x="0" y="0"/>
                      <a:ext cx="2585741" cy="887444"/>
                    </a:xfrm>
                    <a:prstGeom prst="rect">
                      <a:avLst/>
                    </a:prstGeom>
                  </pic:spPr>
                </pic:pic>
              </a:graphicData>
            </a:graphic>
          </wp:anchor>
        </w:drawing>
      </w:r>
    </w:p>
    <w:p>
      <w:pPr>
        <w:spacing w:line="242" w:lineRule="auto" w:before="137"/>
        <w:ind w:left="2604" w:right="2529" w:firstLine="0"/>
        <w:jc w:val="both"/>
        <w:rPr>
          <w:sz w:val="20"/>
        </w:rPr>
      </w:pPr>
      <w:r>
        <w:rPr>
          <w:b/>
          <w:sz w:val="20"/>
        </w:rPr>
        <w:t>Figura 9</w:t>
      </w:r>
      <w:r>
        <w:rPr>
          <w:sz w:val="20"/>
        </w:rPr>
        <w:t>: Neutrófilos segmentados de bovinos aislados de sangre, teñidos con May Grunwald-Giemsa, 100x.</w:t>
      </w:r>
    </w:p>
    <w:p>
      <w:pPr>
        <w:spacing w:after="0" w:line="242" w:lineRule="auto"/>
        <w:jc w:val="both"/>
        <w:rPr>
          <w:sz w:val="20"/>
        </w:rPr>
        <w:sectPr>
          <w:pgSz w:w="12240" w:h="15840"/>
          <w:pgMar w:header="726" w:footer="1527" w:top="1200" w:bottom="1720" w:left="1540" w:right="1540"/>
        </w:sectPr>
      </w:pPr>
    </w:p>
    <w:p>
      <w:pPr>
        <w:pStyle w:val="BodyText"/>
        <w:spacing w:before="5"/>
        <w:rPr>
          <w:sz w:val="14"/>
        </w:rPr>
      </w:pPr>
    </w:p>
    <w:p>
      <w:pPr>
        <w:pStyle w:val="Heading3"/>
        <w:numPr>
          <w:ilvl w:val="1"/>
          <w:numId w:val="8"/>
        </w:numPr>
        <w:tabs>
          <w:tab w:pos="562" w:val="left" w:leader="none"/>
        </w:tabs>
        <w:spacing w:line="240" w:lineRule="auto" w:before="69" w:after="0"/>
        <w:ind w:left="561" w:right="0" w:hanging="402"/>
        <w:jc w:val="both"/>
      </w:pPr>
      <w:bookmarkStart w:name="_bookmark30" w:id="48"/>
      <w:bookmarkEnd w:id="48"/>
      <w:r>
        <w:rPr>
          <w:b w:val="0"/>
        </w:rPr>
      </w:r>
      <w:bookmarkStart w:name="_bookmark30" w:id="49"/>
      <w:bookmarkEnd w:id="49"/>
      <w:r>
        <w:rPr/>
        <w:t>M</w:t>
      </w:r>
      <w:r>
        <w:rPr/>
        <w:t>ICROSCOPIA DE CAMPO</w:t>
      </w:r>
      <w:r>
        <w:rPr>
          <w:spacing w:val="-15"/>
        </w:rPr>
        <w:t> </w:t>
      </w:r>
      <w:r>
        <w:rPr/>
        <w:t>CLARO</w:t>
      </w:r>
    </w:p>
    <w:p>
      <w:pPr>
        <w:pStyle w:val="BodyText"/>
        <w:rPr>
          <w:b/>
        </w:rPr>
      </w:pPr>
    </w:p>
    <w:p>
      <w:pPr>
        <w:pStyle w:val="BodyText"/>
        <w:spacing w:before="7"/>
        <w:rPr>
          <w:b/>
          <w:sz w:val="32"/>
        </w:rPr>
      </w:pPr>
    </w:p>
    <w:p>
      <w:pPr>
        <w:spacing w:before="0"/>
        <w:ind w:left="159" w:right="0" w:firstLine="0"/>
        <w:jc w:val="both"/>
        <w:rPr>
          <w:b/>
          <w:i/>
          <w:sz w:val="24"/>
        </w:rPr>
      </w:pPr>
      <w:bookmarkStart w:name="_bookmark31" w:id="50"/>
      <w:bookmarkEnd w:id="50"/>
      <w:r>
        <w:rPr/>
      </w:r>
      <w:r>
        <w:rPr>
          <w:b/>
          <w:sz w:val="24"/>
        </w:rPr>
        <w:t>7.3.1 Evaluación de la actividad de fagocitosis </w:t>
      </w:r>
      <w:r>
        <w:rPr>
          <w:b/>
          <w:i/>
          <w:sz w:val="24"/>
        </w:rPr>
        <w:t>in vitro.</w:t>
      </w:r>
    </w:p>
    <w:p>
      <w:pPr>
        <w:pStyle w:val="BodyText"/>
        <w:spacing w:line="360" w:lineRule="auto" w:before="113"/>
        <w:ind w:left="159" w:right="156"/>
        <w:jc w:val="both"/>
      </w:pPr>
      <w:r>
        <w:rPr/>
        <w:t>Los valores obtenidos en el ensayo </w:t>
      </w:r>
      <w:r>
        <w:rPr>
          <w:i/>
        </w:rPr>
        <w:t>in vitro </w:t>
      </w:r>
      <w:r>
        <w:rPr/>
        <w:t>para evaluar la actividad de fagocitosis de los PMN observada por la técnica de microscopia de campo claro para la Capacidad de Fagocitosis (CFN) fueron (Cuadro 1) CC 86.50±2.93; CP5 74.98±2.44 y CP8 82.22±1.50 (P&lt;0.05) (Gráfica 1).</w:t>
      </w:r>
    </w:p>
    <w:p>
      <w:pPr>
        <w:pStyle w:val="BodyText"/>
      </w:pPr>
    </w:p>
    <w:p>
      <w:pPr>
        <w:pStyle w:val="BodyText"/>
        <w:spacing w:line="360" w:lineRule="auto" w:before="144"/>
        <w:ind w:left="159" w:right="152"/>
        <w:jc w:val="both"/>
      </w:pPr>
      <w:r>
        <w:rPr/>
        <w:pict>
          <v:shape style="position:absolute;margin-left:101.199997pt;margin-top:101.785843pt;width:406.7pt;height:36.450pt;mso-position-horizontal-relative:page;mso-position-vertical-relative:paragraph;z-index:-93376" type="#_x0000_t202" filled="false" stroked="false">
            <v:textbox inset="0,0,0,0">
              <w:txbxContent>
                <w:p>
                  <w:pPr>
                    <w:pStyle w:val="BodyText"/>
                    <w:spacing w:before="11"/>
                    <w:rPr>
                      <w:sz w:val="32"/>
                    </w:rPr>
                  </w:pPr>
                </w:p>
                <w:p>
                  <w:pPr>
                    <w:pStyle w:val="BodyText"/>
                    <w:ind w:left="36"/>
                  </w:pPr>
                  <w:r>
                    <w:rPr>
                      <w:w w:val="100"/>
                    </w:rPr>
                    <w:t>.</w:t>
                  </w:r>
                </w:p>
              </w:txbxContent>
            </v:textbox>
            <w10:wrap type="none"/>
          </v:shape>
        </w:pict>
      </w:r>
      <w:r>
        <w:rPr/>
        <w:t>El índice de fagocitosis (IFN) observado mediante la técnica de microscopia de campo claro para los diferentes tratamientos fueron, (Cuadro 1) para el tipo CC 6.13±0.31, CP5 4.88±0.13 y CP8 5.22±0.10 (P&lt;0.05) (Gráfica 2).</w:t>
      </w:r>
    </w:p>
    <w:p>
      <w:pPr>
        <w:pStyle w:val="BodyText"/>
        <w:rPr>
          <w:sz w:val="20"/>
        </w:rPr>
      </w:pPr>
    </w:p>
    <w:p>
      <w:pPr>
        <w:pStyle w:val="BodyText"/>
        <w:rPr>
          <w:sz w:val="20"/>
        </w:rPr>
      </w:pPr>
    </w:p>
    <w:p>
      <w:pPr>
        <w:pStyle w:val="BodyText"/>
        <w:spacing w:before="7"/>
        <w:rPr>
          <w:sz w:val="13"/>
        </w:rPr>
      </w:pPr>
      <w:r>
        <w:rPr/>
        <w:pict>
          <v:group style="position:absolute;margin-left:101.199997pt;margin-top:9.775873pt;width:406.7pt;height:36.450pt;mso-position-horizontal-relative:page;mso-position-vertical-relative:paragraph;z-index:1288;mso-wrap-distance-left:0;mso-wrap-distance-right:0" coordorigin="2024,196" coordsize="8134,729">
            <v:rect style="position:absolute;left:2024;top:196;width:8134;height:729" filled="true" fillcolor="#ffffff" stroked="false">
              <v:fill type="solid"/>
            </v:rect>
            <v:shape style="position:absolute;left:2024;top:196;width:8134;height:729" type="#_x0000_t202" filled="false" stroked="false">
              <v:textbox inset="0,0,0,0">
                <w:txbxContent>
                  <w:p>
                    <w:pPr>
                      <w:spacing w:line="244" w:lineRule="auto" w:before="61"/>
                      <w:ind w:left="146" w:right="0" w:firstLine="0"/>
                      <w:jc w:val="left"/>
                      <w:rPr>
                        <w:sz w:val="20"/>
                      </w:rPr>
                    </w:pPr>
                    <w:r>
                      <w:rPr>
                        <w:b/>
                        <w:sz w:val="20"/>
                      </w:rPr>
                      <w:t>Cuadro 1</w:t>
                    </w:r>
                    <w:r>
                      <w:rPr>
                        <w:sz w:val="20"/>
                      </w:rPr>
                      <w:t>. Evaluación de la Actividad de Fagocitosis </w:t>
                    </w:r>
                    <w:r>
                      <w:rPr>
                        <w:i/>
                        <w:sz w:val="20"/>
                      </w:rPr>
                      <w:t>in vitro </w:t>
                    </w:r>
                    <w:r>
                      <w:rPr>
                        <w:sz w:val="20"/>
                      </w:rPr>
                      <w:t>de neutrófilos de vacas lecheras evaluada por microscopía de campo claro</w:t>
                    </w:r>
                  </w:p>
                </w:txbxContent>
              </v:textbox>
              <w10:wrap type="none"/>
            </v:shape>
            <w10:wrap type="topAndBottom"/>
          </v:group>
        </w:pict>
      </w:r>
    </w:p>
    <w:p>
      <w:pPr>
        <w:pStyle w:val="BodyText"/>
        <w:spacing w:before="5"/>
        <w:rPr>
          <w:sz w:val="15"/>
        </w:rPr>
      </w:pPr>
    </w:p>
    <w:tbl>
      <w:tblPr>
        <w:tblW w:w="0" w:type="auto"/>
        <w:jc w:val="left"/>
        <w:tblInd w:w="572" w:type="dxa"/>
        <w:tblBorders>
          <w:top w:val="thickThinMediumGap" w:sz="17" w:space="0" w:color="000000"/>
          <w:left w:val="thickThinMediumGap" w:sz="17" w:space="0" w:color="000000"/>
          <w:bottom w:val="thickThinMediumGap" w:sz="17" w:space="0" w:color="000000"/>
          <w:right w:val="thickThinMediumGap" w:sz="17" w:space="0" w:color="000000"/>
          <w:insideH w:val="thickThinMediumGap" w:sz="17" w:space="0" w:color="000000"/>
          <w:insideV w:val="thickThinMediumGap" w:sz="17" w:space="0" w:color="000000"/>
        </w:tblBorders>
        <w:tblLayout w:type="fixed"/>
        <w:tblCellMar>
          <w:top w:w="0" w:type="dxa"/>
          <w:left w:w="0" w:type="dxa"/>
          <w:bottom w:w="0" w:type="dxa"/>
          <w:right w:w="0" w:type="dxa"/>
        </w:tblCellMar>
        <w:tblLook w:val="01E0"/>
      </w:tblPr>
      <w:tblGrid>
        <w:gridCol w:w="3722"/>
        <w:gridCol w:w="1531"/>
        <w:gridCol w:w="1395"/>
        <w:gridCol w:w="1366"/>
      </w:tblGrid>
      <w:tr>
        <w:trPr>
          <w:trHeight w:val="583" w:hRule="exact"/>
        </w:trPr>
        <w:tc>
          <w:tcPr>
            <w:tcW w:w="3722" w:type="dxa"/>
            <w:tcBorders>
              <w:left w:val="nil"/>
              <w:bottom w:val="single" w:sz="17" w:space="0" w:color="000000"/>
              <w:right w:val="nil"/>
            </w:tcBorders>
          </w:tcPr>
          <w:p>
            <w:pPr>
              <w:pStyle w:val="TableParagraph"/>
              <w:spacing w:line="242" w:lineRule="auto"/>
              <w:ind w:left="110" w:right="100"/>
              <w:rPr>
                <w:b/>
                <w:sz w:val="22"/>
              </w:rPr>
            </w:pPr>
            <w:r>
              <w:rPr>
                <w:b/>
                <w:sz w:val="22"/>
              </w:rPr>
              <w:t>INDICADOR DE LA ACTIVIDAD DE FAGOCITOSIS</w:t>
            </w:r>
          </w:p>
        </w:tc>
        <w:tc>
          <w:tcPr>
            <w:tcW w:w="1531" w:type="dxa"/>
            <w:tcBorders>
              <w:left w:val="nil"/>
              <w:bottom w:val="single" w:sz="17" w:space="0" w:color="000000"/>
              <w:right w:val="nil"/>
            </w:tcBorders>
          </w:tcPr>
          <w:p>
            <w:pPr>
              <w:pStyle w:val="TableParagraph"/>
              <w:ind w:left="371" w:right="263"/>
              <w:jc w:val="center"/>
              <w:rPr>
                <w:b/>
                <w:sz w:val="22"/>
              </w:rPr>
            </w:pPr>
            <w:r>
              <w:rPr>
                <w:b/>
                <w:sz w:val="22"/>
              </w:rPr>
              <w:t>CC</w:t>
            </w:r>
          </w:p>
        </w:tc>
        <w:tc>
          <w:tcPr>
            <w:tcW w:w="1395" w:type="dxa"/>
            <w:tcBorders>
              <w:left w:val="nil"/>
              <w:bottom w:val="single" w:sz="17" w:space="0" w:color="000000"/>
              <w:right w:val="nil"/>
            </w:tcBorders>
          </w:tcPr>
          <w:p>
            <w:pPr>
              <w:pStyle w:val="TableParagraph"/>
              <w:ind w:left="260" w:right="237"/>
              <w:jc w:val="center"/>
              <w:rPr>
                <w:b/>
                <w:sz w:val="22"/>
              </w:rPr>
            </w:pPr>
            <w:r>
              <w:rPr>
                <w:b/>
                <w:sz w:val="22"/>
              </w:rPr>
              <w:t>CP5</w:t>
            </w:r>
          </w:p>
        </w:tc>
        <w:tc>
          <w:tcPr>
            <w:tcW w:w="1366" w:type="dxa"/>
            <w:tcBorders>
              <w:left w:val="nil"/>
              <w:bottom w:val="single" w:sz="17" w:space="0" w:color="000000"/>
              <w:right w:val="nil"/>
            </w:tcBorders>
          </w:tcPr>
          <w:p>
            <w:pPr>
              <w:pStyle w:val="TableParagraph"/>
              <w:ind w:left="234" w:right="234"/>
              <w:jc w:val="center"/>
              <w:rPr>
                <w:b/>
                <w:sz w:val="22"/>
              </w:rPr>
            </w:pPr>
            <w:r>
              <w:rPr>
                <w:b/>
                <w:sz w:val="22"/>
              </w:rPr>
              <w:t>CP8</w:t>
            </w:r>
          </w:p>
        </w:tc>
      </w:tr>
      <w:tr>
        <w:trPr>
          <w:trHeight w:val="349" w:hRule="exact"/>
        </w:trPr>
        <w:tc>
          <w:tcPr>
            <w:tcW w:w="3722" w:type="dxa"/>
            <w:tcBorders>
              <w:top w:val="single" w:sz="17" w:space="0" w:color="000000"/>
              <w:left w:val="nil"/>
              <w:bottom w:val="nil"/>
              <w:right w:val="nil"/>
            </w:tcBorders>
          </w:tcPr>
          <w:p>
            <w:pPr>
              <w:pStyle w:val="TableParagraph"/>
              <w:ind w:left="110" w:right="100"/>
              <w:rPr>
                <w:sz w:val="22"/>
              </w:rPr>
            </w:pPr>
            <w:r>
              <w:rPr>
                <w:sz w:val="22"/>
              </w:rPr>
              <w:t>Capacidad de fagocitosis</w:t>
            </w:r>
          </w:p>
        </w:tc>
        <w:tc>
          <w:tcPr>
            <w:tcW w:w="1531" w:type="dxa"/>
            <w:tcBorders>
              <w:top w:val="single" w:sz="17" w:space="0" w:color="000000"/>
              <w:left w:val="nil"/>
              <w:bottom w:val="nil"/>
              <w:right w:val="nil"/>
            </w:tcBorders>
          </w:tcPr>
          <w:p>
            <w:pPr>
              <w:pStyle w:val="TableParagraph"/>
              <w:ind w:left="373" w:right="263"/>
              <w:jc w:val="center"/>
              <w:rPr>
                <w:sz w:val="22"/>
              </w:rPr>
            </w:pPr>
            <w:r>
              <w:rPr>
                <w:sz w:val="22"/>
              </w:rPr>
              <w:t>86.8±2.6</w:t>
            </w:r>
          </w:p>
        </w:tc>
        <w:tc>
          <w:tcPr>
            <w:tcW w:w="1395" w:type="dxa"/>
            <w:tcBorders>
              <w:top w:val="single" w:sz="17" w:space="0" w:color="000000"/>
              <w:left w:val="nil"/>
              <w:bottom w:val="nil"/>
              <w:right w:val="nil"/>
            </w:tcBorders>
          </w:tcPr>
          <w:p>
            <w:pPr>
              <w:pStyle w:val="TableParagraph"/>
              <w:ind w:left="263" w:right="237"/>
              <w:jc w:val="center"/>
              <w:rPr>
                <w:sz w:val="22"/>
              </w:rPr>
            </w:pPr>
            <w:r>
              <w:rPr>
                <w:sz w:val="22"/>
              </w:rPr>
              <w:t>62.5±3.3</w:t>
            </w:r>
          </w:p>
        </w:tc>
        <w:tc>
          <w:tcPr>
            <w:tcW w:w="1366" w:type="dxa"/>
            <w:tcBorders>
              <w:top w:val="single" w:sz="17" w:space="0" w:color="000000"/>
              <w:left w:val="nil"/>
              <w:bottom w:val="nil"/>
              <w:right w:val="nil"/>
            </w:tcBorders>
          </w:tcPr>
          <w:p>
            <w:pPr>
              <w:pStyle w:val="TableParagraph"/>
              <w:ind w:left="237" w:right="234"/>
              <w:jc w:val="center"/>
              <w:rPr>
                <w:sz w:val="22"/>
              </w:rPr>
            </w:pPr>
            <w:r>
              <w:rPr>
                <w:sz w:val="22"/>
              </w:rPr>
              <w:t>78.6±4.1</w:t>
            </w:r>
          </w:p>
        </w:tc>
      </w:tr>
      <w:tr>
        <w:trPr>
          <w:trHeight w:val="489" w:hRule="exact"/>
        </w:trPr>
        <w:tc>
          <w:tcPr>
            <w:tcW w:w="3722" w:type="dxa"/>
            <w:tcBorders>
              <w:top w:val="nil"/>
              <w:left w:val="nil"/>
              <w:right w:val="nil"/>
            </w:tcBorders>
          </w:tcPr>
          <w:p>
            <w:pPr>
              <w:pStyle w:val="TableParagraph"/>
              <w:spacing w:before="51"/>
              <w:ind w:left="110" w:right="100"/>
              <w:rPr>
                <w:sz w:val="22"/>
              </w:rPr>
            </w:pPr>
            <w:r>
              <w:rPr>
                <w:sz w:val="22"/>
              </w:rPr>
              <w:t>Índice de fagocitosis</w:t>
            </w:r>
          </w:p>
        </w:tc>
        <w:tc>
          <w:tcPr>
            <w:tcW w:w="1531" w:type="dxa"/>
            <w:tcBorders>
              <w:top w:val="nil"/>
              <w:left w:val="nil"/>
              <w:right w:val="nil"/>
            </w:tcBorders>
          </w:tcPr>
          <w:p>
            <w:pPr>
              <w:pStyle w:val="TableParagraph"/>
              <w:spacing w:before="51"/>
              <w:ind w:left="373" w:right="259"/>
              <w:jc w:val="center"/>
              <w:rPr>
                <w:sz w:val="22"/>
              </w:rPr>
            </w:pPr>
            <w:r>
              <w:rPr>
                <w:sz w:val="22"/>
              </w:rPr>
              <w:t>6.1±0.3</w:t>
            </w:r>
          </w:p>
        </w:tc>
        <w:tc>
          <w:tcPr>
            <w:tcW w:w="1395" w:type="dxa"/>
            <w:tcBorders>
              <w:top w:val="nil"/>
              <w:left w:val="nil"/>
              <w:right w:val="nil"/>
            </w:tcBorders>
          </w:tcPr>
          <w:p>
            <w:pPr>
              <w:pStyle w:val="TableParagraph"/>
              <w:spacing w:before="51"/>
              <w:ind w:left="259" w:right="237"/>
              <w:jc w:val="center"/>
              <w:rPr>
                <w:sz w:val="22"/>
              </w:rPr>
            </w:pPr>
            <w:r>
              <w:rPr>
                <w:sz w:val="22"/>
              </w:rPr>
              <w:t>4.9±0.1</w:t>
            </w:r>
          </w:p>
        </w:tc>
        <w:tc>
          <w:tcPr>
            <w:tcW w:w="1366" w:type="dxa"/>
            <w:tcBorders>
              <w:top w:val="nil"/>
              <w:left w:val="nil"/>
              <w:right w:val="nil"/>
            </w:tcBorders>
          </w:tcPr>
          <w:p>
            <w:pPr>
              <w:pStyle w:val="TableParagraph"/>
              <w:spacing w:before="51"/>
              <w:ind w:left="233" w:right="234"/>
              <w:jc w:val="center"/>
              <w:rPr>
                <w:sz w:val="22"/>
              </w:rPr>
            </w:pPr>
            <w:r>
              <w:rPr>
                <w:sz w:val="22"/>
              </w:rPr>
              <w:t>5.2±0.1</w:t>
            </w:r>
          </w:p>
        </w:tc>
      </w:tr>
    </w:tbl>
    <w:p>
      <w:pPr>
        <w:pStyle w:val="BodyText"/>
        <w:spacing w:before="6"/>
        <w:rPr>
          <w:sz w:val="7"/>
        </w:rPr>
      </w:pPr>
    </w:p>
    <w:p>
      <w:pPr>
        <w:spacing w:line="242" w:lineRule="auto" w:before="76"/>
        <w:ind w:left="611" w:right="675" w:firstLine="0"/>
        <w:jc w:val="both"/>
        <w:rPr>
          <w:sz w:val="20"/>
        </w:rPr>
      </w:pPr>
      <w:r>
        <w:rPr>
          <w:sz w:val="20"/>
        </w:rPr>
        <w:t>Los datos muestran la media y desviación estándar ±, CC: cepa de </w:t>
      </w:r>
      <w:r>
        <w:rPr>
          <w:i/>
          <w:sz w:val="20"/>
        </w:rPr>
        <w:t>S. aureus </w:t>
      </w:r>
      <w:r>
        <w:rPr>
          <w:sz w:val="20"/>
        </w:rPr>
        <w:t>tipo compacta; CP5: Cepa de </w:t>
      </w:r>
      <w:r>
        <w:rPr>
          <w:i/>
          <w:sz w:val="20"/>
        </w:rPr>
        <w:t>S. aureus </w:t>
      </w:r>
      <w:r>
        <w:rPr>
          <w:sz w:val="20"/>
        </w:rPr>
        <w:t>de tipo capsular 5; CP8: cepa de </w:t>
      </w:r>
      <w:r>
        <w:rPr>
          <w:i/>
          <w:sz w:val="20"/>
        </w:rPr>
        <w:t>S. aureus </w:t>
      </w:r>
      <w:r>
        <w:rPr>
          <w:sz w:val="20"/>
        </w:rPr>
        <w:t>tipo capsular 8, IFN y CFN fueron diferentes significativamente en los tratamientos (P&lt;0.05).</w:t>
      </w:r>
    </w:p>
    <w:p>
      <w:pPr>
        <w:spacing w:after="0" w:line="242" w:lineRule="auto"/>
        <w:jc w:val="both"/>
        <w:rPr>
          <w:sz w:val="20"/>
        </w:rPr>
        <w:sectPr>
          <w:pgSz w:w="12240" w:h="15840"/>
          <w:pgMar w:header="726" w:footer="1527" w:top="1200" w:bottom="1720" w:left="1540" w:right="1540"/>
        </w:sectPr>
      </w:pPr>
    </w:p>
    <w:p>
      <w:pPr>
        <w:pStyle w:val="BodyText"/>
        <w:rPr>
          <w:sz w:val="20"/>
        </w:rPr>
      </w:pPr>
    </w:p>
    <w:p>
      <w:pPr>
        <w:spacing w:before="226"/>
        <w:ind w:left="353" w:right="0" w:firstLine="0"/>
        <w:jc w:val="left"/>
        <w:rPr>
          <w:b/>
          <w:i/>
          <w:sz w:val="27"/>
        </w:rPr>
      </w:pPr>
      <w:r>
        <w:rPr>
          <w:b/>
          <w:sz w:val="27"/>
        </w:rPr>
        <w:t>Capacidad de fagocitosis de neutrófilos sobre </w:t>
      </w:r>
      <w:r>
        <w:rPr>
          <w:b/>
          <w:i/>
          <w:sz w:val="27"/>
        </w:rPr>
        <w:t>Staphylococcus aureus</w:t>
      </w:r>
    </w:p>
    <w:p>
      <w:pPr>
        <w:spacing w:before="146"/>
        <w:ind w:left="2435" w:right="7696" w:firstLine="0"/>
        <w:jc w:val="center"/>
        <w:rPr>
          <w:b/>
          <w:sz w:val="21"/>
        </w:rPr>
      </w:pPr>
      <w:r>
        <w:rPr/>
        <w:drawing>
          <wp:anchor distT="0" distB="0" distL="0" distR="0" allowOverlap="1" layoutInCell="1" locked="0" behindDoc="0" simplePos="0" relativeHeight="1336">
            <wp:simplePos x="0" y="0"/>
            <wp:positionH relativeFrom="page">
              <wp:posOffset>2816797</wp:posOffset>
            </wp:positionH>
            <wp:positionV relativeFrom="paragraph">
              <wp:posOffset>163370</wp:posOffset>
            </wp:positionV>
            <wp:extent cx="2681883" cy="1885103"/>
            <wp:effectExtent l="0" t="0" r="0" b="0"/>
            <wp:wrapNone/>
            <wp:docPr id="17" name="image11.png" descr=""/>
            <wp:cNvGraphicFramePr>
              <a:graphicFrameLocks noChangeAspect="1"/>
            </wp:cNvGraphicFramePr>
            <a:graphic>
              <a:graphicData uri="http://schemas.openxmlformats.org/drawingml/2006/picture">
                <pic:pic>
                  <pic:nvPicPr>
                    <pic:cNvPr id="18" name="image11.png"/>
                    <pic:cNvPicPr/>
                  </pic:nvPicPr>
                  <pic:blipFill>
                    <a:blip r:embed="rId24" cstate="print"/>
                    <a:stretch>
                      <a:fillRect/>
                    </a:stretch>
                  </pic:blipFill>
                  <pic:spPr>
                    <a:xfrm>
                      <a:off x="0" y="0"/>
                      <a:ext cx="2681883" cy="1885103"/>
                    </a:xfrm>
                    <a:prstGeom prst="rect">
                      <a:avLst/>
                    </a:prstGeom>
                  </pic:spPr>
                </pic:pic>
              </a:graphicData>
            </a:graphic>
          </wp:anchor>
        </w:drawing>
      </w:r>
      <w:r>
        <w:rPr>
          <w:b/>
          <w:sz w:val="21"/>
        </w:rPr>
        <w:t>100</w:t>
      </w:r>
    </w:p>
    <w:p>
      <w:pPr>
        <w:pStyle w:val="BodyText"/>
        <w:spacing w:before="8"/>
        <w:rPr>
          <w:b/>
          <w:sz w:val="28"/>
        </w:rPr>
      </w:pPr>
    </w:p>
    <w:p>
      <w:pPr>
        <w:spacing w:before="0"/>
        <w:ind w:left="2435" w:right="7586" w:firstLine="0"/>
        <w:jc w:val="center"/>
        <w:rPr>
          <w:b/>
          <w:sz w:val="21"/>
        </w:rPr>
      </w:pPr>
      <w:r>
        <w:rPr/>
        <w:pict>
          <v:shape style="position:absolute;margin-left:173.948135pt;margin-top:18.990801pt;width:13.45pt;height:59.8pt;mso-position-horizontal-relative:page;mso-position-vertical-relative:paragraph;z-index:1408" type="#_x0000_t202" filled="false" stroked="false">
            <v:textbox inset="0,0,0,0" style="layout-flow:vertical;mso-layout-flow-alt:bottom-to-top">
              <w:txbxContent>
                <w:p>
                  <w:pPr>
                    <w:spacing w:line="254" w:lineRule="exact" w:before="0"/>
                    <w:ind w:left="20" w:right="0" w:firstLine="0"/>
                    <w:jc w:val="left"/>
                    <w:rPr>
                      <w:b/>
                      <w:sz w:val="23"/>
                    </w:rPr>
                  </w:pPr>
                  <w:r>
                    <w:rPr>
                      <w:b/>
                      <w:w w:val="103"/>
                      <w:sz w:val="23"/>
                    </w:rPr>
                    <w:t>%</w:t>
                  </w:r>
                  <w:r>
                    <w:rPr>
                      <w:b/>
                      <w:spacing w:val="23"/>
                      <w:sz w:val="23"/>
                    </w:rPr>
                    <w:t> </w:t>
                  </w:r>
                  <w:r>
                    <w:rPr>
                      <w:b/>
                      <w:spacing w:val="-3"/>
                      <w:w w:val="103"/>
                      <w:sz w:val="23"/>
                    </w:rPr>
                    <w:t>d</w:t>
                  </w:r>
                  <w:r>
                    <w:rPr>
                      <w:b/>
                      <w:w w:val="103"/>
                      <w:sz w:val="23"/>
                    </w:rPr>
                    <w:t>e</w:t>
                  </w:r>
                  <w:r>
                    <w:rPr>
                      <w:b/>
                      <w:spacing w:val="3"/>
                      <w:sz w:val="23"/>
                    </w:rPr>
                    <w:t> </w:t>
                  </w:r>
                  <w:r>
                    <w:rPr>
                      <w:b/>
                      <w:spacing w:val="-2"/>
                      <w:w w:val="103"/>
                      <w:sz w:val="23"/>
                    </w:rPr>
                    <w:t>P</w:t>
                  </w:r>
                  <w:r>
                    <w:rPr>
                      <w:b/>
                      <w:spacing w:val="-13"/>
                      <w:w w:val="103"/>
                      <w:sz w:val="23"/>
                    </w:rPr>
                    <w:t>M</w:t>
                  </w:r>
                  <w:r>
                    <w:rPr>
                      <w:b/>
                      <w:w w:val="103"/>
                      <w:sz w:val="23"/>
                    </w:rPr>
                    <w:t>N</w:t>
                  </w:r>
                </w:p>
              </w:txbxContent>
            </v:textbox>
            <w10:wrap type="none"/>
          </v:shape>
        </w:pict>
      </w:r>
      <w:r>
        <w:rPr>
          <w:b/>
          <w:sz w:val="21"/>
        </w:rPr>
        <w:t>80</w:t>
      </w:r>
    </w:p>
    <w:p>
      <w:pPr>
        <w:pStyle w:val="BodyText"/>
        <w:spacing w:before="8"/>
        <w:rPr>
          <w:b/>
          <w:sz w:val="28"/>
        </w:rPr>
      </w:pPr>
    </w:p>
    <w:p>
      <w:pPr>
        <w:spacing w:before="0"/>
        <w:ind w:left="2435" w:right="7586" w:firstLine="0"/>
        <w:jc w:val="center"/>
        <w:rPr>
          <w:b/>
          <w:sz w:val="21"/>
        </w:rPr>
      </w:pPr>
      <w:r>
        <w:rPr>
          <w:b/>
          <w:sz w:val="21"/>
        </w:rPr>
        <w:t>60</w:t>
      </w:r>
    </w:p>
    <w:p>
      <w:pPr>
        <w:pStyle w:val="BodyText"/>
        <w:spacing w:before="8"/>
        <w:rPr>
          <w:b/>
          <w:sz w:val="28"/>
        </w:rPr>
      </w:pPr>
    </w:p>
    <w:p>
      <w:pPr>
        <w:spacing w:before="0"/>
        <w:ind w:left="2435" w:right="7586" w:firstLine="0"/>
        <w:jc w:val="center"/>
        <w:rPr>
          <w:b/>
          <w:sz w:val="21"/>
        </w:rPr>
      </w:pPr>
      <w:r>
        <w:rPr>
          <w:b/>
          <w:sz w:val="21"/>
        </w:rPr>
        <w:t>40</w:t>
      </w:r>
    </w:p>
    <w:p>
      <w:pPr>
        <w:pStyle w:val="BodyText"/>
        <w:spacing w:before="8"/>
        <w:rPr>
          <w:b/>
          <w:sz w:val="28"/>
        </w:rPr>
      </w:pPr>
    </w:p>
    <w:p>
      <w:pPr>
        <w:spacing w:before="0"/>
        <w:ind w:left="2435" w:right="7586" w:firstLine="0"/>
        <w:jc w:val="center"/>
        <w:rPr>
          <w:b/>
          <w:sz w:val="21"/>
        </w:rPr>
      </w:pPr>
      <w:r>
        <w:rPr>
          <w:b/>
          <w:sz w:val="21"/>
        </w:rPr>
        <w:t>20</w:t>
      </w:r>
    </w:p>
    <w:p>
      <w:pPr>
        <w:pStyle w:val="BodyText"/>
        <w:spacing w:before="8"/>
        <w:rPr>
          <w:b/>
          <w:sz w:val="28"/>
        </w:rPr>
      </w:pPr>
    </w:p>
    <w:p>
      <w:pPr>
        <w:spacing w:before="0"/>
        <w:ind w:left="0" w:right="5036" w:firstLine="0"/>
        <w:jc w:val="center"/>
        <w:rPr>
          <w:b/>
          <w:sz w:val="21"/>
        </w:rPr>
      </w:pPr>
      <w:r>
        <w:rPr/>
        <w:pict>
          <v:shape style="position:absolute;margin-left:248.769769pt;margin-top:19.004071pt;width:15.45pt;height:10.65pt;mso-position-horizontal-relative:page;mso-position-vertical-relative:paragraph;z-index:1432;rotation:314" type="#_x0000_t136" fillcolor="#000000" stroked="f">
            <o:extrusion v:ext="view" autorotationcenter="t"/>
            <v:textpath style="font-family:&amp;quot;Arial&amp;quot;;font-size:10pt;v-text-kern:t;mso-text-shadow:auto;font-weight:bold" string="CC"/>
            <w10:wrap type="none"/>
          </v:shape>
        </w:pict>
      </w:r>
      <w:r>
        <w:rPr/>
        <w:pict>
          <v:shape style="position:absolute;margin-left:312.95072pt;margin-top:20.930140pt;width:20.6pt;height:10.65pt;mso-position-horizontal-relative:page;mso-position-vertical-relative:paragraph;z-index:1456;rotation:314" type="#_x0000_t136" fillcolor="#000000" stroked="f">
            <o:extrusion v:ext="view" autorotationcenter="t"/>
            <v:textpath style="font-family:&amp;quot;Arial&amp;quot;;font-size:10pt;v-text-kern:t;mso-text-shadow:auto;font-weight:bold" string="CP5"/>
            <w10:wrap type="none"/>
          </v:shape>
        </w:pict>
      </w:r>
      <w:r>
        <w:rPr/>
        <w:pict>
          <v:shape style="position:absolute;margin-left:381.545599pt;margin-top:20.930114pt;width:20.6pt;height:10.65pt;mso-position-horizontal-relative:page;mso-position-vertical-relative:paragraph;z-index:1480;rotation:314" type="#_x0000_t136" fillcolor="#000000" stroked="f">
            <o:extrusion v:ext="view" autorotationcenter="t"/>
            <v:textpath style="font-family:&amp;quot;Arial&amp;quot;;font-size:10pt;v-text-kern:t;mso-text-shadow:auto;font-weight:bold" string="CP8"/>
            <w10:wrap type="none"/>
          </v:shape>
        </w:pict>
      </w:r>
      <w:r>
        <w:rPr>
          <w:b/>
          <w:w w:val="99"/>
          <w:sz w:val="21"/>
        </w:rPr>
        <w:t>0</w:t>
      </w:r>
    </w:p>
    <w:p>
      <w:pPr>
        <w:pStyle w:val="BodyText"/>
        <w:rPr>
          <w:b/>
          <w:sz w:val="20"/>
        </w:rPr>
      </w:pPr>
    </w:p>
    <w:p>
      <w:pPr>
        <w:pStyle w:val="BodyText"/>
        <w:rPr>
          <w:b/>
          <w:sz w:val="20"/>
        </w:rPr>
      </w:pPr>
    </w:p>
    <w:p>
      <w:pPr>
        <w:pStyle w:val="BodyText"/>
        <w:spacing w:before="8"/>
        <w:rPr>
          <w:b/>
          <w:sz w:val="27"/>
        </w:rPr>
      </w:pPr>
    </w:p>
    <w:p>
      <w:pPr>
        <w:spacing w:before="76"/>
        <w:ind w:left="467" w:right="1795" w:firstLine="0"/>
        <w:jc w:val="both"/>
        <w:rPr>
          <w:sz w:val="20"/>
        </w:rPr>
      </w:pPr>
      <w:r>
        <w:rPr>
          <w:b/>
          <w:sz w:val="20"/>
        </w:rPr>
        <w:t>Gráfica 1. </w:t>
      </w:r>
      <w:r>
        <w:rPr>
          <w:sz w:val="20"/>
        </w:rPr>
        <w:t>Proporción de neutrófilos bovinos que fagocitaron </w:t>
      </w:r>
      <w:r>
        <w:rPr>
          <w:i/>
          <w:spacing w:val="-3"/>
          <w:sz w:val="20"/>
        </w:rPr>
        <w:t>S. </w:t>
      </w:r>
      <w:r>
        <w:rPr>
          <w:i/>
          <w:sz w:val="20"/>
        </w:rPr>
        <w:t>aureus </w:t>
      </w:r>
      <w:r>
        <w:rPr>
          <w:sz w:val="20"/>
        </w:rPr>
        <w:t>después de una hora de incubación. Media y desviación estándar del grupo control y grupos experimentales observadas por microscopia de campo claro. Cepa compacta CC; CP5 cepa capsular 5; CP cepa capsular 8. Diferencias estadísticamente significativas entre los tratamientos</w:t>
      </w:r>
      <w:r>
        <w:rPr>
          <w:spacing w:val="35"/>
          <w:sz w:val="20"/>
        </w:rPr>
        <w:t> </w:t>
      </w:r>
      <w:r>
        <w:rPr>
          <w:sz w:val="20"/>
        </w:rPr>
        <w:t>P&lt;0.05.</w:t>
      </w:r>
    </w:p>
    <w:p>
      <w:pPr>
        <w:pStyle w:val="BodyText"/>
        <w:rPr>
          <w:sz w:val="20"/>
        </w:rPr>
      </w:pPr>
    </w:p>
    <w:p>
      <w:pPr>
        <w:pStyle w:val="BodyText"/>
        <w:rPr>
          <w:sz w:val="20"/>
        </w:rPr>
      </w:pPr>
    </w:p>
    <w:p>
      <w:pPr>
        <w:pStyle w:val="BodyText"/>
        <w:rPr>
          <w:sz w:val="20"/>
        </w:rPr>
      </w:pPr>
    </w:p>
    <w:p>
      <w:pPr>
        <w:pStyle w:val="BodyText"/>
        <w:spacing w:before="11"/>
        <w:rPr>
          <w:sz w:val="17"/>
        </w:rPr>
      </w:pPr>
    </w:p>
    <w:p>
      <w:pPr>
        <w:spacing w:before="71"/>
        <w:ind w:left="957" w:right="0" w:firstLine="0"/>
        <w:jc w:val="left"/>
        <w:rPr>
          <w:b/>
          <w:i/>
          <w:sz w:val="27"/>
        </w:rPr>
      </w:pPr>
      <w:r>
        <w:rPr>
          <w:b/>
          <w:w w:val="105"/>
          <w:sz w:val="27"/>
        </w:rPr>
        <w:t>índice de Fagocitosis de </w:t>
      </w:r>
      <w:r>
        <w:rPr>
          <w:b/>
          <w:spacing w:val="-3"/>
          <w:w w:val="105"/>
          <w:sz w:val="27"/>
        </w:rPr>
        <w:t>Neutrófilos </w:t>
      </w:r>
      <w:r>
        <w:rPr>
          <w:b/>
          <w:spacing w:val="2"/>
          <w:w w:val="105"/>
          <w:sz w:val="27"/>
        </w:rPr>
        <w:t>sobre </w:t>
      </w:r>
      <w:r>
        <w:rPr>
          <w:b/>
          <w:i/>
          <w:w w:val="105"/>
          <w:sz w:val="27"/>
        </w:rPr>
        <w:t>S. </w:t>
      </w:r>
      <w:r>
        <w:rPr>
          <w:b/>
          <w:i/>
          <w:spacing w:val="73"/>
          <w:w w:val="105"/>
          <w:sz w:val="27"/>
        </w:rPr>
        <w:t> </w:t>
      </w:r>
      <w:r>
        <w:rPr>
          <w:b/>
          <w:i/>
          <w:spacing w:val="2"/>
          <w:w w:val="105"/>
          <w:sz w:val="27"/>
        </w:rPr>
        <w:t>aureus</w:t>
      </w:r>
    </w:p>
    <w:p>
      <w:pPr>
        <w:spacing w:before="173"/>
        <w:ind w:left="2252" w:right="0" w:firstLine="0"/>
        <w:jc w:val="left"/>
        <w:rPr>
          <w:b/>
          <w:sz w:val="21"/>
        </w:rPr>
      </w:pPr>
      <w:r>
        <w:rPr/>
        <w:drawing>
          <wp:anchor distT="0" distB="0" distL="0" distR="0" allowOverlap="1" layoutInCell="1" locked="0" behindDoc="0" simplePos="0" relativeHeight="1360">
            <wp:simplePos x="0" y="0"/>
            <wp:positionH relativeFrom="page">
              <wp:posOffset>2494342</wp:posOffset>
            </wp:positionH>
            <wp:positionV relativeFrom="paragraph">
              <wp:posOffset>180109</wp:posOffset>
            </wp:positionV>
            <wp:extent cx="2929661" cy="1882429"/>
            <wp:effectExtent l="0" t="0" r="0" b="0"/>
            <wp:wrapNone/>
            <wp:docPr id="19" name="image12.png" descr=""/>
            <wp:cNvGraphicFramePr>
              <a:graphicFrameLocks noChangeAspect="1"/>
            </wp:cNvGraphicFramePr>
            <a:graphic>
              <a:graphicData uri="http://schemas.openxmlformats.org/drawingml/2006/picture">
                <pic:pic>
                  <pic:nvPicPr>
                    <pic:cNvPr id="20" name="image12.png"/>
                    <pic:cNvPicPr/>
                  </pic:nvPicPr>
                  <pic:blipFill>
                    <a:blip r:embed="rId25" cstate="print"/>
                    <a:stretch>
                      <a:fillRect/>
                    </a:stretch>
                  </pic:blipFill>
                  <pic:spPr>
                    <a:xfrm>
                      <a:off x="0" y="0"/>
                      <a:ext cx="2929661" cy="1882429"/>
                    </a:xfrm>
                    <a:prstGeom prst="rect">
                      <a:avLst/>
                    </a:prstGeom>
                  </pic:spPr>
                </pic:pic>
              </a:graphicData>
            </a:graphic>
          </wp:anchor>
        </w:drawing>
      </w:r>
      <w:r>
        <w:rPr>
          <w:b/>
          <w:w w:val="108"/>
          <w:sz w:val="21"/>
        </w:rPr>
        <w:t>8</w:t>
      </w:r>
    </w:p>
    <w:p>
      <w:pPr>
        <w:pStyle w:val="BodyText"/>
        <w:rPr>
          <w:b/>
          <w:sz w:val="22"/>
        </w:rPr>
      </w:pPr>
    </w:p>
    <w:p>
      <w:pPr>
        <w:pStyle w:val="BodyText"/>
        <w:rPr>
          <w:b/>
          <w:sz w:val="19"/>
        </w:rPr>
      </w:pPr>
    </w:p>
    <w:p>
      <w:pPr>
        <w:spacing w:before="0"/>
        <w:ind w:left="2252" w:right="0" w:firstLine="0"/>
        <w:jc w:val="left"/>
        <w:rPr>
          <w:b/>
          <w:sz w:val="21"/>
        </w:rPr>
      </w:pPr>
      <w:r>
        <w:rPr/>
        <w:pict>
          <v:shape style="position:absolute;margin-left:156.127365pt;margin-top:-6.405853pt;width:14.5pt;height:95.75pt;mso-position-horizontal-relative:page;mso-position-vertical-relative:paragraph;z-index:1384" type="#_x0000_t202" filled="false" stroked="false">
            <v:textbox inset="0,0,0,0" style="layout-flow:vertical;mso-layout-flow-alt:bottom-to-top">
              <w:txbxContent>
                <w:p>
                  <w:pPr>
                    <w:spacing w:line="276" w:lineRule="exact" w:before="0"/>
                    <w:ind w:left="20" w:right="0" w:firstLine="0"/>
                    <w:jc w:val="left"/>
                    <w:rPr>
                      <w:b/>
                      <w:i/>
                      <w:sz w:val="25"/>
                    </w:rPr>
                  </w:pPr>
                  <w:r>
                    <w:rPr>
                      <w:b/>
                      <w:w w:val="95"/>
                      <w:sz w:val="25"/>
                    </w:rPr>
                    <w:t>N</w:t>
                  </w:r>
                  <w:r>
                    <w:rPr>
                      <w:b/>
                      <w:spacing w:val="-4"/>
                      <w:w w:val="95"/>
                      <w:sz w:val="25"/>
                    </w:rPr>
                    <w:t>o</w:t>
                  </w:r>
                  <w:r>
                    <w:rPr>
                      <w:b/>
                      <w:w w:val="95"/>
                      <w:sz w:val="25"/>
                    </w:rPr>
                    <w:t>.</w:t>
                  </w:r>
                  <w:r>
                    <w:rPr>
                      <w:b/>
                      <w:spacing w:val="6"/>
                      <w:sz w:val="25"/>
                    </w:rPr>
                    <w:t> </w:t>
                  </w:r>
                  <w:r>
                    <w:rPr>
                      <w:b/>
                      <w:spacing w:val="-3"/>
                      <w:w w:val="95"/>
                      <w:sz w:val="25"/>
                    </w:rPr>
                    <w:t>d</w:t>
                  </w:r>
                  <w:r>
                    <w:rPr>
                      <w:b/>
                      <w:w w:val="95"/>
                      <w:sz w:val="25"/>
                    </w:rPr>
                    <w:t>e</w:t>
                  </w:r>
                  <w:r>
                    <w:rPr>
                      <w:b/>
                      <w:spacing w:val="-4"/>
                      <w:sz w:val="25"/>
                    </w:rPr>
                    <w:t> </w:t>
                  </w:r>
                  <w:r>
                    <w:rPr>
                      <w:b/>
                      <w:i/>
                      <w:spacing w:val="-2"/>
                      <w:w w:val="95"/>
                      <w:sz w:val="25"/>
                    </w:rPr>
                    <w:t>S</w:t>
                  </w:r>
                  <w:r>
                    <w:rPr>
                      <w:b/>
                      <w:i/>
                      <w:w w:val="95"/>
                      <w:sz w:val="25"/>
                    </w:rPr>
                    <w:t>.</w:t>
                  </w:r>
                  <w:r>
                    <w:rPr>
                      <w:b/>
                      <w:i/>
                      <w:spacing w:val="6"/>
                      <w:sz w:val="25"/>
                    </w:rPr>
                    <w:t> </w:t>
                  </w:r>
                  <w:r>
                    <w:rPr>
                      <w:b/>
                      <w:i/>
                      <w:spacing w:val="-4"/>
                      <w:w w:val="95"/>
                      <w:sz w:val="25"/>
                    </w:rPr>
                    <w:t>a</w:t>
                  </w:r>
                  <w:r>
                    <w:rPr>
                      <w:b/>
                      <w:i/>
                      <w:spacing w:val="-3"/>
                      <w:w w:val="95"/>
                      <w:sz w:val="25"/>
                    </w:rPr>
                    <w:t>u</w:t>
                  </w:r>
                  <w:r>
                    <w:rPr>
                      <w:b/>
                      <w:i/>
                      <w:spacing w:val="7"/>
                      <w:w w:val="95"/>
                      <w:sz w:val="25"/>
                    </w:rPr>
                    <w:t>r</w:t>
                  </w:r>
                  <w:r>
                    <w:rPr>
                      <w:b/>
                      <w:i/>
                      <w:spacing w:val="-4"/>
                      <w:w w:val="95"/>
                      <w:sz w:val="25"/>
                    </w:rPr>
                    <w:t>e</w:t>
                  </w:r>
                  <w:r>
                    <w:rPr>
                      <w:b/>
                      <w:i/>
                      <w:spacing w:val="-3"/>
                      <w:w w:val="95"/>
                      <w:sz w:val="25"/>
                    </w:rPr>
                    <w:t>u</w:t>
                  </w:r>
                  <w:r>
                    <w:rPr>
                      <w:b/>
                      <w:i/>
                      <w:w w:val="95"/>
                      <w:sz w:val="25"/>
                    </w:rPr>
                    <w:t>s</w:t>
                  </w:r>
                </w:p>
              </w:txbxContent>
            </v:textbox>
            <w10:wrap type="none"/>
          </v:shape>
        </w:pict>
      </w:r>
      <w:r>
        <w:rPr>
          <w:b/>
          <w:w w:val="108"/>
          <w:sz w:val="21"/>
        </w:rPr>
        <w:t>6</w:t>
      </w:r>
    </w:p>
    <w:p>
      <w:pPr>
        <w:pStyle w:val="BodyText"/>
        <w:rPr>
          <w:b/>
          <w:sz w:val="22"/>
        </w:rPr>
      </w:pPr>
    </w:p>
    <w:p>
      <w:pPr>
        <w:pStyle w:val="BodyText"/>
        <w:rPr>
          <w:b/>
          <w:sz w:val="19"/>
        </w:rPr>
      </w:pPr>
    </w:p>
    <w:p>
      <w:pPr>
        <w:spacing w:before="0"/>
        <w:ind w:left="2252" w:right="0" w:firstLine="0"/>
        <w:jc w:val="left"/>
        <w:rPr>
          <w:b/>
          <w:sz w:val="21"/>
        </w:rPr>
      </w:pPr>
      <w:r>
        <w:rPr>
          <w:b/>
          <w:w w:val="108"/>
          <w:sz w:val="21"/>
        </w:rPr>
        <w:t>4</w:t>
      </w:r>
    </w:p>
    <w:p>
      <w:pPr>
        <w:pStyle w:val="BodyText"/>
        <w:rPr>
          <w:b/>
          <w:sz w:val="22"/>
        </w:rPr>
      </w:pPr>
    </w:p>
    <w:p>
      <w:pPr>
        <w:pStyle w:val="BodyText"/>
        <w:rPr>
          <w:b/>
          <w:sz w:val="19"/>
        </w:rPr>
      </w:pPr>
    </w:p>
    <w:p>
      <w:pPr>
        <w:spacing w:before="0"/>
        <w:ind w:left="2252" w:right="0" w:firstLine="0"/>
        <w:jc w:val="left"/>
        <w:rPr>
          <w:b/>
          <w:sz w:val="21"/>
        </w:rPr>
      </w:pPr>
      <w:r>
        <w:rPr>
          <w:b/>
          <w:w w:val="108"/>
          <w:sz w:val="21"/>
        </w:rPr>
        <w:t>2</w:t>
      </w:r>
    </w:p>
    <w:p>
      <w:pPr>
        <w:pStyle w:val="BodyText"/>
        <w:rPr>
          <w:b/>
          <w:sz w:val="22"/>
        </w:rPr>
      </w:pPr>
    </w:p>
    <w:p>
      <w:pPr>
        <w:pStyle w:val="BodyText"/>
        <w:rPr>
          <w:b/>
          <w:sz w:val="19"/>
        </w:rPr>
      </w:pPr>
    </w:p>
    <w:p>
      <w:pPr>
        <w:spacing w:before="0"/>
        <w:ind w:left="2252" w:right="0" w:firstLine="0"/>
        <w:jc w:val="left"/>
        <w:rPr>
          <w:b/>
          <w:sz w:val="21"/>
        </w:rPr>
      </w:pPr>
      <w:r>
        <w:rPr/>
        <w:pict>
          <v:shape style="position:absolute;margin-left:226.33847pt;margin-top:18.483276pt;width:16.25pt;height:11.15pt;mso-position-horizontal-relative:page;mso-position-vertical-relative:paragraph;z-index:1504;rotation:317" type="#_x0000_t136" fillcolor="#000000" stroked="f">
            <o:extrusion v:ext="view" autorotationcenter="t"/>
            <v:textpath style="font-family:&amp;quot;Arial&amp;quot;;font-size:11pt;v-text-kern:t;mso-text-shadow:auto;font-weight:bold" string="CC"/>
            <w10:wrap type="none"/>
          </v:shape>
        </w:pict>
      </w:r>
      <w:r>
        <w:rPr/>
        <w:pict>
          <v:shape style="position:absolute;margin-left:296.574463pt;margin-top:20.413902pt;width:21.7pt;height:11.15pt;mso-position-horizontal-relative:page;mso-position-vertical-relative:paragraph;z-index:1528;rotation:317" type="#_x0000_t136" fillcolor="#000000" stroked="f">
            <o:extrusion v:ext="view" autorotationcenter="t"/>
            <v:textpath style="font-family:&amp;quot;Arial&amp;quot;;font-size:11pt;v-text-kern:t;mso-text-shadow:auto;font-weight:bold" string="CP5"/>
            <w10:wrap type="none"/>
          </v:shape>
        </w:pict>
      </w:r>
      <w:r>
        <w:rPr/>
        <w:pict>
          <v:shape style="position:absolute;margin-left:371.57312pt;margin-top:20.413908pt;width:21.7pt;height:11.15pt;mso-position-horizontal-relative:page;mso-position-vertical-relative:paragraph;z-index:1552;rotation:317" type="#_x0000_t136" fillcolor="#000000" stroked="f">
            <o:extrusion v:ext="view" autorotationcenter="t"/>
            <v:textpath style="font-family:&amp;quot;Arial&amp;quot;;font-size:11pt;v-text-kern:t;mso-text-shadow:auto;font-weight:bold" string="CP8"/>
            <w10:wrap type="none"/>
          </v:shape>
        </w:pict>
      </w:r>
      <w:r>
        <w:rPr>
          <w:b/>
          <w:w w:val="108"/>
          <w:sz w:val="21"/>
        </w:rPr>
        <w:t>0</w:t>
      </w:r>
    </w:p>
    <w:p>
      <w:pPr>
        <w:pStyle w:val="BodyText"/>
        <w:rPr>
          <w:b/>
          <w:sz w:val="20"/>
        </w:rPr>
      </w:pPr>
    </w:p>
    <w:p>
      <w:pPr>
        <w:pStyle w:val="BodyText"/>
        <w:spacing w:before="8"/>
        <w:rPr>
          <w:b/>
          <w:sz w:val="29"/>
        </w:rPr>
      </w:pPr>
    </w:p>
    <w:p>
      <w:pPr>
        <w:spacing w:line="240" w:lineRule="auto" w:before="72"/>
        <w:ind w:left="467" w:right="1794" w:firstLine="0"/>
        <w:jc w:val="both"/>
        <w:rPr>
          <w:sz w:val="20"/>
        </w:rPr>
      </w:pPr>
      <w:r>
        <w:rPr>
          <w:b/>
          <w:sz w:val="22"/>
        </w:rPr>
        <w:t>Gráfica 2. </w:t>
      </w:r>
      <w:r>
        <w:rPr>
          <w:spacing w:val="-3"/>
          <w:sz w:val="20"/>
        </w:rPr>
        <w:t>No. </w:t>
      </w:r>
      <w:r>
        <w:rPr>
          <w:sz w:val="20"/>
        </w:rPr>
        <w:t>de </w:t>
      </w:r>
      <w:r>
        <w:rPr>
          <w:i/>
          <w:spacing w:val="-3"/>
          <w:sz w:val="20"/>
        </w:rPr>
        <w:t>S. </w:t>
      </w:r>
      <w:r>
        <w:rPr>
          <w:i/>
          <w:sz w:val="20"/>
        </w:rPr>
        <w:t>aureus </w:t>
      </w:r>
      <w:r>
        <w:rPr>
          <w:sz w:val="20"/>
        </w:rPr>
        <w:t>fagocitados por los neutrófilos después de una hora de incubación. Media y desviación estándar del grupo control y grupos experimentales observadas por microscopia de campo claro. Cepa compacta CC; CP5 cepa capsular 5; CP cepa capsular 8. Diferencias estadísticamente significativas entre los tratamientos</w:t>
      </w:r>
      <w:r>
        <w:rPr>
          <w:spacing w:val="28"/>
          <w:sz w:val="20"/>
        </w:rPr>
        <w:t> </w:t>
      </w:r>
      <w:r>
        <w:rPr>
          <w:sz w:val="20"/>
        </w:rPr>
        <w:t>P&lt;0.05.</w:t>
      </w:r>
    </w:p>
    <w:p>
      <w:pPr>
        <w:spacing w:after="0" w:line="240" w:lineRule="auto"/>
        <w:jc w:val="both"/>
        <w:rPr>
          <w:sz w:val="20"/>
        </w:rPr>
        <w:sectPr>
          <w:pgSz w:w="12240" w:h="15840"/>
          <w:pgMar w:header="726" w:footer="1527" w:top="1200" w:bottom="1720" w:left="1540" w:right="0"/>
        </w:sectPr>
      </w:pPr>
    </w:p>
    <w:p>
      <w:pPr>
        <w:pStyle w:val="BodyText"/>
        <w:spacing w:before="5"/>
        <w:rPr>
          <w:sz w:val="14"/>
        </w:rPr>
      </w:pPr>
    </w:p>
    <w:p>
      <w:pPr>
        <w:pStyle w:val="Heading3"/>
        <w:spacing w:before="69"/>
        <w:ind w:right="0"/>
        <w:jc w:val="both"/>
      </w:pPr>
      <w:bookmarkStart w:name="_bookmark32" w:id="51"/>
      <w:bookmarkEnd w:id="51"/>
      <w:r>
        <w:rPr>
          <w:b w:val="0"/>
        </w:rPr>
      </w:r>
      <w:r>
        <w:rPr/>
        <w:t>7.3.2 Evaluación de la apoptosis </w:t>
      </w:r>
      <w:r>
        <w:rPr>
          <w:i/>
        </w:rPr>
        <w:t>in vitro </w:t>
      </w:r>
      <w:r>
        <w:rPr/>
        <w:t>de neutrófilos</w:t>
      </w:r>
    </w:p>
    <w:p>
      <w:pPr>
        <w:pStyle w:val="BodyText"/>
        <w:spacing w:line="362" w:lineRule="auto" w:before="113"/>
        <w:ind w:left="159" w:right="155"/>
        <w:jc w:val="both"/>
      </w:pPr>
      <w:r>
        <w:rPr/>
        <w:t>La evaluación de la inducción de la apoptosis mediante las características morfológicas apreciadas en los frotis  teñidos con  May Grünwald-Giemsa   (Figura</w:t>
      </w:r>
    </w:p>
    <w:p>
      <w:pPr>
        <w:pStyle w:val="BodyText"/>
        <w:spacing w:line="360" w:lineRule="auto"/>
        <w:ind w:left="159" w:right="154"/>
        <w:jc w:val="both"/>
      </w:pPr>
      <w:r>
        <w:rPr/>
        <w:t>10) fueron (Cuadro 2): control positivo C(+) 97.70±1.28, control negativo C(-) 27.13±1.85, CC 35.44±2.56, CP5 60.07±4.21, CP8 45.57±4.34 (p&lt;0,05) (Gráfica 3).</w:t>
      </w:r>
    </w:p>
    <w:p>
      <w:pPr>
        <w:pStyle w:val="BodyText"/>
        <w:rPr>
          <w:sz w:val="20"/>
        </w:rPr>
      </w:pPr>
    </w:p>
    <w:p>
      <w:pPr>
        <w:pStyle w:val="BodyText"/>
        <w:rPr>
          <w:sz w:val="20"/>
        </w:rPr>
      </w:pPr>
    </w:p>
    <w:p>
      <w:pPr>
        <w:pStyle w:val="BodyText"/>
        <w:rPr>
          <w:sz w:val="20"/>
        </w:rPr>
      </w:pPr>
    </w:p>
    <w:p>
      <w:pPr>
        <w:pStyle w:val="BodyText"/>
        <w:spacing w:before="5"/>
        <w:rPr>
          <w:sz w:val="26"/>
        </w:rPr>
      </w:pPr>
      <w:r>
        <w:rPr/>
        <w:drawing>
          <wp:anchor distT="0" distB="0" distL="0" distR="0" allowOverlap="1" layoutInCell="1" locked="0" behindDoc="0" simplePos="0" relativeHeight="1576">
            <wp:simplePos x="0" y="0"/>
            <wp:positionH relativeFrom="page">
              <wp:posOffset>2081529</wp:posOffset>
            </wp:positionH>
            <wp:positionV relativeFrom="paragraph">
              <wp:posOffset>217891</wp:posOffset>
            </wp:positionV>
            <wp:extent cx="3590185" cy="1157287"/>
            <wp:effectExtent l="0" t="0" r="0" b="0"/>
            <wp:wrapTopAndBottom/>
            <wp:docPr id="21" name="image13.jpeg" descr=""/>
            <wp:cNvGraphicFramePr>
              <a:graphicFrameLocks noChangeAspect="1"/>
            </wp:cNvGraphicFramePr>
            <a:graphic>
              <a:graphicData uri="http://schemas.openxmlformats.org/drawingml/2006/picture">
                <pic:pic>
                  <pic:nvPicPr>
                    <pic:cNvPr id="22" name="image13.jpeg"/>
                    <pic:cNvPicPr/>
                  </pic:nvPicPr>
                  <pic:blipFill>
                    <a:blip r:embed="rId26" cstate="print"/>
                    <a:stretch>
                      <a:fillRect/>
                    </a:stretch>
                  </pic:blipFill>
                  <pic:spPr>
                    <a:xfrm>
                      <a:off x="0" y="0"/>
                      <a:ext cx="3590185" cy="1157287"/>
                    </a:xfrm>
                    <a:prstGeom prst="rect">
                      <a:avLst/>
                    </a:prstGeom>
                  </pic:spPr>
                </pic:pic>
              </a:graphicData>
            </a:graphic>
          </wp:anchor>
        </w:drawing>
      </w:r>
    </w:p>
    <w:p>
      <w:pPr>
        <w:spacing w:before="108"/>
        <w:ind w:left="1758" w:right="1751" w:firstLine="0"/>
        <w:jc w:val="both"/>
        <w:rPr>
          <w:sz w:val="20"/>
        </w:rPr>
      </w:pPr>
      <w:r>
        <w:rPr>
          <w:b/>
          <w:sz w:val="20"/>
        </w:rPr>
        <w:t>Figura 10. </w:t>
      </w:r>
      <w:r>
        <w:rPr>
          <w:sz w:val="20"/>
        </w:rPr>
        <w:t>Neutrófilos bovinos apoptóticos aislados de sangre teñidos con May Grunwald-Giemsa A) condensación del núcleo, B) fragmentación nuclear, C) formación de cuerpos apoptóticos.</w:t>
      </w:r>
      <w:r>
        <w:rPr>
          <w:spacing w:val="-5"/>
          <w:sz w:val="20"/>
        </w:rPr>
        <w:t> </w:t>
      </w:r>
      <w:r>
        <w:rPr>
          <w:sz w:val="20"/>
        </w:rPr>
        <w:t>100x</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9"/>
        </w:rPr>
      </w:pPr>
    </w:p>
    <w:p>
      <w:pPr>
        <w:spacing w:before="0"/>
        <w:ind w:left="217" w:right="0" w:firstLine="0"/>
        <w:jc w:val="left"/>
        <w:rPr>
          <w:sz w:val="20"/>
        </w:rPr>
      </w:pPr>
      <w:r>
        <w:rPr>
          <w:b/>
          <w:sz w:val="20"/>
        </w:rPr>
        <w:t>Cuadro 2</w:t>
      </w:r>
      <w:r>
        <w:rPr>
          <w:sz w:val="20"/>
        </w:rPr>
        <w:t>. Evaluación de la Inducción de Apoptosis </w:t>
      </w:r>
      <w:r>
        <w:rPr>
          <w:i/>
          <w:sz w:val="20"/>
        </w:rPr>
        <w:t>in vitro </w:t>
      </w:r>
      <w:r>
        <w:rPr>
          <w:sz w:val="20"/>
        </w:rPr>
        <w:t>de neutrófilos de vacas lecheras por</w:t>
      </w:r>
    </w:p>
    <w:p>
      <w:pPr>
        <w:spacing w:before="0"/>
        <w:ind w:left="159" w:right="3245" w:firstLine="0"/>
        <w:jc w:val="left"/>
        <w:rPr>
          <w:sz w:val="20"/>
        </w:rPr>
      </w:pPr>
      <w:r>
        <w:rPr>
          <w:i/>
          <w:sz w:val="20"/>
        </w:rPr>
        <w:t>Staphylococcus aureus</w:t>
      </w:r>
      <w:r>
        <w:rPr>
          <w:sz w:val="20"/>
        </w:rPr>
        <w:t>.</w:t>
      </w:r>
    </w:p>
    <w:p>
      <w:pPr>
        <w:pStyle w:val="BodyText"/>
        <w:spacing w:before="5"/>
        <w:rPr>
          <w:sz w:val="18"/>
        </w:rPr>
      </w:pPr>
    </w:p>
    <w:tbl>
      <w:tblPr>
        <w:tblW w:w="0" w:type="auto"/>
        <w:jc w:val="left"/>
        <w:tblInd w:w="328" w:type="dxa"/>
        <w:tblBorders>
          <w:top w:val="thickThinMediumGap" w:sz="17" w:space="0" w:color="000000"/>
          <w:left w:val="thickThinMediumGap" w:sz="17" w:space="0" w:color="000000"/>
          <w:bottom w:val="thickThinMediumGap" w:sz="17" w:space="0" w:color="000000"/>
          <w:right w:val="thickThinMediumGap" w:sz="17" w:space="0" w:color="000000"/>
          <w:insideH w:val="thickThinMediumGap" w:sz="17" w:space="0" w:color="000000"/>
          <w:insideV w:val="thickThinMediumGap" w:sz="17" w:space="0" w:color="000000"/>
        </w:tblBorders>
        <w:tblLayout w:type="fixed"/>
        <w:tblCellMar>
          <w:top w:w="0" w:type="dxa"/>
          <w:left w:w="0" w:type="dxa"/>
          <w:bottom w:w="0" w:type="dxa"/>
          <w:right w:w="0" w:type="dxa"/>
        </w:tblCellMar>
        <w:tblLook w:val="01E0"/>
      </w:tblPr>
      <w:tblGrid>
        <w:gridCol w:w="1525"/>
        <w:gridCol w:w="1255"/>
        <w:gridCol w:w="1407"/>
        <w:gridCol w:w="1416"/>
        <w:gridCol w:w="1419"/>
        <w:gridCol w:w="1467"/>
      </w:tblGrid>
      <w:tr>
        <w:trPr>
          <w:trHeight w:val="430" w:hRule="exact"/>
        </w:trPr>
        <w:tc>
          <w:tcPr>
            <w:tcW w:w="1525" w:type="dxa"/>
            <w:tcBorders>
              <w:left w:val="nil"/>
              <w:bottom w:val="single" w:sz="2" w:space="0" w:color="000000"/>
              <w:right w:val="nil"/>
            </w:tcBorders>
          </w:tcPr>
          <w:p>
            <w:pPr/>
          </w:p>
        </w:tc>
        <w:tc>
          <w:tcPr>
            <w:tcW w:w="1255" w:type="dxa"/>
            <w:tcBorders>
              <w:left w:val="nil"/>
              <w:bottom w:val="single" w:sz="2" w:space="0" w:color="000000"/>
              <w:right w:val="nil"/>
            </w:tcBorders>
          </w:tcPr>
          <w:p>
            <w:pPr>
              <w:pStyle w:val="TableParagraph"/>
              <w:ind w:left="126"/>
              <w:rPr>
                <w:b/>
                <w:sz w:val="22"/>
              </w:rPr>
            </w:pPr>
            <w:r>
              <w:rPr>
                <w:b/>
                <w:sz w:val="22"/>
              </w:rPr>
              <w:t>C(+)</w:t>
            </w:r>
          </w:p>
        </w:tc>
        <w:tc>
          <w:tcPr>
            <w:tcW w:w="1407" w:type="dxa"/>
            <w:tcBorders>
              <w:left w:val="nil"/>
              <w:bottom w:val="single" w:sz="2" w:space="0" w:color="000000"/>
              <w:right w:val="nil"/>
            </w:tcBorders>
          </w:tcPr>
          <w:p>
            <w:pPr>
              <w:pStyle w:val="TableParagraph"/>
              <w:ind w:left="148"/>
              <w:rPr>
                <w:b/>
                <w:sz w:val="22"/>
              </w:rPr>
            </w:pPr>
            <w:r>
              <w:rPr>
                <w:b/>
                <w:sz w:val="22"/>
              </w:rPr>
              <w:t>C(-)</w:t>
            </w:r>
          </w:p>
        </w:tc>
        <w:tc>
          <w:tcPr>
            <w:tcW w:w="1416" w:type="dxa"/>
            <w:tcBorders>
              <w:left w:val="nil"/>
              <w:bottom w:val="single" w:sz="2" w:space="0" w:color="000000"/>
              <w:right w:val="nil"/>
            </w:tcBorders>
          </w:tcPr>
          <w:p>
            <w:pPr>
              <w:pStyle w:val="TableParagraph"/>
              <w:ind w:left="157"/>
              <w:rPr>
                <w:b/>
                <w:sz w:val="22"/>
              </w:rPr>
            </w:pPr>
            <w:r>
              <w:rPr>
                <w:b/>
                <w:sz w:val="22"/>
              </w:rPr>
              <w:t>CC</w:t>
            </w:r>
          </w:p>
        </w:tc>
        <w:tc>
          <w:tcPr>
            <w:tcW w:w="1419" w:type="dxa"/>
            <w:tcBorders>
              <w:left w:val="nil"/>
              <w:bottom w:val="single" w:sz="2" w:space="0" w:color="000000"/>
              <w:right w:val="nil"/>
            </w:tcBorders>
          </w:tcPr>
          <w:p>
            <w:pPr>
              <w:pStyle w:val="TableParagraph"/>
              <w:ind w:left="157"/>
              <w:rPr>
                <w:b/>
                <w:sz w:val="22"/>
              </w:rPr>
            </w:pPr>
            <w:r>
              <w:rPr>
                <w:b/>
                <w:sz w:val="22"/>
              </w:rPr>
              <w:t>CP5</w:t>
            </w:r>
          </w:p>
        </w:tc>
        <w:tc>
          <w:tcPr>
            <w:tcW w:w="1467" w:type="dxa"/>
            <w:tcBorders>
              <w:left w:val="nil"/>
              <w:bottom w:val="single" w:sz="2" w:space="0" w:color="000000"/>
              <w:right w:val="nil"/>
            </w:tcBorders>
          </w:tcPr>
          <w:p>
            <w:pPr>
              <w:pStyle w:val="TableParagraph"/>
              <w:ind w:left="160"/>
              <w:rPr>
                <w:b/>
                <w:sz w:val="22"/>
              </w:rPr>
            </w:pPr>
            <w:r>
              <w:rPr>
                <w:b/>
                <w:sz w:val="22"/>
              </w:rPr>
              <w:t>CP8</w:t>
            </w:r>
          </w:p>
        </w:tc>
      </w:tr>
      <w:tr>
        <w:trPr>
          <w:trHeight w:val="430" w:hRule="exact"/>
        </w:trPr>
        <w:tc>
          <w:tcPr>
            <w:tcW w:w="1525" w:type="dxa"/>
            <w:tcBorders>
              <w:top w:val="single" w:sz="2" w:space="0" w:color="000000"/>
              <w:left w:val="nil"/>
              <w:right w:val="nil"/>
            </w:tcBorders>
          </w:tcPr>
          <w:p>
            <w:pPr>
              <w:pStyle w:val="TableParagraph"/>
              <w:ind w:left="124"/>
              <w:rPr>
                <w:sz w:val="22"/>
              </w:rPr>
            </w:pPr>
            <w:r>
              <w:rPr>
                <w:sz w:val="22"/>
              </w:rPr>
              <w:t>APOPTOSIS</w:t>
            </w:r>
          </w:p>
        </w:tc>
        <w:tc>
          <w:tcPr>
            <w:tcW w:w="1255" w:type="dxa"/>
            <w:tcBorders>
              <w:top w:val="single" w:sz="2" w:space="0" w:color="000000"/>
              <w:left w:val="nil"/>
              <w:right w:val="nil"/>
            </w:tcBorders>
          </w:tcPr>
          <w:p>
            <w:pPr>
              <w:pStyle w:val="TableParagraph"/>
              <w:ind w:left="126"/>
              <w:rPr>
                <w:sz w:val="22"/>
              </w:rPr>
            </w:pPr>
            <w:r>
              <w:rPr>
                <w:sz w:val="22"/>
              </w:rPr>
              <w:t>97.7±1.28</w:t>
            </w:r>
          </w:p>
        </w:tc>
        <w:tc>
          <w:tcPr>
            <w:tcW w:w="1407" w:type="dxa"/>
            <w:tcBorders>
              <w:top w:val="single" w:sz="2" w:space="0" w:color="000000"/>
              <w:left w:val="nil"/>
              <w:right w:val="nil"/>
            </w:tcBorders>
          </w:tcPr>
          <w:p>
            <w:pPr>
              <w:pStyle w:val="TableParagraph"/>
              <w:ind w:left="148"/>
              <w:rPr>
                <w:sz w:val="22"/>
              </w:rPr>
            </w:pPr>
            <w:r>
              <w:rPr>
                <w:sz w:val="22"/>
              </w:rPr>
              <w:t>27.13±1.85</w:t>
            </w:r>
          </w:p>
        </w:tc>
        <w:tc>
          <w:tcPr>
            <w:tcW w:w="1416" w:type="dxa"/>
            <w:tcBorders>
              <w:top w:val="single" w:sz="2" w:space="0" w:color="000000"/>
              <w:left w:val="nil"/>
              <w:right w:val="nil"/>
            </w:tcBorders>
          </w:tcPr>
          <w:p>
            <w:pPr>
              <w:pStyle w:val="TableParagraph"/>
              <w:ind w:left="157"/>
              <w:rPr>
                <w:sz w:val="22"/>
              </w:rPr>
            </w:pPr>
            <w:r>
              <w:rPr>
                <w:sz w:val="22"/>
              </w:rPr>
              <w:t>35.44±2.56</w:t>
            </w:r>
          </w:p>
        </w:tc>
        <w:tc>
          <w:tcPr>
            <w:tcW w:w="1419" w:type="dxa"/>
            <w:tcBorders>
              <w:top w:val="single" w:sz="2" w:space="0" w:color="000000"/>
              <w:left w:val="nil"/>
              <w:right w:val="nil"/>
            </w:tcBorders>
          </w:tcPr>
          <w:p>
            <w:pPr>
              <w:pStyle w:val="TableParagraph"/>
              <w:ind w:left="157"/>
              <w:rPr>
                <w:sz w:val="22"/>
              </w:rPr>
            </w:pPr>
            <w:r>
              <w:rPr>
                <w:sz w:val="22"/>
              </w:rPr>
              <w:t>60.07±4.21</w:t>
            </w:r>
          </w:p>
        </w:tc>
        <w:tc>
          <w:tcPr>
            <w:tcW w:w="1467" w:type="dxa"/>
            <w:tcBorders>
              <w:top w:val="single" w:sz="2" w:space="0" w:color="000000"/>
              <w:left w:val="nil"/>
              <w:right w:val="nil"/>
            </w:tcBorders>
          </w:tcPr>
          <w:p>
            <w:pPr>
              <w:pStyle w:val="TableParagraph"/>
              <w:ind w:left="160"/>
              <w:rPr>
                <w:sz w:val="22"/>
              </w:rPr>
            </w:pPr>
            <w:r>
              <w:rPr>
                <w:sz w:val="22"/>
              </w:rPr>
              <w:t>45.57±4.34</w:t>
            </w:r>
          </w:p>
        </w:tc>
      </w:tr>
    </w:tbl>
    <w:p>
      <w:pPr>
        <w:pStyle w:val="BodyText"/>
        <w:spacing w:before="11"/>
        <w:rPr>
          <w:sz w:val="7"/>
        </w:rPr>
      </w:pPr>
    </w:p>
    <w:p>
      <w:pPr>
        <w:spacing w:line="237" w:lineRule="auto" w:before="78"/>
        <w:ind w:left="328" w:right="353" w:firstLine="0"/>
        <w:jc w:val="both"/>
        <w:rPr>
          <w:sz w:val="20"/>
        </w:rPr>
      </w:pPr>
      <w:r>
        <w:rPr>
          <w:sz w:val="20"/>
        </w:rPr>
        <w:t>Los datos muestran la media y desviación estándar ±. C(+) cepa control positivo; C(-) cepa control negativo CC; cepa de </w:t>
      </w:r>
      <w:r>
        <w:rPr>
          <w:i/>
          <w:sz w:val="20"/>
        </w:rPr>
        <w:t>S. aureus </w:t>
      </w:r>
      <w:r>
        <w:rPr>
          <w:sz w:val="20"/>
        </w:rPr>
        <w:t>tipo compacta; CP5: Cepa de </w:t>
      </w:r>
      <w:r>
        <w:rPr>
          <w:i/>
          <w:sz w:val="20"/>
        </w:rPr>
        <w:t>S. aureus </w:t>
      </w:r>
      <w:r>
        <w:rPr>
          <w:sz w:val="20"/>
        </w:rPr>
        <w:t>de tipo capsular 5; CP8: cepa de </w:t>
      </w:r>
      <w:r>
        <w:rPr>
          <w:i/>
          <w:sz w:val="20"/>
        </w:rPr>
        <w:t>S. aureus </w:t>
      </w:r>
      <w:r>
        <w:rPr>
          <w:sz w:val="20"/>
        </w:rPr>
        <w:t>tipo capsular 8. *Diferencias estadísticas (P&lt;0.05).</w:t>
      </w:r>
    </w:p>
    <w:p>
      <w:pPr>
        <w:spacing w:after="0" w:line="237" w:lineRule="auto"/>
        <w:jc w:val="both"/>
        <w:rPr>
          <w:sz w:val="20"/>
        </w:rPr>
        <w:sectPr>
          <w:pgSz w:w="12240" w:h="15840"/>
          <w:pgMar w:header="726" w:footer="1527" w:top="1200" w:bottom="1720" w:left="1540" w:right="1540"/>
        </w:sectPr>
      </w:pPr>
    </w:p>
    <w:p>
      <w:pPr>
        <w:pStyle w:val="BodyText"/>
        <w:rPr>
          <w:sz w:val="20"/>
        </w:rPr>
      </w:pPr>
    </w:p>
    <w:p>
      <w:pPr>
        <w:spacing w:before="242"/>
        <w:ind w:left="355" w:right="0" w:firstLine="0"/>
        <w:jc w:val="left"/>
        <w:rPr>
          <w:b/>
          <w:i/>
          <w:sz w:val="29"/>
        </w:rPr>
      </w:pPr>
      <w:r>
        <w:rPr>
          <w:b/>
          <w:w w:val="95"/>
          <w:sz w:val="29"/>
        </w:rPr>
        <w:t>Inducción de apoptosis en neutrófilos por </w:t>
      </w:r>
      <w:r>
        <w:rPr>
          <w:b/>
          <w:i/>
          <w:w w:val="95"/>
          <w:sz w:val="29"/>
        </w:rPr>
        <w:t>Staphylococcus aureus</w:t>
      </w:r>
    </w:p>
    <w:p>
      <w:pPr>
        <w:pStyle w:val="BodyText"/>
        <w:rPr>
          <w:b/>
          <w:i/>
          <w:sz w:val="16"/>
        </w:rPr>
      </w:pPr>
    </w:p>
    <w:p>
      <w:pPr>
        <w:spacing w:before="72"/>
        <w:ind w:left="2315" w:right="0" w:firstLine="0"/>
        <w:jc w:val="left"/>
        <w:rPr>
          <w:b/>
          <w:sz w:val="23"/>
        </w:rPr>
      </w:pPr>
      <w:r>
        <w:rPr/>
        <w:pict>
          <v:group style="position:absolute;margin-left:210.029785pt;margin-top:9.803394pt;width:213.55pt;height:158.25pt;mso-position-horizontal-relative:page;mso-position-vertical-relative:paragraph;z-index:1600" coordorigin="4201,196" coordsize="4271,3165">
            <v:line style="position:absolute" from="4462,1282" to="4475,1282" stroked="true" strokeweight=".634758pt" strokecolor="#5f5f5f"/>
            <v:line style="position:absolute" from="4517,1282" to="4531,1282" stroked="true" strokeweight=".634758pt" strokecolor="#5f5f5f"/>
            <v:line style="position:absolute" from="4572,1282" to="4586,1282" stroked="true" strokeweight=".634758pt" strokecolor="#5f5f5f"/>
            <v:line style="position:absolute" from="4628,1282" to="4642,1282" stroked="true" strokeweight=".634758pt" strokecolor="#5f5f5f"/>
            <v:line style="position:absolute" from="4683,1282" to="4697,1282" stroked="true" strokeweight=".634758pt" strokecolor="#5f5f5f"/>
            <v:line style="position:absolute" from="4739,1282" to="4753,1282" stroked="true" strokeweight=".634758pt" strokecolor="#5f5f5f"/>
            <v:line style="position:absolute" from="4794,1282" to="4808,1282" stroked="true" strokeweight=".634758pt" strokecolor="#5f5f5f"/>
            <v:line style="position:absolute" from="4850,1282" to="4864,1282" stroked="true" strokeweight=".634758pt" strokecolor="#5f5f5f"/>
            <v:line style="position:absolute" from="4905,1282" to="4919,1282" stroked="true" strokeweight=".634758pt" strokecolor="#5f5f5f"/>
            <v:line style="position:absolute" from="4961,1282" to="4975,1282" stroked="true" strokeweight=".634758pt" strokecolor="#5f5f5f"/>
            <v:line style="position:absolute" from="4434,1343" to="4448,1343" stroked="true" strokeweight=".634758pt" strokecolor="#5f5f5f"/>
            <v:line style="position:absolute" from="4489,1343" to="4503,1343" stroked="true" strokeweight=".634758pt" strokecolor="#5f5f5f"/>
            <v:line style="position:absolute" from="4545,1343" to="4559,1343" stroked="true" strokeweight=".634758pt" strokecolor="#5f5f5f"/>
            <v:line style="position:absolute" from="4600,1343" to="4614,1343" stroked="true" strokeweight=".634758pt" strokecolor="#5f5f5f"/>
            <v:line style="position:absolute" from="4656,1343" to="4669,1343" stroked="true" strokeweight=".634758pt" strokecolor="#5f5f5f"/>
            <v:line style="position:absolute" from="4711,1343" to="4725,1343" stroked="true" strokeweight=".634758pt" strokecolor="#5f5f5f"/>
            <v:line style="position:absolute" from="4767,1343" to="4780,1343" stroked="true" strokeweight=".634758pt" strokecolor="#5f5f5f"/>
            <v:line style="position:absolute" from="4822,1343" to="4836,1343" stroked="true" strokeweight=".634758pt" strokecolor="#5f5f5f"/>
            <v:line style="position:absolute" from="4877,1343" to="4891,1343" stroked="true" strokeweight=".634758pt" strokecolor="#5f5f5f"/>
            <v:line style="position:absolute" from="4933,1343" to="4947,1343" stroked="true" strokeweight=".634758pt" strokecolor="#5f5f5f"/>
            <v:line style="position:absolute" from="4462,1404" to="4475,1404" stroked="true" strokeweight=".634758pt" strokecolor="#5f5f5f"/>
            <v:line style="position:absolute" from="4517,1404" to="4531,1404" stroked="true" strokeweight=".634758pt" strokecolor="#5f5f5f"/>
            <v:line style="position:absolute" from="4572,1404" to="4586,1404" stroked="true" strokeweight=".634758pt" strokecolor="#5f5f5f"/>
            <v:line style="position:absolute" from="4628,1404" to="4642,1404" stroked="true" strokeweight=".634758pt" strokecolor="#5f5f5f"/>
            <v:line style="position:absolute" from="4683,1404" to="4697,1404" stroked="true" strokeweight=".634758pt" strokecolor="#5f5f5f"/>
            <v:line style="position:absolute" from="4739,1404" to="4753,1404" stroked="true" strokeweight=".634758pt" strokecolor="#5f5f5f"/>
            <v:line style="position:absolute" from="4794,1404" to="4808,1404" stroked="true" strokeweight=".634758pt" strokecolor="#5f5f5f"/>
            <v:line style="position:absolute" from="4850,1404" to="4864,1404" stroked="true" strokeweight=".634758pt" strokecolor="#5f5f5f"/>
            <v:line style="position:absolute" from="4905,1404" to="4919,1404" stroked="true" strokeweight=".634758pt" strokecolor="#5f5f5f"/>
            <v:line style="position:absolute" from="4961,1404" to="4975,1404" stroked="true" strokeweight=".634758pt" strokecolor="#5f5f5f"/>
            <v:line style="position:absolute" from="4434,1465" to="4448,1465" stroked="true" strokeweight=".634758pt" strokecolor="#5f5f5f"/>
            <v:line style="position:absolute" from="4489,1465" to="4503,1465" stroked="true" strokeweight=".634758pt" strokecolor="#5f5f5f"/>
            <v:line style="position:absolute" from="4545,1465" to="4559,1465" stroked="true" strokeweight=".634758pt" strokecolor="#5f5f5f"/>
            <v:line style="position:absolute" from="4600,1465" to="4614,1465" stroked="true" strokeweight=".634758pt" strokecolor="#5f5f5f"/>
            <v:line style="position:absolute" from="4656,1465" to="4669,1465" stroked="true" strokeweight=".634758pt" strokecolor="#5f5f5f"/>
            <v:line style="position:absolute" from="4711,1465" to="4725,1465" stroked="true" strokeweight=".634758pt" strokecolor="#5f5f5f"/>
            <v:line style="position:absolute" from="4767,1465" to="4780,1465" stroked="true" strokeweight=".634758pt" strokecolor="#5f5f5f"/>
            <v:line style="position:absolute" from="4822,1465" to="4836,1465" stroked="true" strokeweight=".634758pt" strokecolor="#5f5f5f"/>
            <v:line style="position:absolute" from="4877,1465" to="4891,1465" stroked="true" strokeweight=".634758pt" strokecolor="#5f5f5f"/>
            <v:line style="position:absolute" from="4933,1465" to="4947,1465" stroked="true" strokeweight=".634758pt" strokecolor="#5f5f5f"/>
            <v:line style="position:absolute" from="4462,1526" to="4475,1526" stroked="true" strokeweight=".634758pt" strokecolor="#5f5f5f"/>
            <v:line style="position:absolute" from="4517,1526" to="4531,1526" stroked="true" strokeweight=".634758pt" strokecolor="#5f5f5f"/>
            <v:line style="position:absolute" from="4572,1526" to="4586,1526" stroked="true" strokeweight=".634758pt" strokecolor="#5f5f5f"/>
            <v:line style="position:absolute" from="4628,1526" to="4642,1526" stroked="true" strokeweight=".634758pt" strokecolor="#5f5f5f"/>
            <v:line style="position:absolute" from="4683,1526" to="4697,1526" stroked="true" strokeweight=".634758pt" strokecolor="#5f5f5f"/>
            <v:line style="position:absolute" from="4739,1526" to="4753,1526" stroked="true" strokeweight=".634758pt" strokecolor="#5f5f5f"/>
            <v:line style="position:absolute" from="4794,1526" to="4808,1526" stroked="true" strokeweight=".634758pt" strokecolor="#5f5f5f"/>
            <v:line style="position:absolute" from="4850,1526" to="4864,1526" stroked="true" strokeweight=".634758pt" strokecolor="#5f5f5f"/>
            <v:line style="position:absolute" from="4905,1526" to="4919,1526" stroked="true" strokeweight=".634758pt" strokecolor="#5f5f5f"/>
            <v:line style="position:absolute" from="4961,1526" to="4975,1526" stroked="true" strokeweight=".634758pt" strokecolor="#5f5f5f"/>
            <v:line style="position:absolute" from="4434,1587" to="4448,1587" stroked="true" strokeweight=".634758pt" strokecolor="#5f5f5f"/>
            <v:line style="position:absolute" from="4489,1587" to="4503,1587" stroked="true" strokeweight=".634758pt" strokecolor="#5f5f5f"/>
            <v:line style="position:absolute" from="4545,1587" to="4559,1587" stroked="true" strokeweight=".634758pt" strokecolor="#5f5f5f"/>
            <v:line style="position:absolute" from="4600,1587" to="4614,1587" stroked="true" strokeweight=".634758pt" strokecolor="#5f5f5f"/>
            <v:line style="position:absolute" from="4656,1587" to="4669,1587" stroked="true" strokeweight=".634758pt" strokecolor="#5f5f5f"/>
            <v:line style="position:absolute" from="4711,1587" to="4725,1587" stroked="true" strokeweight=".634758pt" strokecolor="#5f5f5f"/>
            <v:line style="position:absolute" from="4767,1587" to="4780,1587" stroked="true" strokeweight=".634758pt" strokecolor="#5f5f5f"/>
            <v:line style="position:absolute" from="4822,1587" to="4836,1587" stroked="true" strokeweight=".634758pt" strokecolor="#5f5f5f"/>
            <v:line style="position:absolute" from="4877,1587" to="4891,1587" stroked="true" strokeweight=".634758pt" strokecolor="#5f5f5f"/>
            <v:line style="position:absolute" from="4933,1587" to="4947,1587" stroked="true" strokeweight=".634758pt" strokecolor="#5f5f5f"/>
            <v:line style="position:absolute" from="4462,1648" to="4475,1648" stroked="true" strokeweight=".634758pt" strokecolor="#5f5f5f"/>
            <v:line style="position:absolute" from="4517,1648" to="4531,1648" stroked="true" strokeweight=".634758pt" strokecolor="#5f5f5f"/>
            <v:line style="position:absolute" from="4572,1648" to="4586,1648" stroked="true" strokeweight=".634758pt" strokecolor="#5f5f5f"/>
            <v:line style="position:absolute" from="4628,1648" to="4642,1648" stroked="true" strokeweight=".634758pt" strokecolor="#5f5f5f"/>
            <v:line style="position:absolute" from="4683,1648" to="4697,1648" stroked="true" strokeweight=".634758pt" strokecolor="#5f5f5f"/>
            <v:line style="position:absolute" from="4739,1648" to="4753,1648" stroked="true" strokeweight=".634758pt" strokecolor="#5f5f5f"/>
            <v:line style="position:absolute" from="4794,1648" to="4808,1648" stroked="true" strokeweight=".634758pt" strokecolor="#5f5f5f"/>
            <v:line style="position:absolute" from="4850,1648" to="4864,1648" stroked="true" strokeweight=".634758pt" strokecolor="#5f5f5f"/>
            <v:line style="position:absolute" from="4905,1648" to="4919,1648" stroked="true" strokeweight=".634758pt" strokecolor="#5f5f5f"/>
            <v:line style="position:absolute" from="4961,1648" to="4975,1648" stroked="true" strokeweight=".634758pt" strokecolor="#5f5f5f"/>
            <v:line style="position:absolute" from="4434,1709" to="4448,1709" stroked="true" strokeweight=".634758pt" strokecolor="#5f5f5f"/>
            <v:line style="position:absolute" from="4489,1709" to="4503,1709" stroked="true" strokeweight=".634758pt" strokecolor="#5f5f5f"/>
            <v:line style="position:absolute" from="4545,1709" to="4559,1709" stroked="true" strokeweight=".634758pt" strokecolor="#5f5f5f"/>
            <v:line style="position:absolute" from="4600,1709" to="4614,1709" stroked="true" strokeweight=".634758pt" strokecolor="#5f5f5f"/>
            <v:line style="position:absolute" from="4656,1709" to="4669,1709" stroked="true" strokeweight=".634758pt" strokecolor="#5f5f5f"/>
            <v:line style="position:absolute" from="4711,1709" to="4725,1709" stroked="true" strokeweight=".634758pt" strokecolor="#5f5f5f"/>
            <v:line style="position:absolute" from="4767,1709" to="4780,1709" stroked="true" strokeweight=".634758pt" strokecolor="#5f5f5f"/>
            <v:line style="position:absolute" from="4822,1709" to="4836,1709" stroked="true" strokeweight=".634758pt" strokecolor="#5f5f5f"/>
            <v:line style="position:absolute" from="4877,1709" to="4891,1709" stroked="true" strokeweight=".634758pt" strokecolor="#5f5f5f"/>
            <v:line style="position:absolute" from="4933,1709" to="4947,1709" stroked="true" strokeweight=".634758pt" strokecolor="#5f5f5f"/>
            <v:line style="position:absolute" from="4462,1770" to="4475,1770" stroked="true" strokeweight=".634758pt" strokecolor="#5f5f5f"/>
            <v:line style="position:absolute" from="4517,1770" to="4531,1770" stroked="true" strokeweight=".634758pt" strokecolor="#5f5f5f"/>
            <v:line style="position:absolute" from="4572,1770" to="4586,1770" stroked="true" strokeweight=".634758pt" strokecolor="#5f5f5f"/>
            <v:line style="position:absolute" from="4628,1770" to="4642,1770" stroked="true" strokeweight=".634758pt" strokecolor="#5f5f5f"/>
            <v:line style="position:absolute" from="4683,1770" to="4697,1770" stroked="true" strokeweight=".634758pt" strokecolor="#5f5f5f"/>
            <v:line style="position:absolute" from="4739,1770" to="4753,1770" stroked="true" strokeweight=".634758pt" strokecolor="#5f5f5f"/>
            <v:line style="position:absolute" from="4794,1770" to="4808,1770" stroked="true" strokeweight=".634758pt" strokecolor="#5f5f5f"/>
            <v:line style="position:absolute" from="4850,1770" to="4864,1770" stroked="true" strokeweight=".634758pt" strokecolor="#5f5f5f"/>
            <v:line style="position:absolute" from="4905,1770" to="4919,1770" stroked="true" strokeweight=".634758pt" strokecolor="#5f5f5f"/>
            <v:line style="position:absolute" from="4961,1770" to="4975,1770" stroked="true" strokeweight=".634758pt" strokecolor="#5f5f5f"/>
            <v:line style="position:absolute" from="4434,1831" to="4448,1831" stroked="true" strokeweight=".634758pt" strokecolor="#5f5f5f"/>
            <v:line style="position:absolute" from="4489,1831" to="4503,1831" stroked="true" strokeweight=".634758pt" strokecolor="#5f5f5f"/>
            <v:line style="position:absolute" from="4545,1831" to="4559,1831" stroked="true" strokeweight=".634758pt" strokecolor="#5f5f5f"/>
            <v:line style="position:absolute" from="4600,1831" to="4614,1831" stroked="true" strokeweight=".634758pt" strokecolor="#5f5f5f"/>
            <v:line style="position:absolute" from="4656,1831" to="4669,1831" stroked="true" strokeweight=".634758pt" strokecolor="#5f5f5f"/>
            <v:line style="position:absolute" from="4711,1831" to="4725,1831" stroked="true" strokeweight=".634758pt" strokecolor="#5f5f5f"/>
            <v:line style="position:absolute" from="4767,1831" to="4780,1831" stroked="true" strokeweight=".634758pt" strokecolor="#5f5f5f"/>
            <v:line style="position:absolute" from="4822,1831" to="4836,1831" stroked="true" strokeweight=".634758pt" strokecolor="#5f5f5f"/>
            <v:line style="position:absolute" from="4877,1831" to="4891,1831" stroked="true" strokeweight=".634758pt" strokecolor="#5f5f5f"/>
            <v:line style="position:absolute" from="4933,1831" to="4947,1831" stroked="true" strokeweight=".634758pt" strokecolor="#5f5f5f"/>
            <v:line style="position:absolute" from="4462,1892" to="4475,1892" stroked="true" strokeweight=".634758pt" strokecolor="#5f5f5f"/>
            <v:line style="position:absolute" from="4517,1892" to="4531,1892" stroked="true" strokeweight=".634758pt" strokecolor="#5f5f5f"/>
            <v:line style="position:absolute" from="4572,1892" to="4586,1892" stroked="true" strokeweight=".634758pt" strokecolor="#5f5f5f"/>
            <v:line style="position:absolute" from="4628,1892" to="4642,1892" stroked="true" strokeweight=".634758pt" strokecolor="#5f5f5f"/>
            <v:line style="position:absolute" from="4683,1892" to="4697,1892" stroked="true" strokeweight=".634758pt" strokecolor="#5f5f5f"/>
            <v:line style="position:absolute" from="4739,1892" to="4753,1892" stroked="true" strokeweight=".634758pt" strokecolor="#5f5f5f"/>
            <v:line style="position:absolute" from="4794,1892" to="4808,1892" stroked="true" strokeweight=".634758pt" strokecolor="#5f5f5f"/>
            <v:line style="position:absolute" from="4850,1892" to="4864,1892" stroked="true" strokeweight=".634758pt" strokecolor="#5f5f5f"/>
            <v:line style="position:absolute" from="4905,1892" to="4919,1892" stroked="true" strokeweight=".634758pt" strokecolor="#5f5f5f"/>
            <v:line style="position:absolute" from="4961,1892" to="4975,1892" stroked="true" strokeweight=".634758pt" strokecolor="#5f5f5f"/>
            <v:line style="position:absolute" from="4434,1953" to="4448,1953" stroked="true" strokeweight=".634758pt" strokecolor="#5f5f5f"/>
            <v:line style="position:absolute" from="4489,1953" to="4503,1953" stroked="true" strokeweight=".634758pt" strokecolor="#5f5f5f"/>
            <v:line style="position:absolute" from="4545,1953" to="4559,1953" stroked="true" strokeweight=".634758pt" strokecolor="#5f5f5f"/>
            <v:line style="position:absolute" from="4600,1953" to="4614,1953" stroked="true" strokeweight=".634758pt" strokecolor="#5f5f5f"/>
            <v:line style="position:absolute" from="4656,1953" to="4669,1953" stroked="true" strokeweight=".634758pt" strokecolor="#5f5f5f"/>
            <v:line style="position:absolute" from="4711,1953" to="4725,1953" stroked="true" strokeweight=".634758pt" strokecolor="#5f5f5f"/>
            <v:line style="position:absolute" from="4767,1953" to="4780,1953" stroked="true" strokeweight=".634758pt" strokecolor="#5f5f5f"/>
            <v:line style="position:absolute" from="4822,1953" to="4836,1953" stroked="true" strokeweight=".634758pt" strokecolor="#5f5f5f"/>
            <v:line style="position:absolute" from="4877,1953" to="4891,1953" stroked="true" strokeweight=".634758pt" strokecolor="#5f5f5f"/>
            <v:line style="position:absolute" from="4933,1953" to="4947,1953" stroked="true" strokeweight=".634758pt" strokecolor="#5f5f5f"/>
            <v:line style="position:absolute" from="4462,2014" to="4475,2014" stroked="true" strokeweight=".634758pt" strokecolor="#5f5f5f"/>
            <v:line style="position:absolute" from="4517,2014" to="4531,2014" stroked="true" strokeweight=".634758pt" strokecolor="#5f5f5f"/>
            <v:line style="position:absolute" from="4572,2014" to="4586,2014" stroked="true" strokeweight=".634758pt" strokecolor="#5f5f5f"/>
            <v:line style="position:absolute" from="4628,2014" to="4642,2014" stroked="true" strokeweight=".634758pt" strokecolor="#5f5f5f"/>
            <v:line style="position:absolute" from="4683,2014" to="4697,2014" stroked="true" strokeweight=".634758pt" strokecolor="#5f5f5f"/>
            <v:line style="position:absolute" from="4739,2014" to="4753,2014" stroked="true" strokeweight=".634758pt" strokecolor="#5f5f5f"/>
            <v:line style="position:absolute" from="4794,2014" to="4808,2014" stroked="true" strokeweight=".634758pt" strokecolor="#5f5f5f"/>
            <v:line style="position:absolute" from="4850,2014" to="4864,2014" stroked="true" strokeweight=".634758pt" strokecolor="#5f5f5f"/>
            <v:line style="position:absolute" from="4905,2014" to="4919,2014" stroked="true" strokeweight=".634758pt" strokecolor="#5f5f5f"/>
            <v:line style="position:absolute" from="4961,2014" to="4975,2014" stroked="true" strokeweight=".634758pt" strokecolor="#5f5f5f"/>
            <v:line style="position:absolute" from="4434,2075" to="4448,2075" stroked="true" strokeweight=".634758pt" strokecolor="#5f5f5f"/>
            <v:line style="position:absolute" from="4489,2075" to="4503,2075" stroked="true" strokeweight=".634758pt" strokecolor="#5f5f5f"/>
            <v:line style="position:absolute" from="4545,2075" to="4559,2075" stroked="true" strokeweight=".634758pt" strokecolor="#5f5f5f"/>
            <v:line style="position:absolute" from="4600,2075" to="4614,2075" stroked="true" strokeweight=".634758pt" strokecolor="#5f5f5f"/>
            <v:line style="position:absolute" from="4656,2075" to="4669,2075" stroked="true" strokeweight=".634758pt" strokecolor="#5f5f5f"/>
            <v:line style="position:absolute" from="4711,2075" to="4725,2075" stroked="true" strokeweight=".634758pt" strokecolor="#5f5f5f"/>
            <v:line style="position:absolute" from="4767,2075" to="4780,2075" stroked="true" strokeweight=".634758pt" strokecolor="#5f5f5f"/>
            <v:line style="position:absolute" from="4822,2075" to="4836,2075" stroked="true" strokeweight=".634758pt" strokecolor="#5f5f5f"/>
            <v:line style="position:absolute" from="4877,2075" to="4891,2075" stroked="true" strokeweight=".634758pt" strokecolor="#5f5f5f"/>
            <v:line style="position:absolute" from="4933,2075" to="4947,2075" stroked="true" strokeweight=".634758pt" strokecolor="#5f5f5f"/>
            <v:line style="position:absolute" from="4462,2136" to="4475,2136" stroked="true" strokeweight=".634758pt" strokecolor="#5f5f5f"/>
            <v:line style="position:absolute" from="4517,2136" to="4531,2136" stroked="true" strokeweight=".634758pt" strokecolor="#5f5f5f"/>
            <v:line style="position:absolute" from="4572,2136" to="4586,2136" stroked="true" strokeweight=".634758pt" strokecolor="#5f5f5f"/>
            <v:line style="position:absolute" from="4628,2136" to="4642,2136" stroked="true" strokeweight=".634758pt" strokecolor="#5f5f5f"/>
            <v:line style="position:absolute" from="4683,2136" to="4697,2136" stroked="true" strokeweight=".634758pt" strokecolor="#5f5f5f"/>
            <v:line style="position:absolute" from="4739,2136" to="4753,2136" stroked="true" strokeweight=".634758pt" strokecolor="#5f5f5f"/>
            <v:line style="position:absolute" from="4794,2136" to="4808,2136" stroked="true" strokeweight=".634758pt" strokecolor="#5f5f5f"/>
            <v:line style="position:absolute" from="4850,2136" to="4864,2136" stroked="true" strokeweight=".634758pt" strokecolor="#5f5f5f"/>
            <v:line style="position:absolute" from="4905,2136" to="4919,2136" stroked="true" strokeweight=".634758pt" strokecolor="#5f5f5f"/>
            <v:line style="position:absolute" from="4961,2136" to="4975,2136" stroked="true" strokeweight=".634758pt" strokecolor="#5f5f5f"/>
            <v:line style="position:absolute" from="4434,2197" to="4448,2197" stroked="true" strokeweight=".634758pt" strokecolor="#5f5f5f"/>
            <v:line style="position:absolute" from="4489,2197" to="4503,2197" stroked="true" strokeweight=".634758pt" strokecolor="#5f5f5f"/>
            <v:line style="position:absolute" from="4545,2197" to="4559,2197" stroked="true" strokeweight=".634758pt" strokecolor="#5f5f5f"/>
            <v:line style="position:absolute" from="4600,2197" to="4614,2197" stroked="true" strokeweight=".634758pt" strokecolor="#5f5f5f"/>
            <v:line style="position:absolute" from="4656,2197" to="4669,2197" stroked="true" strokeweight=".634758pt" strokecolor="#5f5f5f"/>
            <v:line style="position:absolute" from="4711,2197" to="4725,2197" stroked="true" strokeweight=".634758pt" strokecolor="#5f5f5f"/>
            <v:line style="position:absolute" from="4767,2197" to="4780,2197" stroked="true" strokeweight=".634758pt" strokecolor="#5f5f5f"/>
            <v:line style="position:absolute" from="4822,2197" to="4836,2197" stroked="true" strokeweight=".634758pt" strokecolor="#5f5f5f"/>
            <v:line style="position:absolute" from="4877,2197" to="4891,2197" stroked="true" strokeweight=".634758pt" strokecolor="#5f5f5f"/>
            <v:line style="position:absolute" from="4933,2197" to="4947,2197" stroked="true" strokeweight=".634758pt" strokecolor="#5f5f5f"/>
            <v:line style="position:absolute" from="4462,2258" to="4475,2258" stroked="true" strokeweight=".634758pt" strokecolor="#5f5f5f"/>
            <v:line style="position:absolute" from="4517,2258" to="4531,2258" stroked="true" strokeweight=".634758pt" strokecolor="#5f5f5f"/>
            <v:line style="position:absolute" from="4572,2258" to="4586,2258" stroked="true" strokeweight=".634758pt" strokecolor="#5f5f5f"/>
            <v:line style="position:absolute" from="4628,2258" to="4642,2258" stroked="true" strokeweight=".634758pt" strokecolor="#5f5f5f"/>
            <v:line style="position:absolute" from="4683,2258" to="4697,2258" stroked="true" strokeweight=".634758pt" strokecolor="#5f5f5f"/>
            <v:line style="position:absolute" from="4739,2258" to="4753,2258" stroked="true" strokeweight=".634758pt" strokecolor="#5f5f5f"/>
            <v:line style="position:absolute" from="4794,2258" to="4808,2258" stroked="true" strokeweight=".634758pt" strokecolor="#5f5f5f"/>
            <v:line style="position:absolute" from="4850,2258" to="4864,2258" stroked="true" strokeweight=".634758pt" strokecolor="#5f5f5f"/>
            <v:line style="position:absolute" from="4905,2258" to="4919,2258" stroked="true" strokeweight=".634758pt" strokecolor="#5f5f5f"/>
            <v:line style="position:absolute" from="4961,2258" to="4975,2258" stroked="true" strokeweight=".634758pt" strokecolor="#5f5f5f"/>
            <v:line style="position:absolute" from="4434,2319" to="4448,2319" stroked="true" strokeweight=".634758pt" strokecolor="#5f5f5f"/>
            <v:line style="position:absolute" from="4489,2319" to="4503,2319" stroked="true" strokeweight=".634758pt" strokecolor="#5f5f5f"/>
            <v:line style="position:absolute" from="4545,2319" to="4559,2319" stroked="true" strokeweight=".634758pt" strokecolor="#5f5f5f"/>
            <v:line style="position:absolute" from="4600,2319" to="4614,2319" stroked="true" strokeweight=".634758pt" strokecolor="#5f5f5f"/>
            <v:line style="position:absolute" from="4656,2319" to="4669,2319" stroked="true" strokeweight=".634758pt" strokecolor="#5f5f5f"/>
            <v:line style="position:absolute" from="4711,2319" to="4725,2319" stroked="true" strokeweight=".634758pt" strokecolor="#5f5f5f"/>
            <v:line style="position:absolute" from="4767,2319" to="4780,2319" stroked="true" strokeweight=".634758pt" strokecolor="#5f5f5f"/>
            <v:line style="position:absolute" from="4822,2319" to="4836,2319" stroked="true" strokeweight=".634758pt" strokecolor="#5f5f5f"/>
            <v:line style="position:absolute" from="4877,2319" to="4891,2319" stroked="true" strokeweight=".634758pt" strokecolor="#5f5f5f"/>
            <v:line style="position:absolute" from="4933,2319" to="4947,2319" stroked="true" strokeweight=".634758pt" strokecolor="#5f5f5f"/>
            <v:line style="position:absolute" from="4462,2380" to="4475,2380" stroked="true" strokeweight=".634758pt" strokecolor="#5f5f5f"/>
            <v:line style="position:absolute" from="4517,2380" to="4531,2380" stroked="true" strokeweight=".634758pt" strokecolor="#5f5f5f"/>
            <v:line style="position:absolute" from="4572,2380" to="4586,2380" stroked="true" strokeweight=".634758pt" strokecolor="#5f5f5f"/>
            <v:line style="position:absolute" from="4628,2380" to="4642,2380" stroked="true" strokeweight=".634758pt" strokecolor="#5f5f5f"/>
            <v:line style="position:absolute" from="4683,2380" to="4697,2380" stroked="true" strokeweight=".634758pt" strokecolor="#5f5f5f"/>
            <v:line style="position:absolute" from="4739,2380" to="4753,2380" stroked="true" strokeweight=".634758pt" strokecolor="#5f5f5f"/>
            <v:line style="position:absolute" from="4794,2380" to="4808,2380" stroked="true" strokeweight=".634758pt" strokecolor="#5f5f5f"/>
            <v:line style="position:absolute" from="4850,2380" to="4864,2380" stroked="true" strokeweight=".634758pt" strokecolor="#5f5f5f"/>
            <v:line style="position:absolute" from="4905,2380" to="4919,2380" stroked="true" strokeweight=".634758pt" strokecolor="#5f5f5f"/>
            <v:line style="position:absolute" from="4961,2380" to="4975,2380" stroked="true" strokeweight=".634758pt" strokecolor="#5f5f5f"/>
            <v:line style="position:absolute" from="4434,2441" to="4448,2441" stroked="true" strokeweight=".634758pt" strokecolor="#5f5f5f"/>
            <v:line style="position:absolute" from="4489,2441" to="4503,2441" stroked="true" strokeweight=".634758pt" strokecolor="#5f5f5f"/>
            <v:line style="position:absolute" from="4545,2441" to="4559,2441" stroked="true" strokeweight=".634758pt" strokecolor="#5f5f5f"/>
            <v:line style="position:absolute" from="4600,2441" to="4614,2441" stroked="true" strokeweight=".634758pt" strokecolor="#5f5f5f"/>
            <v:line style="position:absolute" from="4656,2441" to="4669,2441" stroked="true" strokeweight=".634758pt" strokecolor="#5f5f5f"/>
            <v:line style="position:absolute" from="4711,2441" to="4725,2441" stroked="true" strokeweight=".634758pt" strokecolor="#5f5f5f"/>
            <v:line style="position:absolute" from="4767,2441" to="4780,2441" stroked="true" strokeweight=".634758pt" strokecolor="#5f5f5f"/>
            <v:line style="position:absolute" from="4822,2441" to="4836,2441" stroked="true" strokeweight=".634758pt" strokecolor="#5f5f5f"/>
            <v:line style="position:absolute" from="4877,2441" to="4891,2441" stroked="true" strokeweight=".634758pt" strokecolor="#5f5f5f"/>
            <v:line style="position:absolute" from="4933,2441" to="4947,2441" stroked="true" strokeweight=".634758pt" strokecolor="#5f5f5f"/>
            <v:line style="position:absolute" from="4462,2502" to="4475,2502" stroked="true" strokeweight=".634758pt" strokecolor="#5f5f5f"/>
            <v:line style="position:absolute" from="4517,2502" to="4531,2502" stroked="true" strokeweight=".634758pt" strokecolor="#5f5f5f"/>
            <v:line style="position:absolute" from="4572,2502" to="4586,2502" stroked="true" strokeweight=".634758pt" strokecolor="#5f5f5f"/>
            <v:line style="position:absolute" from="4628,2502" to="4642,2502" stroked="true" strokeweight=".634758pt" strokecolor="#5f5f5f"/>
            <v:line style="position:absolute" from="4683,2502" to="4697,2502" stroked="true" strokeweight=".634758pt" strokecolor="#5f5f5f"/>
            <v:line style="position:absolute" from="4739,2502" to="4753,2502" stroked="true" strokeweight=".634758pt" strokecolor="#5f5f5f"/>
            <v:line style="position:absolute" from="4794,2502" to="4808,2502" stroked="true" strokeweight=".634758pt" strokecolor="#5f5f5f"/>
            <v:line style="position:absolute" from="4850,2502" to="4864,2502" stroked="true" strokeweight=".634758pt" strokecolor="#5f5f5f"/>
            <v:line style="position:absolute" from="4905,2502" to="4919,2502" stroked="true" strokeweight=".634758pt" strokecolor="#5f5f5f"/>
            <v:line style="position:absolute" from="4961,2502" to="4975,2502" stroked="true" strokeweight=".634758pt" strokecolor="#5f5f5f"/>
            <v:line style="position:absolute" from="4434,2562" to="4448,2562" stroked="true" strokeweight=".634758pt" strokecolor="#5f5f5f"/>
            <v:line style="position:absolute" from="4489,2562" to="4503,2562" stroked="true" strokeweight=".634758pt" strokecolor="#5f5f5f"/>
            <v:line style="position:absolute" from="4545,2562" to="4559,2562" stroked="true" strokeweight=".634758pt" strokecolor="#5f5f5f"/>
            <v:line style="position:absolute" from="4600,2562" to="4614,2562" stroked="true" strokeweight=".634758pt" strokecolor="#5f5f5f"/>
            <v:line style="position:absolute" from="4656,2562" to="4669,2562" stroked="true" strokeweight=".634758pt" strokecolor="#5f5f5f"/>
            <v:line style="position:absolute" from="4711,2562" to="4725,2562" stroked="true" strokeweight=".634758pt" strokecolor="#5f5f5f"/>
            <v:line style="position:absolute" from="4767,2562" to="4780,2562" stroked="true" strokeweight=".634758pt" strokecolor="#5f5f5f"/>
            <v:line style="position:absolute" from="4822,2562" to="4836,2562" stroked="true" strokeweight=".634758pt" strokecolor="#5f5f5f"/>
            <v:line style="position:absolute" from="4877,2562" to="4891,2562" stroked="true" strokeweight=".634758pt" strokecolor="#5f5f5f"/>
            <v:line style="position:absolute" from="4933,2562" to="4947,2562" stroked="true" strokeweight=".634758pt" strokecolor="#5f5f5f"/>
            <v:line style="position:absolute" from="4462,2623" to="4475,2623" stroked="true" strokeweight=".634758pt" strokecolor="#5f5f5f"/>
            <v:line style="position:absolute" from="4517,2623" to="4531,2623" stroked="true" strokeweight=".634758pt" strokecolor="#5f5f5f"/>
            <v:line style="position:absolute" from="4572,2623" to="4586,2623" stroked="true" strokeweight=".634758pt" strokecolor="#5f5f5f"/>
            <v:line style="position:absolute" from="4628,2623" to="4642,2623" stroked="true" strokeweight=".634758pt" strokecolor="#5f5f5f"/>
            <v:line style="position:absolute" from="4683,2623" to="4697,2623" stroked="true" strokeweight=".634758pt" strokecolor="#5f5f5f"/>
            <v:line style="position:absolute" from="4739,2623" to="4753,2623" stroked="true" strokeweight=".634758pt" strokecolor="#5f5f5f"/>
            <v:line style="position:absolute" from="4794,2623" to="4808,2623" stroked="true" strokeweight=".634758pt" strokecolor="#5f5f5f"/>
            <v:line style="position:absolute" from="4850,2623" to="4864,2623" stroked="true" strokeweight=".634758pt" strokecolor="#5f5f5f"/>
            <v:line style="position:absolute" from="4905,2623" to="4919,2623" stroked="true" strokeweight=".634758pt" strokecolor="#5f5f5f"/>
            <v:line style="position:absolute" from="4961,2623" to="4975,2623" stroked="true" strokeweight=".634758pt" strokecolor="#5f5f5f"/>
            <v:line style="position:absolute" from="4434,2685" to="4448,2685" stroked="true" strokeweight=".634758pt" strokecolor="#5f5f5f"/>
            <v:line style="position:absolute" from="4489,2685" to="4503,2685" stroked="true" strokeweight=".634758pt" strokecolor="#5f5f5f"/>
            <v:line style="position:absolute" from="4545,2685" to="4559,2685" stroked="true" strokeweight=".634758pt" strokecolor="#5f5f5f"/>
            <v:line style="position:absolute" from="4600,2685" to="4614,2685" stroked="true" strokeweight=".634758pt" strokecolor="#5f5f5f"/>
            <v:line style="position:absolute" from="4656,2685" to="4669,2685" stroked="true" strokeweight=".634758pt" strokecolor="#5f5f5f"/>
            <v:line style="position:absolute" from="4711,2685" to="4725,2685" stroked="true" strokeweight=".634758pt" strokecolor="#5f5f5f"/>
            <v:line style="position:absolute" from="4767,2685" to="4780,2685" stroked="true" strokeweight=".634758pt" strokecolor="#5f5f5f"/>
            <v:line style="position:absolute" from="4822,2685" to="4836,2685" stroked="true" strokeweight=".634758pt" strokecolor="#5f5f5f"/>
            <v:line style="position:absolute" from="4877,2685" to="4891,2685" stroked="true" strokeweight=".634758pt" strokecolor="#5f5f5f"/>
            <v:line style="position:absolute" from="4933,2685" to="4947,2685" stroked="true" strokeweight=".634758pt" strokecolor="#5f5f5f"/>
            <v:line style="position:absolute" from="4462,2746" to="4475,2746" stroked="true" strokeweight=".634758pt" strokecolor="#5f5f5f"/>
            <v:line style="position:absolute" from="4517,2746" to="4531,2746" stroked="true" strokeweight=".634758pt" strokecolor="#5f5f5f"/>
            <v:line style="position:absolute" from="4572,2746" to="4586,2746" stroked="true" strokeweight=".634758pt" strokecolor="#5f5f5f"/>
            <v:line style="position:absolute" from="4628,2746" to="4642,2746" stroked="true" strokeweight=".634758pt" strokecolor="#5f5f5f"/>
            <v:line style="position:absolute" from="4683,2746" to="4697,2746" stroked="true" strokeweight=".634758pt" strokecolor="#5f5f5f"/>
            <v:line style="position:absolute" from="4739,2746" to="4753,2746" stroked="true" strokeweight=".634758pt" strokecolor="#5f5f5f"/>
            <v:line style="position:absolute" from="4794,2746" to="4808,2746" stroked="true" strokeweight=".634758pt" strokecolor="#5f5f5f"/>
            <v:line style="position:absolute" from="4850,2746" to="4864,2746" stroked="true" strokeweight=".634758pt" strokecolor="#5f5f5f"/>
            <v:line style="position:absolute" from="4905,2746" to="4919,2746" stroked="true" strokeweight=".634758pt" strokecolor="#5f5f5f"/>
            <v:line style="position:absolute" from="4961,2746" to="4975,2746" stroked="true" strokeweight=".634758pt" strokecolor="#5f5f5f"/>
            <v:line style="position:absolute" from="4434,2807" to="4448,2807" stroked="true" strokeweight=".634758pt" strokecolor="#5f5f5f"/>
            <v:line style="position:absolute" from="4489,2807" to="4503,2807" stroked="true" strokeweight=".634758pt" strokecolor="#5f5f5f"/>
            <v:line style="position:absolute" from="4545,2807" to="4559,2807" stroked="true" strokeweight=".634758pt" strokecolor="#5f5f5f"/>
            <v:line style="position:absolute" from="4600,2807" to="4614,2807" stroked="true" strokeweight=".634758pt" strokecolor="#5f5f5f"/>
            <v:line style="position:absolute" from="4656,2807" to="4669,2807" stroked="true" strokeweight=".634758pt" strokecolor="#5f5f5f"/>
            <v:line style="position:absolute" from="4711,2807" to="4725,2807" stroked="true" strokeweight=".634758pt" strokecolor="#5f5f5f"/>
            <v:line style="position:absolute" from="4767,2807" to="4780,2807" stroked="true" strokeweight=".634758pt" strokecolor="#5f5f5f"/>
            <v:line style="position:absolute" from="4822,2807" to="4836,2807" stroked="true" strokeweight=".634758pt" strokecolor="#5f5f5f"/>
            <v:line style="position:absolute" from="4877,2807" to="4891,2807" stroked="true" strokeweight=".634758pt" strokecolor="#5f5f5f"/>
            <v:line style="position:absolute" from="4933,2807" to="4947,2807" stroked="true" strokeweight=".634758pt" strokecolor="#5f5f5f"/>
            <v:line style="position:absolute" from="4462,2868" to="4475,2868" stroked="true" strokeweight=".634748pt" strokecolor="#5f5f5f"/>
            <v:line style="position:absolute" from="4517,2868" to="4531,2868" stroked="true" strokeweight=".634748pt" strokecolor="#5f5f5f"/>
            <v:line style="position:absolute" from="4572,2868" to="4586,2868" stroked="true" strokeweight=".634748pt" strokecolor="#5f5f5f"/>
            <v:line style="position:absolute" from="4628,2868" to="4642,2868" stroked="true" strokeweight=".634748pt" strokecolor="#5f5f5f"/>
            <v:line style="position:absolute" from="4683,2868" to="4697,2868" stroked="true" strokeweight=".634748pt" strokecolor="#5f5f5f"/>
            <v:line style="position:absolute" from="4739,2868" to="4753,2868" stroked="true" strokeweight=".634748pt" strokecolor="#5f5f5f"/>
            <v:line style="position:absolute" from="4794,2868" to="4808,2868" stroked="true" strokeweight=".634748pt" strokecolor="#5f5f5f"/>
            <v:line style="position:absolute" from="4850,2868" to="4864,2868" stroked="true" strokeweight=".634748pt" strokecolor="#5f5f5f"/>
            <v:line style="position:absolute" from="4905,2868" to="4919,2868" stroked="true" strokeweight=".634748pt" strokecolor="#5f5f5f"/>
            <v:line style="position:absolute" from="4961,2868" to="4975,2868" stroked="true" strokeweight=".634748pt" strokecolor="#5f5f5f"/>
            <v:line style="position:absolute" from="4434,2929" to="4448,2929" stroked="true" strokeweight=".634758pt" strokecolor="#5f5f5f"/>
            <v:line style="position:absolute" from="4489,2929" to="4503,2929" stroked="true" strokeweight=".634758pt" strokecolor="#5f5f5f"/>
            <v:line style="position:absolute" from="4545,2929" to="4559,2929" stroked="true" strokeweight=".634758pt" strokecolor="#5f5f5f"/>
            <v:line style="position:absolute" from="4600,2929" to="4614,2929" stroked="true" strokeweight=".634758pt" strokecolor="#5f5f5f"/>
            <v:line style="position:absolute" from="4656,2929" to="4669,2929" stroked="true" strokeweight=".634758pt" strokecolor="#5f5f5f"/>
            <v:line style="position:absolute" from="4711,2929" to="4725,2929" stroked="true" strokeweight=".634758pt" strokecolor="#5f5f5f"/>
            <v:line style="position:absolute" from="4767,2929" to="4780,2929" stroked="true" strokeweight=".634758pt" strokecolor="#5f5f5f"/>
            <v:line style="position:absolute" from="4822,2929" to="4836,2929" stroked="true" strokeweight=".634758pt" strokecolor="#5f5f5f"/>
            <v:line style="position:absolute" from="4877,2929" to="4891,2929" stroked="true" strokeweight=".634758pt" strokecolor="#5f5f5f"/>
            <v:line style="position:absolute" from="4933,2929" to="4947,2929" stroked="true" strokeweight=".634758pt" strokecolor="#5f5f5f"/>
            <v:line style="position:absolute" from="4462,2990" to="4475,2990" stroked="true" strokeweight=".634758pt" strokecolor="#5f5f5f"/>
            <v:line style="position:absolute" from="4517,2990" to="4531,2990" stroked="true" strokeweight=".634758pt" strokecolor="#5f5f5f"/>
            <v:line style="position:absolute" from="4572,2990" to="4586,2990" stroked="true" strokeweight=".634758pt" strokecolor="#5f5f5f"/>
            <v:line style="position:absolute" from="4628,2990" to="4642,2990" stroked="true" strokeweight=".634758pt" strokecolor="#5f5f5f"/>
            <v:line style="position:absolute" from="4683,2990" to="4697,2990" stroked="true" strokeweight=".634758pt" strokecolor="#5f5f5f"/>
            <v:line style="position:absolute" from="4739,2990" to="4753,2990" stroked="true" strokeweight=".634758pt" strokecolor="#5f5f5f"/>
            <v:line style="position:absolute" from="4794,2990" to="4808,2990" stroked="true" strokeweight=".634758pt" strokecolor="#5f5f5f"/>
            <v:line style="position:absolute" from="4850,2990" to="4864,2990" stroked="true" strokeweight=".634758pt" strokecolor="#5f5f5f"/>
            <v:line style="position:absolute" from="4905,2990" to="4919,2990" stroked="true" strokeweight=".634758pt" strokecolor="#5f5f5f"/>
            <v:line style="position:absolute" from="4961,2990" to="4975,2990" stroked="true" strokeweight=".634758pt" strokecolor="#5f5f5f"/>
            <v:line style="position:absolute" from="4434,3050" to="4448,3050" stroked="true" strokeweight=".634758pt" strokecolor="#5f5f5f"/>
            <v:line style="position:absolute" from="4489,3050" to="4503,3050" stroked="true" strokeweight=".634758pt" strokecolor="#5f5f5f"/>
            <v:line style="position:absolute" from="4545,3050" to="4559,3050" stroked="true" strokeweight=".634758pt" strokecolor="#5f5f5f"/>
            <v:line style="position:absolute" from="4600,3050" to="4614,3050" stroked="true" strokeweight=".634758pt" strokecolor="#5f5f5f"/>
            <v:line style="position:absolute" from="4656,3050" to="4669,3050" stroked="true" strokeweight=".634758pt" strokecolor="#5f5f5f"/>
            <v:line style="position:absolute" from="4711,3050" to="4725,3050" stroked="true" strokeweight=".634758pt" strokecolor="#5f5f5f"/>
            <v:line style="position:absolute" from="4767,3050" to="4780,3050" stroked="true" strokeweight=".634758pt" strokecolor="#5f5f5f"/>
            <v:line style="position:absolute" from="4822,3050" to="4836,3050" stroked="true" strokeweight=".634758pt" strokecolor="#5f5f5f"/>
            <v:line style="position:absolute" from="4877,3050" to="4891,3050" stroked="true" strokeweight=".634758pt" strokecolor="#5f5f5f"/>
            <v:line style="position:absolute" from="4933,3050" to="4947,3050" stroked="true" strokeweight=".634758pt" strokecolor="#5f5f5f"/>
            <v:line style="position:absolute" from="4462,3111" to="4475,3111" stroked="true" strokeweight=".634758pt" strokecolor="#5f5f5f"/>
            <v:line style="position:absolute" from="4517,3111" to="4531,3111" stroked="true" strokeweight=".634758pt" strokecolor="#5f5f5f"/>
            <v:line style="position:absolute" from="4572,3111" to="4586,3111" stroked="true" strokeweight=".634758pt" strokecolor="#5f5f5f"/>
            <v:line style="position:absolute" from="4628,3111" to="4642,3111" stroked="true" strokeweight=".634758pt" strokecolor="#5f5f5f"/>
            <v:line style="position:absolute" from="4683,3111" to="4697,3111" stroked="true" strokeweight=".634758pt" strokecolor="#5f5f5f"/>
            <v:line style="position:absolute" from="4739,3111" to="4753,3111" stroked="true" strokeweight=".634758pt" strokecolor="#5f5f5f"/>
            <v:line style="position:absolute" from="4794,3111" to="4808,3111" stroked="true" strokeweight=".634758pt" strokecolor="#5f5f5f"/>
            <v:line style="position:absolute" from="4850,3111" to="4864,3111" stroked="true" strokeweight=".634758pt" strokecolor="#5f5f5f"/>
            <v:line style="position:absolute" from="4905,3111" to="4919,3111" stroked="true" strokeweight=".634758pt" strokecolor="#5f5f5f"/>
            <v:line style="position:absolute" from="4961,3111" to="4975,3111" stroked="true" strokeweight=".634758pt" strokecolor="#5f5f5f"/>
            <v:line style="position:absolute" from="4434,3172" to="4448,3172" stroked="true" strokeweight=".634758pt" strokecolor="#5f5f5f"/>
            <v:line style="position:absolute" from="4489,3172" to="4503,3172" stroked="true" strokeweight=".634758pt" strokecolor="#5f5f5f"/>
            <v:line style="position:absolute" from="4545,3172" to="4559,3172" stroked="true" strokeweight=".634758pt" strokecolor="#5f5f5f"/>
            <v:line style="position:absolute" from="4600,3172" to="4614,3172" stroked="true" strokeweight=".634758pt" strokecolor="#5f5f5f"/>
            <v:line style="position:absolute" from="4656,3172" to="4669,3172" stroked="true" strokeweight=".634758pt" strokecolor="#5f5f5f"/>
            <v:line style="position:absolute" from="4711,3172" to="4725,3172" stroked="true" strokeweight=".634758pt" strokecolor="#5f5f5f"/>
            <v:line style="position:absolute" from="4767,3172" to="4780,3172" stroked="true" strokeweight=".634758pt" strokecolor="#5f5f5f"/>
            <v:line style="position:absolute" from="4822,3172" to="4836,3172" stroked="true" strokeweight=".634758pt" strokecolor="#5f5f5f"/>
            <v:line style="position:absolute" from="4877,3172" to="4891,3172" stroked="true" strokeweight=".634758pt" strokecolor="#5f5f5f"/>
            <v:line style="position:absolute" from="4933,3172" to="4947,3172" stroked="true" strokeweight=".634758pt" strokecolor="#5f5f5f"/>
            <v:line style="position:absolute" from="4462,3233" to="4475,3233" stroked="true" strokeweight=".634758pt" strokecolor="#5f5f5f"/>
            <v:line style="position:absolute" from="4517,3233" to="4531,3233" stroked="true" strokeweight=".634758pt" strokecolor="#5f5f5f"/>
            <v:line style="position:absolute" from="4572,3233" to="4586,3233" stroked="true" strokeweight=".634758pt" strokecolor="#5f5f5f"/>
            <v:line style="position:absolute" from="4628,3233" to="4642,3233" stroked="true" strokeweight=".634758pt" strokecolor="#5f5f5f"/>
            <v:line style="position:absolute" from="4683,3233" to="4697,3233" stroked="true" strokeweight=".634758pt" strokecolor="#5f5f5f"/>
            <v:line style="position:absolute" from="4739,3233" to="4753,3233" stroked="true" strokeweight=".634758pt" strokecolor="#5f5f5f"/>
            <v:line style="position:absolute" from="4794,3233" to="4808,3233" stroked="true" strokeweight=".634758pt" strokecolor="#5f5f5f"/>
            <v:line style="position:absolute" from="4850,3233" to="4864,3233" stroked="true" strokeweight=".634758pt" strokecolor="#5f5f5f"/>
            <v:line style="position:absolute" from="4905,3233" to="4919,3233" stroked="true" strokeweight=".634758pt" strokecolor="#5f5f5f"/>
            <v:line style="position:absolute" from="4961,3233" to="4975,3233" stroked="true" strokeweight=".634758pt" strokecolor="#5f5f5f"/>
            <v:shape style="position:absolute;left:2824;top:10968;width:571;height:1885" coordorigin="2824,10968" coordsize="571,1885" path="m4434,3250l4434,3250,4434,1276,4986,1276,4986,3250m4572,1251l4850,1251,4572,1251e" filled="false" stroked="true" strokeweight="2.17991pt" strokecolor="#5f5f5f">
              <v:path arrowok="t"/>
            </v:shape>
            <v:line style="position:absolute" from="4690,1263" to="4732,1263" stroked="true" strokeweight="1.26243pt" strokecolor="#5f5f5f"/>
            <v:line style="position:absolute" from="5321,2738" to="5377,2738" stroked="true" strokeweight="2.919927pt" strokecolor="#000000"/>
            <v:line style="position:absolute" from="5432,2738" to="5488,2738" stroked="true" strokeweight="2.919927pt" strokecolor="#000000"/>
            <v:line style="position:absolute" from="5543,2738" to="5598,2738" stroked="true" strokeweight="2.919927pt" strokecolor="#000000"/>
            <v:line style="position:absolute" from="5654,2738" to="5709,2738" stroked="true" strokeweight="2.919927pt" strokecolor="#000000"/>
            <v:line style="position:absolute" from="5765,2738" to="5820,2738" stroked="true" strokeweight="2.919927pt" strokecolor="#000000"/>
            <v:line style="position:absolute" from="5266,2799" to="5321,2799" stroked="true" strokeweight="2.919927pt" strokecolor="#000000"/>
            <v:line style="position:absolute" from="5377,2799" to="5432,2799" stroked="true" strokeweight="2.919927pt" strokecolor="#000000"/>
            <v:line style="position:absolute" from="5488,2799" to="5543,2799" stroked="true" strokeweight="2.919927pt" strokecolor="#000000"/>
            <v:line style="position:absolute" from="5599,2799" to="5654,2799" stroked="true" strokeweight="2.919927pt" strokecolor="#000000"/>
            <v:line style="position:absolute" from="5709,2799" to="5765,2799" stroked="true" strokeweight="2.919927pt" strokecolor="#000000"/>
            <v:line style="position:absolute" from="5321,2860" to="5377,2860" stroked="true" strokeweight="2.919927pt" strokecolor="#000000"/>
            <v:line style="position:absolute" from="5432,2860" to="5488,2860" stroked="true" strokeweight="2.919927pt" strokecolor="#000000"/>
            <v:line style="position:absolute" from="5543,2860" to="5598,2860" stroked="true" strokeweight="2.919927pt" strokecolor="#000000"/>
            <v:line style="position:absolute" from="5654,2860" to="5709,2860" stroked="true" strokeweight="2.919927pt" strokecolor="#000000"/>
            <v:line style="position:absolute" from="5765,2860" to="5820,2860" stroked="true" strokeweight="2.919927pt" strokecolor="#000000"/>
            <v:line style="position:absolute" from="5266,2921" to="5321,2921" stroked="true" strokeweight="2.919927pt" strokecolor="#000000"/>
            <v:line style="position:absolute" from="5377,2921" to="5432,2921" stroked="true" strokeweight="2.919927pt" strokecolor="#000000"/>
            <v:line style="position:absolute" from="5488,2921" to="5543,2921" stroked="true" strokeweight="2.919927pt" strokecolor="#000000"/>
            <v:line style="position:absolute" from="5599,2921" to="5654,2921" stroked="true" strokeweight="2.919927pt" strokecolor="#000000"/>
            <v:line style="position:absolute" from="5709,2921" to="5765,2921" stroked="true" strokeweight="2.919927pt" strokecolor="#000000"/>
            <v:line style="position:absolute" from="5321,2982" to="5377,2982" stroked="true" strokeweight="2.919927pt" strokecolor="#000000"/>
            <v:line style="position:absolute" from="5432,2982" to="5488,2982" stroked="true" strokeweight="2.919927pt" strokecolor="#000000"/>
            <v:line style="position:absolute" from="5543,2982" to="5598,2982" stroked="true" strokeweight="2.919927pt" strokecolor="#000000"/>
            <v:line style="position:absolute" from="5654,2982" to="5709,2982" stroked="true" strokeweight="2.919927pt" strokecolor="#000000"/>
            <v:line style="position:absolute" from="5765,2982" to="5820,2982" stroked="true" strokeweight="2.919927pt" strokecolor="#000000"/>
            <v:line style="position:absolute" from="5266,3043" to="5321,3043" stroked="true" strokeweight="2.919927pt" strokecolor="#000000"/>
            <v:line style="position:absolute" from="5377,3043" to="5432,3043" stroked="true" strokeweight="2.919927pt" strokecolor="#000000"/>
            <v:line style="position:absolute" from="5488,3043" to="5543,3043" stroked="true" strokeweight="2.919927pt" strokecolor="#000000"/>
            <v:line style="position:absolute" from="5599,3043" to="5654,3043" stroked="true" strokeweight="2.919927pt" strokecolor="#000000"/>
            <v:line style="position:absolute" from="5709,3043" to="5765,3043" stroked="true" strokeweight="2.919927pt" strokecolor="#000000"/>
            <v:line style="position:absolute" from="5321,3104" to="5377,3104" stroked="true" strokeweight="2.919927pt" strokecolor="#000000"/>
            <v:line style="position:absolute" from="5432,3104" to="5488,3104" stroked="true" strokeweight="2.919927pt" strokecolor="#000000"/>
            <v:line style="position:absolute" from="5543,3104" to="5598,3104" stroked="true" strokeweight="2.919927pt" strokecolor="#000000"/>
            <v:line style="position:absolute" from="5654,3104" to="5709,3104" stroked="true" strokeweight="2.919927pt" strokecolor="#000000"/>
            <v:line style="position:absolute" from="5765,3104" to="5820,3104" stroked="true" strokeweight="2.919927pt" strokecolor="#000000"/>
            <v:line style="position:absolute" from="5266,3165" to="5321,3165" stroked="true" strokeweight="2.919927pt" strokecolor="#000000"/>
            <v:line style="position:absolute" from="5377,3165" to="5432,3165" stroked="true" strokeweight="2.919927pt" strokecolor="#000000"/>
            <v:line style="position:absolute" from="5488,3165" to="5543,3165" stroked="true" strokeweight="2.919927pt" strokecolor="#000000"/>
            <v:line style="position:absolute" from="5599,3165" to="5654,3165" stroked="true" strokeweight="2.919927pt" strokecolor="#000000"/>
            <v:line style="position:absolute" from="5709,3165" to="5765,3165" stroked="true" strokeweight="2.919927pt" strokecolor="#000000"/>
            <v:line style="position:absolute" from="5321,3226" to="5377,3226" stroked="true" strokeweight="2.919927pt" strokecolor="#000000"/>
            <v:line style="position:absolute" from="5432,3226" to="5488,3226" stroked="true" strokeweight="2.919927pt" strokecolor="#000000"/>
            <v:line style="position:absolute" from="5543,3226" to="5598,3226" stroked="true" strokeweight="2.919927pt" strokecolor="#000000"/>
            <v:line style="position:absolute" from="5654,3226" to="5709,3226" stroked="true" strokeweight="2.919927pt" strokecolor="#000000"/>
            <v:line style="position:absolute" from="5765,3226" to="5820,3226" stroked="true" strokeweight="2.919927pt" strokecolor="#000000"/>
            <v:shape style="position:absolute;left:3683;top:12309;width:571;height:544" coordorigin="3683,12309" coordsize="571,544" path="m5266,3250l5266,3250,5266,2709,5818,2709,5818,3250m5404,2673l5682,2673,5404,2673e" filled="false" stroked="true" strokeweight="2.17991pt" strokecolor="#000000">
              <v:path arrowok="t"/>
            </v:shape>
            <v:line style="position:absolute" from="5522,2691" to="5564,2691" stroked="true" strokeweight="1.77695pt" strokecolor="#000000"/>
            <v:shape style="position:absolute;left:4543;top:12244;width:574;height:599" coordorigin="4543,12244" coordsize="574,599" path="m6100,2604l6098,2604,6653,2604m6098,2668l6653,2668m6098,2732l6653,2732m6098,2795l6653,2795m6098,2859l6653,2859m6098,2922l6653,2922m6098,2986l6653,2986m6098,3049l6653,3049m6098,3113l6653,3113m6098,3176l6653,3176m6098,3240l6653,3240e" filled="false" stroked="true" strokeweight=".726637pt" strokecolor="#000000">
              <v:path arrowok="t"/>
            </v:shape>
            <v:shape style="position:absolute;left:4543;top:12134;width:572;height:719" coordorigin="4543,12134" coordsize="572,719" path="m6098,3250l6098,3250,6098,2541,6650,2541,6650,3250m6237,2488l6514,2488,6237,2488e" filled="false" stroked="true" strokeweight="2.17991pt" strokecolor="#000000">
              <v:path arrowok="t"/>
            </v:shape>
            <v:line style="position:absolute" from="6355,2514" to="6396,2514" stroked="true" strokeweight="2.665956pt" strokecolor="#000000"/>
            <v:rect style="position:absolute;left:6930;top:2041;width:555;height:1219" filled="true" fillcolor="#5f5f5f" stroked="false">
              <v:fill type="solid"/>
            </v:rect>
            <v:shape style="position:absolute;left:6923;top:2033;width:391;height:428" type="#_x0000_t75" stroked="false">
              <v:imagedata r:id="rId27" o:title=""/>
            </v:shape>
            <v:shape style="position:absolute;left:5403;top:11712;width:574;height:1150" coordorigin="5403,11712" coordsize="574,1150" path="m6930,2498l7346,2041m6935,2503l6960,2531m7004,2427l7029,2455m7073,2350l7099,2378m7143,2274l7168,2302m7212,2198l7237,2226m7281,2122l7307,2150m7351,2046l7376,2074m6930,2574l7415,2041m6935,2579l6960,2607m7004,2503l7029,2531m7073,2427l7099,2455m7143,2350l7168,2378m7212,2274l7237,2302m7281,2198l7307,2226m7351,2122l7376,2150m7420,2046l7445,2074m6930,2651l7485,2041m6935,2656l6960,2684m7004,2579l7029,2607m7073,2503l7099,2531m7143,2427l7168,2455m7212,2350l7237,2378m7281,2274l7307,2302m7351,2198l7376,2226m7420,2122l7445,2150m6930,2727l7485,2117m6935,2732l6960,2760m7004,2656l7029,2684m7073,2579l7099,2607m7143,2503l7168,2531m7212,2427l7237,2455m7281,2350l7307,2378m7351,2274l7376,2302m7420,2198l7445,2226m6930,2803l7485,2193m6935,2808l6960,2836m7004,2732l7029,2760m7073,2656l7099,2684m7143,2579l7168,2607m7212,2503l7237,2531m7281,2427l7307,2455m7351,2350l7376,2378m7420,2274l7445,2302m6930,2879l7485,2269m6935,2884l6960,2912m7004,2808l7029,2836m7073,2732l7099,2760m7143,2656l7168,2684m7212,2579l7237,2607m7281,2503l7307,2531m7351,2427l7376,2455m7420,2350l7445,2378m6930,2955l7485,2345m6935,2960l6960,2988m7004,2884l7029,2912m7073,2808l7099,2836m7143,2732l7168,2760m7212,2656l7237,2684m7281,2579l7307,2607m7351,2503l7376,2531m7420,2427l7445,2455m6930,3031l7485,2422m6935,3036l6960,3064m7004,2960l7029,2988m7073,2884l7099,2912m7143,2808l7168,2836m7212,2732l7237,2760m7281,2656l7307,2684m7351,2579l7376,2607m7420,2503l7445,2531m6930,3108l7485,2498m6935,3113l6960,3141m7004,3036l7029,3064m7073,2960l7099,2988m7143,2884l7168,2912m7212,2808l7237,2836m7281,2732l7307,2760m7351,2656l7376,2684m7420,2579l7445,2607m6930,3184l7485,2574m6935,3189l6960,3217m7004,3113l7029,3141m7073,3036l7099,3064m7143,2960l7168,2988m7212,2884l7237,2912m7281,2808l7307,2836m7351,2732l7376,2760m7420,2656l7445,2684m6930,3260l7485,2651m7004,3189l7029,3217m7073,3113l7099,3141m7143,3036l7168,3064m7212,2960l7237,2988m7281,2884l7307,2912m7351,2808l7376,2836m7420,2732l7445,2760m6999,3260l7485,2727m7073,3189l7099,3217m7143,3113l7168,3141m7212,3036l7237,3064m7281,2960l7307,2988m7351,2884l7376,2912m7420,2808l7445,2836e" filled="false" stroked="true" strokeweight=".726637pt" strokecolor="#000000">
              <v:path arrowok="t"/>
            </v:shape>
            <v:shape style="position:absolute;left:7061;top:2796;width:430;height:472" type="#_x0000_t75" stroked="false">
              <v:imagedata r:id="rId28" o:title=""/>
            </v:shape>
            <v:shape style="position:absolute;left:5403;top:11631;width:571;height:1222" coordorigin="5403,11631" coordsize="571,1222" path="m6930,3250l6930,3250,6930,2041,7482,2041,7482,3250m7069,1954l7346,1954,7069,1954m7207,1954l7207,2041e" filled="false" stroked="true" strokeweight="2.17991pt" strokecolor="#000000">
              <v:path arrowok="t"/>
            </v:shape>
            <v:rect style="position:absolute;left:7762;top:2335;width:555;height:925" filled="true" fillcolor="#313131" stroked="false">
              <v:fill type="solid"/>
            </v:rect>
            <v:shape style="position:absolute;left:6263;top:11906;width:572;height:946" coordorigin="6263,11906" coordsize="572,946" path="m7762,3250l7762,3250,7762,2335,8315,2335,8315,3250m7901,2246l8178,2246,7901,2246m8040,2246l8040,2335e" filled="false" stroked="true" strokeweight="2.17991pt" strokecolor="#000000">
              <v:path arrowok="t"/>
            </v:shape>
            <v:shape style="position:absolute;left:2599;top:9988;width:4381;height:2955" coordorigin="2599,9988" coordsize="4381,2955" path="m4295,3260l8456,3260m4711,3260l4711,3346m5543,3260l5543,3346m6375,3260l6375,3346m7207,3260l7207,3346m8040,3260l8040,3346m4295,3260l4295,212m4295,3260l4216,3260m4295,2244l4216,2244m4295,1228l4216,1228m4295,212l4216,212e" filled="false" stroked="true" strokeweight="1.453273pt" strokecolor="#000000">
              <v:path arrowok="t"/>
            </v:shape>
            <w10:wrap type="none"/>
          </v:group>
        </w:pict>
      </w:r>
      <w:r>
        <w:rPr>
          <w:b/>
          <w:sz w:val="23"/>
        </w:rPr>
        <w:t>150</w:t>
      </w:r>
    </w:p>
    <w:p>
      <w:pPr>
        <w:pStyle w:val="BodyText"/>
        <w:rPr>
          <w:b/>
          <w:sz w:val="20"/>
        </w:rPr>
      </w:pPr>
    </w:p>
    <w:p>
      <w:pPr>
        <w:pStyle w:val="BodyText"/>
        <w:rPr>
          <w:b/>
          <w:sz w:val="20"/>
        </w:rPr>
      </w:pPr>
    </w:p>
    <w:p>
      <w:pPr>
        <w:pStyle w:val="BodyText"/>
        <w:spacing w:before="2"/>
        <w:rPr>
          <w:b/>
          <w:sz w:val="19"/>
        </w:rPr>
      </w:pPr>
    </w:p>
    <w:p>
      <w:pPr>
        <w:spacing w:before="71"/>
        <w:ind w:left="2315" w:right="0" w:firstLine="0"/>
        <w:jc w:val="left"/>
        <w:rPr>
          <w:b/>
          <w:sz w:val="23"/>
        </w:rPr>
      </w:pPr>
      <w:r>
        <w:rPr/>
        <w:pict>
          <v:shape style="position:absolute;margin-left:161.042603pt;margin-top:3.866052pt;width:13.6pt;height:63.55pt;mso-position-horizontal-relative:page;mso-position-vertical-relative:paragraph;z-index:1624" type="#_x0000_t202" filled="false" stroked="false">
            <v:textbox inset="0,0,0,0" style="layout-flow:vertical;mso-layout-flow-alt:bottom-to-top">
              <w:txbxContent>
                <w:p>
                  <w:pPr>
                    <w:spacing w:line="256" w:lineRule="exact" w:before="0"/>
                    <w:ind w:left="20" w:right="0" w:firstLine="0"/>
                    <w:jc w:val="left"/>
                    <w:rPr>
                      <w:b/>
                      <w:sz w:val="23"/>
                    </w:rPr>
                  </w:pPr>
                  <w:r>
                    <w:rPr>
                      <w:b/>
                      <w:w w:val="110"/>
                      <w:sz w:val="23"/>
                    </w:rPr>
                    <w:t>%</w:t>
                  </w:r>
                  <w:r>
                    <w:rPr>
                      <w:b/>
                      <w:spacing w:val="29"/>
                      <w:sz w:val="23"/>
                    </w:rPr>
                    <w:t> </w:t>
                  </w:r>
                  <w:r>
                    <w:rPr>
                      <w:b/>
                      <w:spacing w:val="-3"/>
                      <w:w w:val="110"/>
                      <w:sz w:val="23"/>
                    </w:rPr>
                    <w:t>d</w:t>
                  </w:r>
                  <w:r>
                    <w:rPr>
                      <w:b/>
                      <w:w w:val="110"/>
                      <w:sz w:val="23"/>
                    </w:rPr>
                    <w:t>e</w:t>
                  </w:r>
                  <w:r>
                    <w:rPr>
                      <w:b/>
                      <w:spacing w:val="7"/>
                      <w:sz w:val="23"/>
                    </w:rPr>
                    <w:t> </w:t>
                  </w:r>
                  <w:r>
                    <w:rPr>
                      <w:b/>
                      <w:spacing w:val="-2"/>
                      <w:w w:val="110"/>
                      <w:sz w:val="23"/>
                    </w:rPr>
                    <w:t>P</w:t>
                  </w:r>
                  <w:r>
                    <w:rPr>
                      <w:b/>
                      <w:spacing w:val="-14"/>
                      <w:w w:val="110"/>
                      <w:sz w:val="23"/>
                    </w:rPr>
                    <w:t>M</w:t>
                  </w:r>
                  <w:r>
                    <w:rPr>
                      <w:b/>
                      <w:w w:val="110"/>
                      <w:sz w:val="23"/>
                    </w:rPr>
                    <w:t>N</w:t>
                  </w:r>
                </w:p>
              </w:txbxContent>
            </v:textbox>
            <w10:wrap type="none"/>
          </v:shape>
        </w:pict>
      </w:r>
      <w:r>
        <w:rPr>
          <w:b/>
          <w:sz w:val="23"/>
        </w:rPr>
        <w:t>100</w:t>
      </w:r>
    </w:p>
    <w:p>
      <w:pPr>
        <w:pStyle w:val="BodyText"/>
        <w:rPr>
          <w:b/>
          <w:sz w:val="20"/>
        </w:rPr>
      </w:pPr>
    </w:p>
    <w:p>
      <w:pPr>
        <w:pStyle w:val="BodyText"/>
        <w:rPr>
          <w:b/>
          <w:sz w:val="20"/>
        </w:rPr>
      </w:pPr>
    </w:p>
    <w:p>
      <w:pPr>
        <w:pStyle w:val="BodyText"/>
        <w:spacing w:before="2"/>
        <w:rPr>
          <w:b/>
          <w:sz w:val="19"/>
        </w:rPr>
      </w:pPr>
    </w:p>
    <w:p>
      <w:pPr>
        <w:spacing w:before="71"/>
        <w:ind w:left="2426" w:right="0" w:firstLine="0"/>
        <w:jc w:val="left"/>
        <w:rPr>
          <w:b/>
          <w:sz w:val="23"/>
        </w:rPr>
      </w:pPr>
      <w:r>
        <w:rPr>
          <w:b/>
          <w:sz w:val="23"/>
        </w:rPr>
        <w:t>50</w:t>
      </w:r>
    </w:p>
    <w:p>
      <w:pPr>
        <w:pStyle w:val="BodyText"/>
        <w:rPr>
          <w:b/>
          <w:sz w:val="20"/>
        </w:rPr>
      </w:pPr>
    </w:p>
    <w:p>
      <w:pPr>
        <w:pStyle w:val="BodyText"/>
        <w:rPr>
          <w:b/>
          <w:sz w:val="20"/>
        </w:rPr>
      </w:pPr>
    </w:p>
    <w:p>
      <w:pPr>
        <w:pStyle w:val="BodyText"/>
        <w:spacing w:before="2"/>
        <w:rPr>
          <w:b/>
          <w:sz w:val="19"/>
        </w:rPr>
      </w:pPr>
    </w:p>
    <w:p>
      <w:pPr>
        <w:spacing w:before="71"/>
        <w:ind w:left="2537" w:right="0" w:firstLine="0"/>
        <w:jc w:val="left"/>
        <w:rPr>
          <w:b/>
          <w:sz w:val="23"/>
        </w:rPr>
      </w:pPr>
      <w:r>
        <w:rPr/>
        <w:pict>
          <v:shape style="position:absolute;margin-left:218.199847pt;margin-top:26.572739pt;width:21.9pt;height:11.05pt;mso-position-horizontal-relative:page;mso-position-vertical-relative:paragraph;z-index:1648;rotation:313" type="#_x0000_t136" fillcolor="#000000" stroked="f">
            <o:extrusion v:ext="view" autorotationcenter="t"/>
            <v:textpath style="font-family:&amp;quot;Arial&amp;quot;;font-size:11pt;v-text-kern:t;mso-text-shadow:auto;font-weight:bold" string="C(+)"/>
            <w10:wrap type="none"/>
          </v:shape>
        </w:pict>
      </w:r>
      <w:r>
        <w:rPr/>
        <w:pict>
          <v:shape style="position:absolute;margin-left:262.10589pt;margin-top:25.577347pt;width:19.1pt;height:11.05pt;mso-position-horizontal-relative:page;mso-position-vertical-relative:paragraph;z-index:1672;rotation:313" type="#_x0000_t136" fillcolor="#000000" stroked="f">
            <o:extrusion v:ext="view" autorotationcenter="t"/>
            <v:textpath style="font-family:&amp;quot;Arial&amp;quot;;font-size:11pt;v-text-kern:t;mso-text-shadow:auto;font-weight:bold" string="C(-)"/>
            <w10:wrap type="none"/>
          </v:shape>
        </w:pict>
      </w:r>
      <w:r>
        <w:rPr/>
        <w:pict>
          <v:shape style="position:absolute;margin-left:306.292285pt;margin-top:24.372712pt;width:16.1500pt;height:11.05pt;mso-position-horizontal-relative:page;mso-position-vertical-relative:paragraph;z-index:1696;rotation:313" type="#_x0000_t136" fillcolor="#000000" stroked="f">
            <o:extrusion v:ext="view" autorotationcenter="t"/>
            <v:textpath style="font-family:&amp;quot;Arial&amp;quot;;font-size:11pt;v-text-kern:t;mso-text-shadow:auto;font-weight:bold" string="CC"/>
            <w10:wrap type="none"/>
          </v:shape>
        </w:pict>
      </w:r>
      <w:r>
        <w:rPr/>
        <w:pict>
          <v:shape style="position:absolute;margin-left:343.303589pt;margin-top:26.450672pt;width:21.55pt;height:11.05pt;mso-position-horizontal-relative:page;mso-position-vertical-relative:paragraph;z-index:1720;rotation:313" type="#_x0000_t136" fillcolor="#000000" stroked="f">
            <o:extrusion v:ext="view" autorotationcenter="t"/>
            <v:textpath style="font-family:&amp;quot;Arial&amp;quot;;font-size:11pt;v-text-kern:t;mso-text-shadow:auto;font-weight:bold" string="CP5"/>
            <w10:wrap type="none"/>
          </v:shape>
        </w:pict>
      </w:r>
      <w:r>
        <w:rPr/>
        <w:pict>
          <v:shape style="position:absolute;margin-left:384.895844pt;margin-top:26.450668pt;width:21.55pt;height:11.05pt;mso-position-horizontal-relative:page;mso-position-vertical-relative:paragraph;z-index:1744;rotation:313" type="#_x0000_t136" fillcolor="#000000" stroked="f">
            <o:extrusion v:ext="view" autorotationcenter="t"/>
            <v:textpath style="font-family:&amp;quot;Arial&amp;quot;;font-size:11pt;v-text-kern:t;mso-text-shadow:auto;font-weight:bold" string="CP8"/>
            <w10:wrap type="none"/>
          </v:shape>
        </w:pict>
      </w:r>
      <w:r>
        <w:rPr>
          <w:b/>
          <w:w w:val="91"/>
          <w:sz w:val="23"/>
        </w:rPr>
        <w:t>0</w:t>
      </w:r>
    </w:p>
    <w:p>
      <w:pPr>
        <w:pStyle w:val="BodyText"/>
        <w:rPr>
          <w:b/>
          <w:sz w:val="20"/>
        </w:rPr>
      </w:pPr>
    </w:p>
    <w:p>
      <w:pPr>
        <w:pStyle w:val="BodyText"/>
        <w:rPr>
          <w:b/>
          <w:sz w:val="20"/>
        </w:rPr>
      </w:pPr>
    </w:p>
    <w:p>
      <w:pPr>
        <w:pStyle w:val="BodyText"/>
        <w:rPr>
          <w:b/>
          <w:sz w:val="20"/>
        </w:rPr>
      </w:pPr>
    </w:p>
    <w:p>
      <w:pPr>
        <w:pStyle w:val="BodyText"/>
        <w:spacing w:before="6"/>
        <w:rPr>
          <w:b/>
          <w:sz w:val="20"/>
        </w:rPr>
      </w:pPr>
    </w:p>
    <w:p>
      <w:pPr>
        <w:spacing w:line="242" w:lineRule="auto" w:before="76"/>
        <w:ind w:left="376" w:right="1798" w:firstLine="0"/>
        <w:jc w:val="both"/>
        <w:rPr>
          <w:sz w:val="20"/>
        </w:rPr>
      </w:pPr>
      <w:r>
        <w:rPr>
          <w:b/>
          <w:sz w:val="20"/>
        </w:rPr>
        <w:t>Gráfica 3. </w:t>
      </w:r>
      <w:r>
        <w:rPr>
          <w:sz w:val="20"/>
        </w:rPr>
        <w:t>Proporción de neutrófilos bovinos apoptóticos inducidos por </w:t>
      </w:r>
      <w:r>
        <w:rPr>
          <w:i/>
          <w:sz w:val="20"/>
        </w:rPr>
        <w:t>S. aureus </w:t>
      </w:r>
      <w:r>
        <w:rPr>
          <w:sz w:val="20"/>
        </w:rPr>
        <w:t>después de una hora de incubación. Media y desviación estándar de los grupos controles y grupos experimentales observadas por microscopia de campo claro. Control positivo CC(+) PMN incubados con ciclofosfamida (400μg/100µl); control negativo CC(-) neutrófilos; CP5 cepa capsular 5; CP cepa capsular 8 y CC cepa compacta. Diferencias estadísticamente  significativas entre los tratamientos</w:t>
      </w:r>
      <w:r>
        <w:rPr>
          <w:spacing w:val="-8"/>
          <w:sz w:val="20"/>
        </w:rPr>
        <w:t> </w:t>
      </w:r>
      <w:r>
        <w:rPr>
          <w:sz w:val="20"/>
        </w:rPr>
        <w:t>P&lt;0.05.</w:t>
      </w:r>
    </w:p>
    <w:p>
      <w:pPr>
        <w:pStyle w:val="BodyText"/>
        <w:rPr>
          <w:sz w:val="20"/>
        </w:rPr>
      </w:pPr>
    </w:p>
    <w:p>
      <w:pPr>
        <w:pStyle w:val="BodyText"/>
        <w:rPr>
          <w:sz w:val="20"/>
        </w:rPr>
      </w:pPr>
    </w:p>
    <w:p>
      <w:pPr>
        <w:pStyle w:val="BodyText"/>
        <w:rPr>
          <w:sz w:val="20"/>
        </w:rPr>
      </w:pPr>
    </w:p>
    <w:p>
      <w:pPr>
        <w:pStyle w:val="BodyText"/>
        <w:spacing w:before="2"/>
        <w:rPr>
          <w:sz w:val="18"/>
        </w:rPr>
      </w:pPr>
    </w:p>
    <w:p>
      <w:pPr>
        <w:pStyle w:val="Heading3"/>
        <w:numPr>
          <w:ilvl w:val="1"/>
          <w:numId w:val="8"/>
        </w:numPr>
        <w:tabs>
          <w:tab w:pos="564" w:val="left" w:leader="none"/>
        </w:tabs>
        <w:spacing w:line="240" w:lineRule="auto" w:before="69" w:after="0"/>
        <w:ind w:left="563" w:right="0" w:hanging="404"/>
        <w:jc w:val="both"/>
      </w:pPr>
      <w:bookmarkStart w:name="_bookmark33" w:id="52"/>
      <w:bookmarkEnd w:id="52"/>
      <w:r>
        <w:rPr>
          <w:b w:val="0"/>
        </w:rPr>
      </w:r>
      <w:bookmarkStart w:name="_bookmark33" w:id="53"/>
      <w:bookmarkEnd w:id="53"/>
      <w:r>
        <w:rPr/>
        <w:t>E</w:t>
      </w:r>
      <w:r>
        <w:rPr/>
        <w:t>PIFLUORESCENCIA</w:t>
      </w:r>
    </w:p>
    <w:p>
      <w:pPr>
        <w:pStyle w:val="BodyText"/>
        <w:rPr>
          <w:b/>
        </w:rPr>
      </w:pPr>
    </w:p>
    <w:p>
      <w:pPr>
        <w:pStyle w:val="BodyText"/>
        <w:spacing w:before="10"/>
        <w:rPr>
          <w:b/>
          <w:sz w:val="30"/>
        </w:rPr>
      </w:pPr>
    </w:p>
    <w:p>
      <w:pPr>
        <w:spacing w:before="0"/>
        <w:ind w:left="159" w:right="0" w:firstLine="0"/>
        <w:jc w:val="both"/>
        <w:rPr>
          <w:b/>
          <w:i/>
          <w:sz w:val="24"/>
        </w:rPr>
      </w:pPr>
      <w:bookmarkStart w:name="_bookmark34" w:id="54"/>
      <w:bookmarkEnd w:id="54"/>
      <w:r>
        <w:rPr/>
      </w:r>
      <w:r>
        <w:rPr>
          <w:b/>
          <w:sz w:val="24"/>
        </w:rPr>
        <w:t>7.4.1 Evaluación de la actividad de fagocitosis </w:t>
      </w:r>
      <w:r>
        <w:rPr>
          <w:b/>
          <w:i/>
          <w:sz w:val="24"/>
        </w:rPr>
        <w:t>in vitro</w:t>
      </w:r>
    </w:p>
    <w:p>
      <w:pPr>
        <w:pStyle w:val="BodyText"/>
        <w:spacing w:line="360" w:lineRule="auto" w:before="113"/>
        <w:ind w:left="159" w:right="1695"/>
        <w:jc w:val="both"/>
      </w:pPr>
      <w:r>
        <w:rPr/>
        <w:t>En la observación con microscopia de epifluorescencia la CFN (Cuadro 3) fue para el tipo compacto 86.77±2.6; CP5 62.52±3.26 y para CP8 78.60±4.07 (P&lt;0.05) (Gráfica 4).</w:t>
      </w:r>
    </w:p>
    <w:p>
      <w:pPr>
        <w:pStyle w:val="BodyText"/>
        <w:spacing w:line="357" w:lineRule="auto" w:before="7"/>
        <w:ind w:left="159" w:right="1698"/>
        <w:jc w:val="both"/>
      </w:pPr>
      <w:r>
        <w:rPr/>
        <w:t>Mediante la observación con microscopia de epifluorescencia el IFN (Figura 11) por la técnica de epifluorescencia fueron (Cuadro 3): CC 7.62±0.55, CP5  4.67±3.26 y CP8 5.53±0.40 (p&lt;0.05) (Gráfica</w:t>
      </w:r>
      <w:r>
        <w:rPr>
          <w:spacing w:val="-13"/>
        </w:rPr>
        <w:t> </w:t>
      </w:r>
      <w:r>
        <w:rPr/>
        <w:t>5).</w:t>
      </w:r>
    </w:p>
    <w:p>
      <w:pPr>
        <w:spacing w:after="0" w:line="357" w:lineRule="auto"/>
        <w:jc w:val="both"/>
        <w:sectPr>
          <w:pgSz w:w="12240" w:h="15840"/>
          <w:pgMar w:header="726" w:footer="1527" w:top="1200" w:bottom="1720" w:left="1540" w:right="0"/>
        </w:sectPr>
      </w:pPr>
    </w:p>
    <w:p>
      <w:pPr>
        <w:pStyle w:val="BodyText"/>
        <w:spacing w:before="7"/>
        <w:rPr>
          <w:sz w:val="14"/>
        </w:rPr>
      </w:pPr>
    </w:p>
    <w:p>
      <w:pPr>
        <w:spacing w:line="364" w:lineRule="auto" w:before="76"/>
        <w:ind w:left="159" w:right="42" w:firstLine="0"/>
        <w:jc w:val="left"/>
        <w:rPr>
          <w:sz w:val="20"/>
        </w:rPr>
      </w:pPr>
      <w:r>
        <w:rPr>
          <w:b/>
          <w:sz w:val="20"/>
        </w:rPr>
        <w:t>Cuadro 3</w:t>
      </w:r>
      <w:r>
        <w:rPr>
          <w:sz w:val="20"/>
        </w:rPr>
        <w:t>. Evaluación de la Actividad de Fagocitosis </w:t>
      </w:r>
      <w:r>
        <w:rPr>
          <w:i/>
          <w:sz w:val="20"/>
        </w:rPr>
        <w:t>in vitro </w:t>
      </w:r>
      <w:r>
        <w:rPr>
          <w:sz w:val="20"/>
        </w:rPr>
        <w:t>de neutrófilos de vacas lecheras evaluada por Epifluorescencia</w:t>
      </w:r>
    </w:p>
    <w:p>
      <w:pPr>
        <w:pStyle w:val="BodyText"/>
        <w:spacing w:before="5" w:after="1"/>
        <w:rPr>
          <w:sz w:val="17"/>
        </w:rPr>
      </w:pPr>
    </w:p>
    <w:tbl>
      <w:tblPr>
        <w:tblW w:w="0" w:type="auto"/>
        <w:jc w:val="left"/>
        <w:tblInd w:w="332" w:type="dxa"/>
        <w:tblBorders>
          <w:top w:val="thickThinMediumGap" w:sz="17" w:space="0" w:color="000000"/>
          <w:left w:val="thickThinMediumGap" w:sz="17" w:space="0" w:color="000000"/>
          <w:bottom w:val="thickThinMediumGap" w:sz="17" w:space="0" w:color="000000"/>
          <w:right w:val="thickThinMediumGap" w:sz="17" w:space="0" w:color="000000"/>
          <w:insideH w:val="thickThinMediumGap" w:sz="17" w:space="0" w:color="000000"/>
          <w:insideV w:val="thickThinMediumGap" w:sz="17" w:space="0" w:color="000000"/>
        </w:tblBorders>
        <w:tblLayout w:type="fixed"/>
        <w:tblCellMar>
          <w:top w:w="0" w:type="dxa"/>
          <w:left w:w="0" w:type="dxa"/>
          <w:bottom w:w="0" w:type="dxa"/>
          <w:right w:w="0" w:type="dxa"/>
        </w:tblCellMar>
        <w:tblLook w:val="01E0"/>
      </w:tblPr>
      <w:tblGrid>
        <w:gridCol w:w="3697"/>
        <w:gridCol w:w="1653"/>
        <w:gridCol w:w="1506"/>
        <w:gridCol w:w="1619"/>
      </w:tblGrid>
      <w:tr>
        <w:trPr>
          <w:trHeight w:val="639" w:hRule="exact"/>
        </w:trPr>
        <w:tc>
          <w:tcPr>
            <w:tcW w:w="3697" w:type="dxa"/>
            <w:tcBorders>
              <w:left w:val="nil"/>
              <w:bottom w:val="single" w:sz="4" w:space="0" w:color="000000"/>
              <w:right w:val="nil"/>
            </w:tcBorders>
          </w:tcPr>
          <w:p>
            <w:pPr>
              <w:pStyle w:val="TableParagraph"/>
              <w:spacing w:line="242" w:lineRule="auto"/>
              <w:ind w:left="110" w:right="425"/>
              <w:rPr>
                <w:b/>
                <w:sz w:val="22"/>
              </w:rPr>
            </w:pPr>
            <w:r>
              <w:rPr>
                <w:b/>
                <w:sz w:val="22"/>
              </w:rPr>
              <w:t>INDICADOR DE LA ACTIVIDAD DE FAGOCITOSIS</w:t>
            </w:r>
          </w:p>
        </w:tc>
        <w:tc>
          <w:tcPr>
            <w:tcW w:w="1653" w:type="dxa"/>
            <w:tcBorders>
              <w:left w:val="nil"/>
              <w:bottom w:val="single" w:sz="4" w:space="0" w:color="000000"/>
              <w:right w:val="nil"/>
            </w:tcBorders>
          </w:tcPr>
          <w:p>
            <w:pPr>
              <w:pStyle w:val="TableParagraph"/>
              <w:ind w:left="509"/>
              <w:rPr>
                <w:b/>
                <w:sz w:val="22"/>
              </w:rPr>
            </w:pPr>
            <w:r>
              <w:rPr>
                <w:b/>
                <w:sz w:val="22"/>
              </w:rPr>
              <w:t>CC</w:t>
            </w:r>
          </w:p>
        </w:tc>
        <w:tc>
          <w:tcPr>
            <w:tcW w:w="1506" w:type="dxa"/>
            <w:tcBorders>
              <w:left w:val="nil"/>
              <w:bottom w:val="single" w:sz="4" w:space="0" w:color="000000"/>
              <w:right w:val="nil"/>
            </w:tcBorders>
          </w:tcPr>
          <w:p>
            <w:pPr>
              <w:pStyle w:val="TableParagraph"/>
              <w:ind w:left="486" w:right="552"/>
              <w:jc w:val="center"/>
              <w:rPr>
                <w:b/>
                <w:sz w:val="22"/>
              </w:rPr>
            </w:pPr>
            <w:r>
              <w:rPr>
                <w:b/>
                <w:sz w:val="22"/>
              </w:rPr>
              <w:t>CP5</w:t>
            </w:r>
          </w:p>
        </w:tc>
        <w:tc>
          <w:tcPr>
            <w:tcW w:w="1619" w:type="dxa"/>
            <w:tcBorders>
              <w:left w:val="nil"/>
              <w:bottom w:val="single" w:sz="4" w:space="0" w:color="000000"/>
              <w:right w:val="nil"/>
            </w:tcBorders>
          </w:tcPr>
          <w:p>
            <w:pPr>
              <w:pStyle w:val="TableParagraph"/>
              <w:ind w:left="540" w:right="611"/>
              <w:jc w:val="center"/>
              <w:rPr>
                <w:b/>
                <w:sz w:val="22"/>
              </w:rPr>
            </w:pPr>
            <w:r>
              <w:rPr>
                <w:b/>
                <w:sz w:val="22"/>
              </w:rPr>
              <w:t>CP8</w:t>
            </w:r>
          </w:p>
        </w:tc>
      </w:tr>
      <w:tr>
        <w:trPr>
          <w:trHeight w:val="361" w:hRule="exact"/>
        </w:trPr>
        <w:tc>
          <w:tcPr>
            <w:tcW w:w="3697" w:type="dxa"/>
            <w:tcBorders>
              <w:top w:val="single" w:sz="4" w:space="0" w:color="000000"/>
              <w:left w:val="nil"/>
              <w:bottom w:val="nil"/>
              <w:right w:val="nil"/>
            </w:tcBorders>
          </w:tcPr>
          <w:p>
            <w:pPr>
              <w:pStyle w:val="TableParagraph"/>
              <w:ind w:left="110" w:right="425"/>
              <w:rPr>
                <w:sz w:val="22"/>
              </w:rPr>
            </w:pPr>
            <w:r>
              <w:rPr>
                <w:sz w:val="22"/>
              </w:rPr>
              <w:t>Capacidad de fagocitosis</w:t>
            </w:r>
          </w:p>
        </w:tc>
        <w:tc>
          <w:tcPr>
            <w:tcW w:w="1653" w:type="dxa"/>
            <w:tcBorders>
              <w:top w:val="single" w:sz="4" w:space="0" w:color="000000"/>
              <w:left w:val="nil"/>
              <w:bottom w:val="nil"/>
              <w:right w:val="nil"/>
            </w:tcBorders>
          </w:tcPr>
          <w:p>
            <w:pPr>
              <w:pStyle w:val="TableParagraph"/>
              <w:ind w:left="446"/>
              <w:rPr>
                <w:sz w:val="22"/>
              </w:rPr>
            </w:pPr>
            <w:r>
              <w:rPr>
                <w:sz w:val="22"/>
              </w:rPr>
              <w:t>86.5±2.9</w:t>
            </w:r>
          </w:p>
        </w:tc>
        <w:tc>
          <w:tcPr>
            <w:tcW w:w="1506" w:type="dxa"/>
            <w:tcBorders>
              <w:top w:val="single" w:sz="4" w:space="0" w:color="000000"/>
              <w:left w:val="nil"/>
              <w:bottom w:val="nil"/>
              <w:right w:val="nil"/>
            </w:tcBorders>
          </w:tcPr>
          <w:p>
            <w:pPr>
              <w:pStyle w:val="TableParagraph"/>
              <w:ind w:left="349"/>
              <w:rPr>
                <w:sz w:val="22"/>
              </w:rPr>
            </w:pPr>
            <w:r>
              <w:rPr>
                <w:sz w:val="22"/>
              </w:rPr>
              <w:t>75.0±2.4</w:t>
            </w:r>
          </w:p>
        </w:tc>
        <w:tc>
          <w:tcPr>
            <w:tcW w:w="1619" w:type="dxa"/>
            <w:tcBorders>
              <w:top w:val="single" w:sz="4" w:space="0" w:color="000000"/>
              <w:left w:val="nil"/>
              <w:bottom w:val="nil"/>
              <w:right w:val="nil"/>
            </w:tcBorders>
          </w:tcPr>
          <w:p>
            <w:pPr>
              <w:pStyle w:val="TableParagraph"/>
              <w:ind w:left="298"/>
              <w:rPr>
                <w:sz w:val="22"/>
              </w:rPr>
            </w:pPr>
            <w:r>
              <w:rPr>
                <w:sz w:val="22"/>
              </w:rPr>
              <w:t>82.2±1.5</w:t>
            </w:r>
          </w:p>
        </w:tc>
      </w:tr>
      <w:tr>
        <w:trPr>
          <w:trHeight w:val="561" w:hRule="exact"/>
        </w:trPr>
        <w:tc>
          <w:tcPr>
            <w:tcW w:w="3697" w:type="dxa"/>
            <w:tcBorders>
              <w:top w:val="nil"/>
              <w:left w:val="nil"/>
              <w:right w:val="nil"/>
            </w:tcBorders>
          </w:tcPr>
          <w:p>
            <w:pPr>
              <w:pStyle w:val="TableParagraph"/>
              <w:spacing w:before="80"/>
              <w:ind w:left="110" w:right="425"/>
              <w:rPr>
                <w:sz w:val="22"/>
              </w:rPr>
            </w:pPr>
            <w:r>
              <w:rPr>
                <w:sz w:val="22"/>
              </w:rPr>
              <w:t>Índice de fagocitosis</w:t>
            </w:r>
          </w:p>
        </w:tc>
        <w:tc>
          <w:tcPr>
            <w:tcW w:w="1653" w:type="dxa"/>
            <w:tcBorders>
              <w:top w:val="nil"/>
              <w:left w:val="nil"/>
              <w:right w:val="nil"/>
            </w:tcBorders>
          </w:tcPr>
          <w:p>
            <w:pPr>
              <w:pStyle w:val="TableParagraph"/>
              <w:spacing w:before="80"/>
              <w:ind w:left="446"/>
              <w:rPr>
                <w:sz w:val="22"/>
              </w:rPr>
            </w:pPr>
            <w:r>
              <w:rPr>
                <w:sz w:val="22"/>
              </w:rPr>
              <w:t>7.6±0.5</w:t>
            </w:r>
          </w:p>
        </w:tc>
        <w:tc>
          <w:tcPr>
            <w:tcW w:w="1506" w:type="dxa"/>
            <w:tcBorders>
              <w:top w:val="nil"/>
              <w:left w:val="nil"/>
              <w:right w:val="nil"/>
            </w:tcBorders>
          </w:tcPr>
          <w:p>
            <w:pPr>
              <w:pStyle w:val="TableParagraph"/>
              <w:spacing w:before="80"/>
              <w:ind w:left="349"/>
              <w:rPr>
                <w:sz w:val="22"/>
              </w:rPr>
            </w:pPr>
            <w:r>
              <w:rPr>
                <w:sz w:val="22"/>
              </w:rPr>
              <w:t>4.7±0.3</w:t>
            </w:r>
          </w:p>
        </w:tc>
        <w:tc>
          <w:tcPr>
            <w:tcW w:w="1619" w:type="dxa"/>
            <w:tcBorders>
              <w:top w:val="nil"/>
              <w:left w:val="nil"/>
              <w:right w:val="nil"/>
            </w:tcBorders>
          </w:tcPr>
          <w:p>
            <w:pPr>
              <w:pStyle w:val="TableParagraph"/>
              <w:spacing w:before="80"/>
              <w:ind w:left="298"/>
              <w:rPr>
                <w:sz w:val="22"/>
              </w:rPr>
            </w:pPr>
            <w:r>
              <w:rPr>
                <w:sz w:val="22"/>
              </w:rPr>
              <w:t>5.5±0.4</w:t>
            </w:r>
          </w:p>
        </w:tc>
      </w:tr>
    </w:tbl>
    <w:p>
      <w:pPr>
        <w:spacing w:line="242" w:lineRule="auto" w:before="86"/>
        <w:ind w:left="419" w:right="455" w:firstLine="0"/>
        <w:jc w:val="both"/>
        <w:rPr>
          <w:sz w:val="20"/>
        </w:rPr>
      </w:pPr>
      <w:r>
        <w:rPr>
          <w:sz w:val="20"/>
        </w:rPr>
        <w:t>Los datos muestran la media y desviación estándar ±, CC: cepa de </w:t>
      </w:r>
      <w:r>
        <w:rPr>
          <w:i/>
          <w:sz w:val="20"/>
        </w:rPr>
        <w:t>S. aureus </w:t>
      </w:r>
      <w:r>
        <w:rPr>
          <w:sz w:val="20"/>
        </w:rPr>
        <w:t>tipo compacta; CP5: Cepa de </w:t>
      </w:r>
      <w:r>
        <w:rPr>
          <w:i/>
          <w:sz w:val="20"/>
        </w:rPr>
        <w:t>S. aureus </w:t>
      </w:r>
      <w:r>
        <w:rPr>
          <w:sz w:val="20"/>
        </w:rPr>
        <w:t>de tipo capsular 5; CP8: cepa de </w:t>
      </w:r>
      <w:r>
        <w:rPr>
          <w:i/>
          <w:sz w:val="20"/>
        </w:rPr>
        <w:t>S. aureus </w:t>
      </w:r>
      <w:r>
        <w:rPr>
          <w:sz w:val="20"/>
        </w:rPr>
        <w:t>tipo capsular 8, IFN y CFN fueron diferentes significativamente en los tratamientos (P&lt;0.05).</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pPr>
    </w:p>
    <w:p>
      <w:pPr>
        <w:spacing w:before="69"/>
        <w:ind w:left="349" w:right="42" w:firstLine="0"/>
        <w:jc w:val="left"/>
        <w:rPr>
          <w:b/>
          <w:i/>
          <w:sz w:val="25"/>
        </w:rPr>
      </w:pPr>
      <w:r>
        <w:rPr>
          <w:b/>
          <w:w w:val="105"/>
          <w:sz w:val="25"/>
        </w:rPr>
        <w:t>Capacidad de fagocitosis de neutrófilos sobre </w:t>
      </w:r>
      <w:r>
        <w:rPr>
          <w:b/>
          <w:i/>
          <w:w w:val="105"/>
          <w:sz w:val="25"/>
        </w:rPr>
        <w:t>Staphylococcus aureus</w:t>
      </w:r>
    </w:p>
    <w:p>
      <w:pPr>
        <w:spacing w:before="156"/>
        <w:ind w:left="2476" w:right="6370" w:firstLine="0"/>
        <w:jc w:val="center"/>
        <w:rPr>
          <w:b/>
          <w:sz w:val="19"/>
        </w:rPr>
      </w:pPr>
      <w:r>
        <w:rPr/>
        <w:drawing>
          <wp:anchor distT="0" distB="0" distL="0" distR="0" allowOverlap="1" layoutInCell="1" locked="0" behindDoc="0" simplePos="0" relativeHeight="1768">
            <wp:simplePos x="0" y="0"/>
            <wp:positionH relativeFrom="page">
              <wp:posOffset>2779054</wp:posOffset>
            </wp:positionH>
            <wp:positionV relativeFrom="paragraph">
              <wp:posOffset>162597</wp:posOffset>
            </wp:positionV>
            <wp:extent cx="2621452" cy="1706727"/>
            <wp:effectExtent l="0" t="0" r="0" b="0"/>
            <wp:wrapNone/>
            <wp:docPr id="23" name="image16.png" descr=""/>
            <wp:cNvGraphicFramePr>
              <a:graphicFrameLocks noChangeAspect="1"/>
            </wp:cNvGraphicFramePr>
            <a:graphic>
              <a:graphicData uri="http://schemas.openxmlformats.org/drawingml/2006/picture">
                <pic:pic>
                  <pic:nvPicPr>
                    <pic:cNvPr id="24" name="image16.png"/>
                    <pic:cNvPicPr/>
                  </pic:nvPicPr>
                  <pic:blipFill>
                    <a:blip r:embed="rId29" cstate="print"/>
                    <a:stretch>
                      <a:fillRect/>
                    </a:stretch>
                  </pic:blipFill>
                  <pic:spPr>
                    <a:xfrm>
                      <a:off x="0" y="0"/>
                      <a:ext cx="2621452" cy="1706727"/>
                    </a:xfrm>
                    <a:prstGeom prst="rect">
                      <a:avLst/>
                    </a:prstGeom>
                  </pic:spPr>
                </pic:pic>
              </a:graphicData>
            </a:graphic>
          </wp:anchor>
        </w:drawing>
      </w:r>
      <w:r>
        <w:rPr>
          <w:b/>
          <w:w w:val="105"/>
          <w:sz w:val="19"/>
        </w:rPr>
        <w:t>100</w:t>
      </w:r>
    </w:p>
    <w:p>
      <w:pPr>
        <w:pStyle w:val="BodyText"/>
        <w:rPr>
          <w:b/>
          <w:sz w:val="26"/>
        </w:rPr>
      </w:pPr>
    </w:p>
    <w:p>
      <w:pPr>
        <w:spacing w:before="0"/>
        <w:ind w:left="2476" w:right="6263" w:firstLine="0"/>
        <w:jc w:val="center"/>
        <w:rPr>
          <w:b/>
          <w:sz w:val="19"/>
        </w:rPr>
      </w:pPr>
      <w:r>
        <w:rPr/>
        <w:pict>
          <v:shape style="position:absolute;margin-left:171.963303pt;margin-top:16.710907pt;width:13.2pt;height:54.65pt;mso-position-horizontal-relative:page;mso-position-vertical-relative:paragraph;z-index:1816" type="#_x0000_t202" filled="false" stroked="false">
            <v:textbox inset="0,0,0,0" style="layout-flow:vertical;mso-layout-flow-alt:bottom-to-top">
              <w:txbxContent>
                <w:p>
                  <w:pPr>
                    <w:spacing w:line="248" w:lineRule="exact" w:before="0"/>
                    <w:ind w:left="20" w:right="0" w:firstLine="0"/>
                    <w:jc w:val="left"/>
                    <w:rPr>
                      <w:b/>
                      <w:sz w:val="22"/>
                    </w:rPr>
                  </w:pPr>
                  <w:r>
                    <w:rPr>
                      <w:b/>
                      <w:w w:val="98"/>
                      <w:sz w:val="22"/>
                    </w:rPr>
                    <w:t>%</w:t>
                  </w:r>
                  <w:r>
                    <w:rPr>
                      <w:b/>
                      <w:spacing w:val="18"/>
                      <w:sz w:val="22"/>
                    </w:rPr>
                    <w:t> </w:t>
                  </w:r>
                  <w:r>
                    <w:rPr>
                      <w:b/>
                      <w:spacing w:val="-3"/>
                      <w:w w:val="98"/>
                      <w:sz w:val="22"/>
                    </w:rPr>
                    <w:t>d</w:t>
                  </w:r>
                  <w:r>
                    <w:rPr>
                      <w:b/>
                      <w:w w:val="98"/>
                      <w:sz w:val="22"/>
                    </w:rPr>
                    <w:t>e</w:t>
                  </w:r>
                  <w:r>
                    <w:rPr>
                      <w:b/>
                      <w:sz w:val="22"/>
                    </w:rPr>
                    <w:t> </w:t>
                  </w:r>
                  <w:r>
                    <w:rPr>
                      <w:b/>
                      <w:spacing w:val="-2"/>
                      <w:w w:val="98"/>
                      <w:sz w:val="22"/>
                    </w:rPr>
                    <w:t>P</w:t>
                  </w:r>
                  <w:r>
                    <w:rPr>
                      <w:b/>
                      <w:spacing w:val="-12"/>
                      <w:w w:val="98"/>
                      <w:sz w:val="22"/>
                    </w:rPr>
                    <w:t>M</w:t>
                  </w:r>
                  <w:r>
                    <w:rPr>
                      <w:b/>
                      <w:w w:val="98"/>
                      <w:sz w:val="22"/>
                    </w:rPr>
                    <w:t>N</w:t>
                  </w:r>
                </w:p>
              </w:txbxContent>
            </v:textbox>
            <w10:wrap type="none"/>
          </v:shape>
        </w:pict>
      </w:r>
      <w:r>
        <w:rPr>
          <w:b/>
          <w:w w:val="105"/>
          <w:sz w:val="19"/>
        </w:rPr>
        <w:t>80</w:t>
      </w:r>
    </w:p>
    <w:p>
      <w:pPr>
        <w:pStyle w:val="BodyText"/>
        <w:spacing w:before="11"/>
        <w:rPr>
          <w:b/>
          <w:sz w:val="25"/>
        </w:rPr>
      </w:pPr>
    </w:p>
    <w:p>
      <w:pPr>
        <w:spacing w:before="0"/>
        <w:ind w:left="2476" w:right="6263" w:firstLine="0"/>
        <w:jc w:val="center"/>
        <w:rPr>
          <w:b/>
          <w:sz w:val="19"/>
        </w:rPr>
      </w:pPr>
      <w:r>
        <w:rPr>
          <w:b/>
          <w:w w:val="105"/>
          <w:sz w:val="19"/>
        </w:rPr>
        <w:t>60</w:t>
      </w:r>
    </w:p>
    <w:p>
      <w:pPr>
        <w:pStyle w:val="BodyText"/>
        <w:rPr>
          <w:b/>
          <w:sz w:val="26"/>
        </w:rPr>
      </w:pPr>
    </w:p>
    <w:p>
      <w:pPr>
        <w:spacing w:before="0"/>
        <w:ind w:left="2476" w:right="6263" w:firstLine="0"/>
        <w:jc w:val="center"/>
        <w:rPr>
          <w:b/>
          <w:sz w:val="19"/>
        </w:rPr>
      </w:pPr>
      <w:r>
        <w:rPr>
          <w:b/>
          <w:w w:val="105"/>
          <w:sz w:val="19"/>
        </w:rPr>
        <w:t>40</w:t>
      </w:r>
    </w:p>
    <w:p>
      <w:pPr>
        <w:pStyle w:val="BodyText"/>
        <w:spacing w:before="11"/>
        <w:rPr>
          <w:b/>
          <w:sz w:val="25"/>
        </w:rPr>
      </w:pPr>
    </w:p>
    <w:p>
      <w:pPr>
        <w:spacing w:before="0"/>
        <w:ind w:left="2476" w:right="6263" w:firstLine="0"/>
        <w:jc w:val="center"/>
        <w:rPr>
          <w:b/>
          <w:sz w:val="19"/>
        </w:rPr>
      </w:pPr>
      <w:r>
        <w:rPr>
          <w:b/>
          <w:w w:val="105"/>
          <w:sz w:val="19"/>
        </w:rPr>
        <w:t>20</w:t>
      </w:r>
    </w:p>
    <w:p>
      <w:pPr>
        <w:pStyle w:val="BodyText"/>
        <w:rPr>
          <w:b/>
          <w:sz w:val="26"/>
        </w:rPr>
      </w:pPr>
    </w:p>
    <w:p>
      <w:pPr>
        <w:spacing w:before="0"/>
        <w:ind w:left="0" w:right="3674" w:firstLine="0"/>
        <w:jc w:val="center"/>
        <w:rPr>
          <w:b/>
          <w:sz w:val="19"/>
        </w:rPr>
      </w:pPr>
      <w:r>
        <w:rPr/>
        <w:pict>
          <v:shape style="position:absolute;margin-left:245.573929pt;margin-top:16.786402pt;width:14.55pt;height:10.050pt;mso-position-horizontal-relative:page;mso-position-vertical-relative:paragraph;z-index:1840;rotation:316" type="#_x0000_t136" fillcolor="#000000" stroked="f">
            <o:extrusion v:ext="view" autorotationcenter="t"/>
            <v:textpath style="font-family:&amp;quot;Arial&amp;quot;;font-size:10pt;v-text-kern:t;mso-text-shadow:auto;font-weight:bold" string="CC"/>
            <w10:wrap type="none"/>
          </v:shape>
        </w:pict>
      </w:r>
      <w:r>
        <w:rPr/>
        <w:pict>
          <v:shape style="position:absolute;margin-left:301.695587pt;margin-top:21.20429pt;width:27.25pt;height:10.050pt;mso-position-horizontal-relative:page;mso-position-vertical-relative:paragraph;z-index:1864;rotation:316" type="#_x0000_t136" fillcolor="#000000" stroked="f">
            <o:extrusion v:ext="view" autorotationcenter="t"/>
            <v:textpath style="font-family:&amp;quot;Arial&amp;quot;;font-size:10pt;v-text-kern:t;mso-text-shadow:auto;font-weight:bold" string="Cap 5"/>
            <w10:wrap type="none"/>
          </v:shape>
        </w:pict>
      </w:r>
      <w:r>
        <w:rPr>
          <w:b/>
          <w:w w:val="107"/>
          <w:sz w:val="19"/>
        </w:rPr>
        <w:t>0</w:t>
      </w:r>
    </w:p>
    <w:p>
      <w:pPr>
        <w:pStyle w:val="BodyText"/>
        <w:rPr>
          <w:b/>
          <w:sz w:val="20"/>
        </w:rPr>
      </w:pPr>
    </w:p>
    <w:p>
      <w:pPr>
        <w:pStyle w:val="BodyText"/>
        <w:spacing w:before="7"/>
        <w:rPr>
          <w:b/>
          <w:sz w:val="28"/>
        </w:rPr>
      </w:pPr>
    </w:p>
    <w:p>
      <w:pPr>
        <w:spacing w:before="76"/>
        <w:ind w:left="419" w:right="251" w:firstLine="0"/>
        <w:jc w:val="both"/>
        <w:rPr>
          <w:sz w:val="20"/>
        </w:rPr>
      </w:pPr>
      <w:r>
        <w:rPr/>
        <w:drawing>
          <wp:anchor distT="0" distB="0" distL="0" distR="0" allowOverlap="1" layoutInCell="1" locked="0" behindDoc="1" simplePos="0" relativeHeight="268342559">
            <wp:simplePos x="0" y="0"/>
            <wp:positionH relativeFrom="page">
              <wp:posOffset>1153160</wp:posOffset>
            </wp:positionH>
            <wp:positionV relativeFrom="paragraph">
              <wp:posOffset>5713</wp:posOffset>
            </wp:positionV>
            <wp:extent cx="5608320" cy="802639"/>
            <wp:effectExtent l="0" t="0" r="0" b="0"/>
            <wp:wrapNone/>
            <wp:docPr id="25" name="image17.png" descr=""/>
            <wp:cNvGraphicFramePr>
              <a:graphicFrameLocks noChangeAspect="1"/>
            </wp:cNvGraphicFramePr>
            <a:graphic>
              <a:graphicData uri="http://schemas.openxmlformats.org/drawingml/2006/picture">
                <pic:pic>
                  <pic:nvPicPr>
                    <pic:cNvPr id="26" name="image17.png"/>
                    <pic:cNvPicPr/>
                  </pic:nvPicPr>
                  <pic:blipFill>
                    <a:blip r:embed="rId30" cstate="print"/>
                    <a:stretch>
                      <a:fillRect/>
                    </a:stretch>
                  </pic:blipFill>
                  <pic:spPr>
                    <a:xfrm>
                      <a:off x="0" y="0"/>
                      <a:ext cx="5608320" cy="802639"/>
                    </a:xfrm>
                    <a:prstGeom prst="rect">
                      <a:avLst/>
                    </a:prstGeom>
                  </pic:spPr>
                </pic:pic>
              </a:graphicData>
            </a:graphic>
          </wp:anchor>
        </w:drawing>
      </w:r>
      <w:r>
        <w:rPr/>
        <w:pict>
          <v:shape style="position:absolute;margin-left:366.782867pt;margin-top:-15.763195pt;width:27.25pt;height:10.050pt;mso-position-horizontal-relative:page;mso-position-vertical-relative:paragraph;z-index:1888;rotation:316" type="#_x0000_t136" fillcolor="#000000" stroked="f">
            <o:extrusion v:ext="view" autorotationcenter="t"/>
            <v:textpath style="font-family:&amp;quot;Arial&amp;quot;;font-size:10pt;v-text-kern:t;mso-text-shadow:auto;font-weight:bold" string="Cap 8"/>
            <w10:wrap type="none"/>
          </v:shape>
        </w:pict>
      </w:r>
      <w:r>
        <w:rPr>
          <w:b/>
          <w:sz w:val="20"/>
        </w:rPr>
        <w:t>Gráfica 4. </w:t>
      </w:r>
      <w:r>
        <w:rPr>
          <w:sz w:val="20"/>
        </w:rPr>
        <w:t>Proporción de neutrófilos bovinos que fagocitaron </w:t>
      </w:r>
      <w:r>
        <w:rPr>
          <w:i/>
          <w:sz w:val="20"/>
        </w:rPr>
        <w:t>S. aureus </w:t>
      </w:r>
      <w:r>
        <w:rPr>
          <w:sz w:val="20"/>
        </w:rPr>
        <w:t>después de una hora de incubación. Media y desviación estándar del grupo control y grupos experimentales observadas por microscopia de epifluorescencia. Cepa compacta CC; CP5 cepa capsular 5; CP cepa capsular 8. Diferencias estadísticamente significativas entre los tratamientos P&lt;0.05.</w:t>
      </w:r>
    </w:p>
    <w:p>
      <w:pPr>
        <w:spacing w:after="0"/>
        <w:jc w:val="both"/>
        <w:rPr>
          <w:sz w:val="20"/>
        </w:rPr>
        <w:sectPr>
          <w:pgSz w:w="12240" w:h="15840"/>
          <w:pgMar w:header="726" w:footer="1527" w:top="1200" w:bottom="1720" w:left="1540" w:right="1480"/>
        </w:sectPr>
      </w:pPr>
    </w:p>
    <w:p>
      <w:pPr>
        <w:pStyle w:val="BodyText"/>
        <w:rPr>
          <w:sz w:val="20"/>
        </w:rPr>
      </w:pPr>
    </w:p>
    <w:p>
      <w:pPr>
        <w:spacing w:before="230"/>
        <w:ind w:left="362" w:right="0" w:firstLine="0"/>
        <w:jc w:val="left"/>
        <w:rPr>
          <w:b/>
          <w:i/>
          <w:sz w:val="27"/>
        </w:rPr>
      </w:pPr>
      <w:r>
        <w:rPr>
          <w:b/>
          <w:w w:val="105"/>
          <w:sz w:val="27"/>
        </w:rPr>
        <w:t>Índice de Fagocitosis de Neutrófilos sobre </w:t>
      </w:r>
      <w:r>
        <w:rPr>
          <w:b/>
          <w:i/>
          <w:w w:val="105"/>
          <w:sz w:val="27"/>
        </w:rPr>
        <w:t>Staphylococcus aureus</w:t>
      </w:r>
    </w:p>
    <w:p>
      <w:pPr>
        <w:spacing w:before="173"/>
        <w:ind w:left="2241" w:right="7785" w:firstLine="0"/>
        <w:jc w:val="center"/>
        <w:rPr>
          <w:b/>
          <w:sz w:val="21"/>
        </w:rPr>
      </w:pPr>
      <w:r>
        <w:rPr/>
        <w:drawing>
          <wp:anchor distT="0" distB="0" distL="0" distR="0" allowOverlap="1" layoutInCell="1" locked="0" behindDoc="0" simplePos="0" relativeHeight="1960">
            <wp:simplePos x="0" y="0"/>
            <wp:positionH relativeFrom="page">
              <wp:posOffset>2695947</wp:posOffset>
            </wp:positionH>
            <wp:positionV relativeFrom="paragraph">
              <wp:posOffset>180523</wp:posOffset>
            </wp:positionV>
            <wp:extent cx="2803381" cy="1881602"/>
            <wp:effectExtent l="0" t="0" r="0" b="0"/>
            <wp:wrapNone/>
            <wp:docPr id="27" name="image18.png" descr=""/>
            <wp:cNvGraphicFramePr>
              <a:graphicFrameLocks noChangeAspect="1"/>
            </wp:cNvGraphicFramePr>
            <a:graphic>
              <a:graphicData uri="http://schemas.openxmlformats.org/drawingml/2006/picture">
                <pic:pic>
                  <pic:nvPicPr>
                    <pic:cNvPr id="28" name="image18.png"/>
                    <pic:cNvPicPr/>
                  </pic:nvPicPr>
                  <pic:blipFill>
                    <a:blip r:embed="rId31" cstate="print"/>
                    <a:stretch>
                      <a:fillRect/>
                    </a:stretch>
                  </pic:blipFill>
                  <pic:spPr>
                    <a:xfrm>
                      <a:off x="0" y="0"/>
                      <a:ext cx="2803381" cy="1881602"/>
                    </a:xfrm>
                    <a:prstGeom prst="rect">
                      <a:avLst/>
                    </a:prstGeom>
                  </pic:spPr>
                </pic:pic>
              </a:graphicData>
            </a:graphic>
          </wp:anchor>
        </w:drawing>
      </w:r>
      <w:r>
        <w:rPr>
          <w:b/>
          <w:w w:val="105"/>
          <w:sz w:val="21"/>
        </w:rPr>
        <w:t>10</w:t>
      </w:r>
    </w:p>
    <w:p>
      <w:pPr>
        <w:pStyle w:val="BodyText"/>
        <w:spacing w:before="7"/>
        <w:rPr>
          <w:b/>
          <w:sz w:val="28"/>
        </w:rPr>
      </w:pPr>
    </w:p>
    <w:p>
      <w:pPr>
        <w:spacing w:before="0"/>
        <w:ind w:left="0" w:right="5423" w:firstLine="0"/>
        <w:jc w:val="center"/>
        <w:rPr>
          <w:b/>
          <w:sz w:val="21"/>
        </w:rPr>
      </w:pPr>
      <w:r>
        <w:rPr/>
        <w:pict>
          <v:shape style="position:absolute;margin-left:168.004517pt;margin-top:.57884pt;width:14pt;height:95.9pt;mso-position-horizontal-relative:page;mso-position-vertical-relative:paragraph;z-index:1984" type="#_x0000_t202" filled="false" stroked="false">
            <v:textbox inset="0,0,0,0" style="layout-flow:vertical;mso-layout-flow-alt:bottom-to-top">
              <w:txbxContent>
                <w:p>
                  <w:pPr>
                    <w:spacing w:line="265" w:lineRule="exact" w:before="0"/>
                    <w:ind w:left="20" w:right="0" w:firstLine="0"/>
                    <w:jc w:val="left"/>
                    <w:rPr>
                      <w:b/>
                      <w:i/>
                      <w:sz w:val="24"/>
                    </w:rPr>
                  </w:pPr>
                  <w:r>
                    <w:rPr>
                      <w:b/>
                      <w:w w:val="99"/>
                      <w:sz w:val="24"/>
                    </w:rPr>
                    <w:t>N</w:t>
                  </w:r>
                  <w:r>
                    <w:rPr>
                      <w:b/>
                      <w:spacing w:val="-4"/>
                      <w:w w:val="99"/>
                      <w:sz w:val="24"/>
                    </w:rPr>
                    <w:t>o</w:t>
                  </w:r>
                  <w:r>
                    <w:rPr>
                      <w:b/>
                      <w:w w:val="99"/>
                      <w:sz w:val="24"/>
                    </w:rPr>
                    <w:t>.</w:t>
                  </w:r>
                  <w:r>
                    <w:rPr>
                      <w:b/>
                      <w:spacing w:val="9"/>
                      <w:sz w:val="24"/>
                    </w:rPr>
                    <w:t> </w:t>
                  </w:r>
                  <w:r>
                    <w:rPr>
                      <w:b/>
                      <w:spacing w:val="-3"/>
                      <w:w w:val="99"/>
                      <w:sz w:val="24"/>
                    </w:rPr>
                    <w:t>d</w:t>
                  </w:r>
                  <w:r>
                    <w:rPr>
                      <w:b/>
                      <w:w w:val="99"/>
                      <w:sz w:val="24"/>
                    </w:rPr>
                    <w:t>e</w:t>
                  </w:r>
                  <w:r>
                    <w:rPr>
                      <w:b/>
                      <w:spacing w:val="-3"/>
                      <w:sz w:val="24"/>
                    </w:rPr>
                    <w:t> </w:t>
                  </w:r>
                  <w:r>
                    <w:rPr>
                      <w:b/>
                      <w:i/>
                      <w:spacing w:val="-2"/>
                      <w:w w:val="99"/>
                      <w:sz w:val="24"/>
                    </w:rPr>
                    <w:t>S</w:t>
                  </w:r>
                  <w:r>
                    <w:rPr>
                      <w:b/>
                      <w:i/>
                      <w:w w:val="99"/>
                      <w:sz w:val="24"/>
                    </w:rPr>
                    <w:t>.</w:t>
                  </w:r>
                  <w:r>
                    <w:rPr>
                      <w:b/>
                      <w:i/>
                      <w:spacing w:val="9"/>
                      <w:sz w:val="24"/>
                    </w:rPr>
                    <w:t> </w:t>
                  </w:r>
                  <w:r>
                    <w:rPr>
                      <w:b/>
                      <w:i/>
                      <w:spacing w:val="-4"/>
                      <w:w w:val="99"/>
                      <w:sz w:val="24"/>
                    </w:rPr>
                    <w:t>a</w:t>
                  </w:r>
                  <w:r>
                    <w:rPr>
                      <w:b/>
                      <w:i/>
                      <w:spacing w:val="-3"/>
                      <w:w w:val="99"/>
                      <w:sz w:val="24"/>
                    </w:rPr>
                    <w:t>u</w:t>
                  </w:r>
                  <w:r>
                    <w:rPr>
                      <w:b/>
                      <w:i/>
                      <w:spacing w:val="7"/>
                      <w:w w:val="99"/>
                      <w:sz w:val="24"/>
                    </w:rPr>
                    <w:t>r</w:t>
                  </w:r>
                  <w:r>
                    <w:rPr>
                      <w:b/>
                      <w:i/>
                      <w:spacing w:val="-4"/>
                      <w:w w:val="99"/>
                      <w:sz w:val="24"/>
                    </w:rPr>
                    <w:t>e</w:t>
                  </w:r>
                  <w:r>
                    <w:rPr>
                      <w:b/>
                      <w:i/>
                      <w:spacing w:val="-3"/>
                      <w:w w:val="99"/>
                      <w:sz w:val="24"/>
                    </w:rPr>
                    <w:t>u</w:t>
                  </w:r>
                  <w:r>
                    <w:rPr>
                      <w:b/>
                      <w:i/>
                      <w:w w:val="99"/>
                      <w:sz w:val="24"/>
                    </w:rPr>
                    <w:t>s</w:t>
                  </w:r>
                </w:p>
              </w:txbxContent>
            </v:textbox>
            <w10:wrap type="none"/>
          </v:shape>
        </w:pict>
      </w:r>
      <w:r>
        <w:rPr>
          <w:b/>
          <w:w w:val="103"/>
          <w:sz w:val="21"/>
        </w:rPr>
        <w:t>8</w:t>
      </w:r>
    </w:p>
    <w:p>
      <w:pPr>
        <w:pStyle w:val="BodyText"/>
        <w:spacing w:before="6"/>
        <w:rPr>
          <w:b/>
          <w:sz w:val="28"/>
        </w:rPr>
      </w:pPr>
    </w:p>
    <w:p>
      <w:pPr>
        <w:spacing w:before="1"/>
        <w:ind w:left="0" w:right="5423" w:firstLine="0"/>
        <w:jc w:val="center"/>
        <w:rPr>
          <w:b/>
          <w:sz w:val="21"/>
        </w:rPr>
      </w:pPr>
      <w:r>
        <w:rPr>
          <w:b/>
          <w:w w:val="103"/>
          <w:sz w:val="21"/>
        </w:rPr>
        <w:t>6</w:t>
      </w:r>
    </w:p>
    <w:p>
      <w:pPr>
        <w:pStyle w:val="BodyText"/>
        <w:spacing w:before="7"/>
        <w:rPr>
          <w:b/>
          <w:sz w:val="28"/>
        </w:rPr>
      </w:pPr>
    </w:p>
    <w:p>
      <w:pPr>
        <w:spacing w:before="0"/>
        <w:ind w:left="0" w:right="5423" w:firstLine="0"/>
        <w:jc w:val="center"/>
        <w:rPr>
          <w:b/>
          <w:sz w:val="21"/>
        </w:rPr>
      </w:pPr>
      <w:r>
        <w:rPr>
          <w:b/>
          <w:w w:val="103"/>
          <w:sz w:val="21"/>
        </w:rPr>
        <w:t>4</w:t>
      </w:r>
    </w:p>
    <w:p>
      <w:pPr>
        <w:pStyle w:val="BodyText"/>
        <w:spacing w:before="7"/>
        <w:rPr>
          <w:b/>
          <w:sz w:val="28"/>
        </w:rPr>
      </w:pPr>
    </w:p>
    <w:p>
      <w:pPr>
        <w:spacing w:before="0"/>
        <w:ind w:left="0" w:right="5423" w:firstLine="0"/>
        <w:jc w:val="center"/>
        <w:rPr>
          <w:b/>
          <w:sz w:val="21"/>
        </w:rPr>
      </w:pPr>
      <w:r>
        <w:rPr>
          <w:b/>
          <w:w w:val="103"/>
          <w:sz w:val="21"/>
        </w:rPr>
        <w:t>2</w:t>
      </w:r>
    </w:p>
    <w:p>
      <w:pPr>
        <w:pStyle w:val="BodyText"/>
        <w:spacing w:before="7"/>
        <w:rPr>
          <w:b/>
          <w:sz w:val="28"/>
        </w:rPr>
      </w:pPr>
    </w:p>
    <w:p>
      <w:pPr>
        <w:spacing w:before="0"/>
        <w:ind w:left="0" w:right="5423" w:firstLine="0"/>
        <w:jc w:val="center"/>
        <w:rPr>
          <w:b/>
          <w:sz w:val="21"/>
        </w:rPr>
      </w:pPr>
      <w:r>
        <w:rPr/>
        <w:pict>
          <v:shape style="position:absolute;margin-left:240.624054pt;margin-top:18.695219pt;width:16pt;height:10.9pt;mso-position-horizontal-relative:page;mso-position-vertical-relative:paragraph;z-index:2008;rotation:316" type="#_x0000_t136" fillcolor="#000000" stroked="f">
            <o:extrusion v:ext="view" autorotationcenter="t"/>
            <v:textpath style="font-family:&amp;quot;Arial&amp;quot;;font-size:10pt;v-text-kern:t;mso-text-shadow:auto;font-weight:bold" string="CC"/>
            <w10:wrap type="none"/>
          </v:shape>
        </w:pict>
      </w:r>
      <w:r>
        <w:rPr/>
        <w:pict>
          <v:shape style="position:absolute;margin-left:307.743622pt;margin-top:20.620821pt;width:21.3pt;height:10.9pt;mso-position-horizontal-relative:page;mso-position-vertical-relative:paragraph;z-index:2032;rotation:316" type="#_x0000_t136" fillcolor="#000000" stroked="f">
            <o:extrusion v:ext="view" autorotationcenter="t"/>
            <v:textpath style="font-family:&amp;quot;Arial&amp;quot;;font-size:10pt;v-text-kern:t;mso-text-shadow:auto;font-weight:bold" string="CP5"/>
            <w10:wrap type="none"/>
          </v:shape>
        </w:pict>
      </w:r>
      <w:r>
        <w:rPr/>
        <w:pict>
          <v:shape style="position:absolute;margin-left:379.489044pt;margin-top:20.620821pt;width:21.3pt;height:10.9pt;mso-position-horizontal-relative:page;mso-position-vertical-relative:paragraph;z-index:2056;rotation:316" type="#_x0000_t136" fillcolor="#000000" stroked="f">
            <o:extrusion v:ext="view" autorotationcenter="t"/>
            <v:textpath style="font-family:&amp;quot;Arial&amp;quot;;font-size:10pt;v-text-kern:t;mso-text-shadow:auto;font-weight:bold" string="CP8"/>
            <w10:wrap type="none"/>
          </v:shape>
        </w:pict>
      </w:r>
      <w:r>
        <w:rPr>
          <w:b/>
          <w:w w:val="103"/>
          <w:sz w:val="21"/>
        </w:rPr>
        <w:t>0</w:t>
      </w:r>
    </w:p>
    <w:p>
      <w:pPr>
        <w:pStyle w:val="BodyText"/>
        <w:rPr>
          <w:b/>
          <w:sz w:val="20"/>
        </w:rPr>
      </w:pPr>
    </w:p>
    <w:p>
      <w:pPr>
        <w:pStyle w:val="BodyText"/>
        <w:rPr>
          <w:b/>
          <w:sz w:val="20"/>
        </w:rPr>
      </w:pPr>
    </w:p>
    <w:p>
      <w:pPr>
        <w:pStyle w:val="BodyText"/>
        <w:rPr>
          <w:b/>
          <w:sz w:val="20"/>
        </w:rPr>
      </w:pPr>
    </w:p>
    <w:p>
      <w:pPr>
        <w:spacing w:line="242" w:lineRule="auto" w:before="76"/>
        <w:ind w:left="500" w:right="1578" w:firstLine="0"/>
        <w:jc w:val="both"/>
        <w:rPr>
          <w:sz w:val="20"/>
        </w:rPr>
      </w:pPr>
      <w:r>
        <w:rPr>
          <w:b/>
          <w:sz w:val="20"/>
        </w:rPr>
        <w:t>Gráfica 5. </w:t>
      </w:r>
      <w:r>
        <w:rPr>
          <w:sz w:val="20"/>
        </w:rPr>
        <w:t>Número de </w:t>
      </w:r>
      <w:r>
        <w:rPr>
          <w:i/>
          <w:sz w:val="20"/>
        </w:rPr>
        <w:t>S. aureus </w:t>
      </w:r>
      <w:r>
        <w:rPr>
          <w:sz w:val="20"/>
        </w:rPr>
        <w:t>fagocitados por los neutrófilos después de una hora de incubación. Media y desviación estándar del grupo control y grupos experimentales observadas por microscopia de epifluorescencia. Cepa control; CP5 cepa capsular 5; CP cepa capsular 8. Diferencias estadísticamente significativas entre los tratamientos P&lt;0.05.</w:t>
      </w:r>
    </w:p>
    <w:p>
      <w:pPr>
        <w:pStyle w:val="BodyText"/>
        <w:rPr>
          <w:sz w:val="20"/>
        </w:rPr>
      </w:pPr>
    </w:p>
    <w:p>
      <w:pPr>
        <w:pStyle w:val="BodyText"/>
        <w:rPr>
          <w:sz w:val="20"/>
        </w:rPr>
      </w:pPr>
    </w:p>
    <w:p>
      <w:pPr>
        <w:pStyle w:val="BodyText"/>
        <w:rPr>
          <w:sz w:val="20"/>
        </w:rPr>
      </w:pPr>
    </w:p>
    <w:p>
      <w:pPr>
        <w:pStyle w:val="BodyText"/>
        <w:spacing w:before="9"/>
        <w:rPr>
          <w:sz w:val="14"/>
        </w:rPr>
      </w:pPr>
      <w:r>
        <w:rPr/>
        <w:drawing>
          <wp:anchor distT="0" distB="0" distL="0" distR="0" allowOverlap="1" layoutInCell="1" locked="0" behindDoc="0" simplePos="0" relativeHeight="1912">
            <wp:simplePos x="0" y="0"/>
            <wp:positionH relativeFrom="page">
              <wp:posOffset>2813050</wp:posOffset>
            </wp:positionH>
            <wp:positionV relativeFrom="paragraph">
              <wp:posOffset>132741</wp:posOffset>
            </wp:positionV>
            <wp:extent cx="1048979" cy="1039368"/>
            <wp:effectExtent l="0" t="0" r="0" b="0"/>
            <wp:wrapTopAndBottom/>
            <wp:docPr id="29" name="image19.jpeg" descr=""/>
            <wp:cNvGraphicFramePr>
              <a:graphicFrameLocks noChangeAspect="1"/>
            </wp:cNvGraphicFramePr>
            <a:graphic>
              <a:graphicData uri="http://schemas.openxmlformats.org/drawingml/2006/picture">
                <pic:pic>
                  <pic:nvPicPr>
                    <pic:cNvPr id="30" name="image19.jpeg"/>
                    <pic:cNvPicPr/>
                  </pic:nvPicPr>
                  <pic:blipFill>
                    <a:blip r:embed="rId32" cstate="print"/>
                    <a:stretch>
                      <a:fillRect/>
                    </a:stretch>
                  </pic:blipFill>
                  <pic:spPr>
                    <a:xfrm>
                      <a:off x="0" y="0"/>
                      <a:ext cx="1048979" cy="1039368"/>
                    </a:xfrm>
                    <a:prstGeom prst="rect">
                      <a:avLst/>
                    </a:prstGeom>
                  </pic:spPr>
                </pic:pic>
              </a:graphicData>
            </a:graphic>
          </wp:anchor>
        </w:drawing>
      </w:r>
      <w:r>
        <w:rPr/>
        <w:drawing>
          <wp:anchor distT="0" distB="0" distL="0" distR="0" allowOverlap="1" layoutInCell="1" locked="0" behindDoc="0" simplePos="0" relativeHeight="1936">
            <wp:simplePos x="0" y="0"/>
            <wp:positionH relativeFrom="page">
              <wp:posOffset>3968750</wp:posOffset>
            </wp:positionH>
            <wp:positionV relativeFrom="paragraph">
              <wp:posOffset>132741</wp:posOffset>
            </wp:positionV>
            <wp:extent cx="985294" cy="1027747"/>
            <wp:effectExtent l="0" t="0" r="0" b="0"/>
            <wp:wrapTopAndBottom/>
            <wp:docPr id="31" name="image20.jpeg" descr=""/>
            <wp:cNvGraphicFramePr>
              <a:graphicFrameLocks noChangeAspect="1"/>
            </wp:cNvGraphicFramePr>
            <a:graphic>
              <a:graphicData uri="http://schemas.openxmlformats.org/drawingml/2006/picture">
                <pic:pic>
                  <pic:nvPicPr>
                    <pic:cNvPr id="32" name="image20.jpeg"/>
                    <pic:cNvPicPr/>
                  </pic:nvPicPr>
                  <pic:blipFill>
                    <a:blip r:embed="rId33" cstate="print"/>
                    <a:stretch>
                      <a:fillRect/>
                    </a:stretch>
                  </pic:blipFill>
                  <pic:spPr>
                    <a:xfrm>
                      <a:off x="0" y="0"/>
                      <a:ext cx="985294" cy="1027747"/>
                    </a:xfrm>
                    <a:prstGeom prst="rect">
                      <a:avLst/>
                    </a:prstGeom>
                  </pic:spPr>
                </pic:pic>
              </a:graphicData>
            </a:graphic>
          </wp:anchor>
        </w:drawing>
      </w:r>
    </w:p>
    <w:p>
      <w:pPr>
        <w:spacing w:line="242" w:lineRule="auto" w:before="132"/>
        <w:ind w:left="2849" w:right="4371" w:firstLine="0"/>
        <w:jc w:val="both"/>
        <w:rPr>
          <w:sz w:val="20"/>
        </w:rPr>
      </w:pPr>
      <w:r>
        <w:rPr>
          <w:b/>
          <w:sz w:val="20"/>
        </w:rPr>
        <w:t>Figura 11</w:t>
      </w:r>
      <w:r>
        <w:rPr>
          <w:sz w:val="20"/>
        </w:rPr>
        <w:t>. Fagocitosis por neutrófilos. Neutrófilos bovinos aislados de sangre incubados con cepas de </w:t>
      </w:r>
      <w:r>
        <w:rPr>
          <w:i/>
          <w:sz w:val="20"/>
        </w:rPr>
        <w:t>S. aureus </w:t>
      </w:r>
      <w:r>
        <w:rPr>
          <w:sz w:val="20"/>
        </w:rPr>
        <w:t>teñidas con fluoresceína (células verdes). Núcleo </w:t>
      </w:r>
      <w:r>
        <w:rPr>
          <w:spacing w:val="-3"/>
          <w:sz w:val="20"/>
        </w:rPr>
        <w:t>del </w:t>
      </w:r>
      <w:r>
        <w:rPr>
          <w:sz w:val="20"/>
        </w:rPr>
        <w:t>neutrófilo  teñido  de color</w:t>
      </w:r>
      <w:r>
        <w:rPr>
          <w:spacing w:val="-4"/>
          <w:sz w:val="20"/>
        </w:rPr>
        <w:t> </w:t>
      </w:r>
      <w:r>
        <w:rPr>
          <w:sz w:val="20"/>
        </w:rPr>
        <w:t>naranja.</w:t>
      </w:r>
    </w:p>
    <w:p>
      <w:pPr>
        <w:spacing w:after="0" w:line="242" w:lineRule="auto"/>
        <w:jc w:val="both"/>
        <w:rPr>
          <w:sz w:val="20"/>
        </w:rPr>
        <w:sectPr>
          <w:pgSz w:w="12240" w:h="15840"/>
          <w:pgMar w:header="726" w:footer="1527" w:top="1200" w:bottom="1720" w:left="1540" w:right="0"/>
        </w:sectPr>
      </w:pPr>
    </w:p>
    <w:p>
      <w:pPr>
        <w:pStyle w:val="BodyText"/>
        <w:spacing w:before="2"/>
        <w:rPr>
          <w:sz w:val="18"/>
        </w:rPr>
      </w:pPr>
    </w:p>
    <w:p>
      <w:pPr>
        <w:pStyle w:val="Heading3"/>
        <w:spacing w:before="70"/>
        <w:ind w:left="219" w:right="0"/>
        <w:jc w:val="both"/>
      </w:pPr>
      <w:bookmarkStart w:name="_bookmark35" w:id="55"/>
      <w:bookmarkEnd w:id="55"/>
      <w:r>
        <w:rPr>
          <w:b w:val="0"/>
        </w:rPr>
      </w:r>
      <w:r>
        <w:rPr/>
        <w:t>7.4.2 Evaluación de la apoptosis </w:t>
      </w:r>
      <w:r>
        <w:rPr>
          <w:i/>
        </w:rPr>
        <w:t>in vitro </w:t>
      </w:r>
      <w:r>
        <w:rPr/>
        <w:t>de neutrófilos</w:t>
      </w:r>
    </w:p>
    <w:p>
      <w:pPr>
        <w:pStyle w:val="BodyText"/>
        <w:rPr>
          <w:b/>
        </w:rPr>
      </w:pPr>
    </w:p>
    <w:p>
      <w:pPr>
        <w:pStyle w:val="BodyText"/>
        <w:spacing w:before="1"/>
        <w:rPr>
          <w:b/>
          <w:sz w:val="30"/>
        </w:rPr>
      </w:pPr>
    </w:p>
    <w:p>
      <w:pPr>
        <w:pStyle w:val="BodyText"/>
        <w:spacing w:line="360" w:lineRule="auto"/>
        <w:ind w:left="219" w:right="215"/>
        <w:jc w:val="both"/>
      </w:pPr>
      <w:r>
        <w:rPr/>
        <w:t>La evaluación de la inducción de la apoptosis (Figura 12 y 13) mediante las características morfológicas apreciadas en por epifluorescencia en frotis húmedo teñidos con bromuro de etidio y naranja de acridina fueron (Cuadro 4): C(+) 95.61±2.66, C(-) 20.20±1.77, CC 26.50±1.65, CP5 52.78±3.29, CP8 41.33±2.32</w:t>
      </w:r>
    </w:p>
    <w:p>
      <w:pPr>
        <w:pStyle w:val="BodyText"/>
        <w:spacing w:before="3"/>
        <w:ind w:left="219"/>
        <w:jc w:val="both"/>
      </w:pPr>
      <w:r>
        <w:rPr/>
        <w:t>(p&lt;0,05) (Gráfica 6).</w:t>
      </w:r>
    </w:p>
    <w:p>
      <w:pPr>
        <w:pStyle w:val="BodyText"/>
        <w:spacing w:before="9"/>
        <w:rPr>
          <w:sz w:val="29"/>
        </w:rPr>
      </w:pPr>
    </w:p>
    <w:p>
      <w:pPr>
        <w:pStyle w:val="BodyText"/>
        <w:spacing w:line="360" w:lineRule="auto"/>
        <w:ind w:left="219" w:right="216"/>
        <w:jc w:val="both"/>
      </w:pPr>
      <w:r>
        <w:rPr/>
        <w:t>Los datos obtenidos de la apoptosis de neutrófilos (Figura 14) empleando el kit comercial de Annexin V-FITC fueron los siguientes (Cuadro 4): C(+) 94.63±1.68, C(-)  19.17±1.81,  CC  28.87±2.82,  CP5  54.80±3.15  y  CP8  46.17±2.17 (p&lt;0.05)</w:t>
      </w:r>
    </w:p>
    <w:p>
      <w:pPr>
        <w:pStyle w:val="BodyText"/>
        <w:spacing w:line="275" w:lineRule="exact"/>
        <w:ind w:left="219"/>
        <w:jc w:val="both"/>
      </w:pPr>
      <w:r>
        <w:rPr/>
        <w:t>(Cuadro 5, gráfica 7).</w:t>
      </w:r>
    </w:p>
    <w:p>
      <w:pPr>
        <w:pStyle w:val="BodyText"/>
      </w:pPr>
    </w:p>
    <w:p>
      <w:pPr>
        <w:pStyle w:val="BodyText"/>
      </w:pPr>
    </w:p>
    <w:p>
      <w:pPr>
        <w:pStyle w:val="BodyText"/>
        <w:spacing w:before="9"/>
        <w:rPr>
          <w:sz w:val="34"/>
        </w:rPr>
      </w:pPr>
    </w:p>
    <w:p>
      <w:pPr>
        <w:spacing w:before="0"/>
        <w:ind w:left="219" w:right="0" w:firstLine="0"/>
        <w:jc w:val="both"/>
        <w:rPr>
          <w:sz w:val="20"/>
        </w:rPr>
      </w:pPr>
      <w:r>
        <w:rPr>
          <w:b/>
          <w:sz w:val="20"/>
        </w:rPr>
        <w:t>Cuadro 4</w:t>
      </w:r>
      <w:r>
        <w:rPr>
          <w:sz w:val="20"/>
        </w:rPr>
        <w:t>. Evaluación de la Inducción de Apoptosis </w:t>
      </w:r>
      <w:r>
        <w:rPr>
          <w:i/>
          <w:sz w:val="20"/>
        </w:rPr>
        <w:t>in vitro </w:t>
      </w:r>
      <w:r>
        <w:rPr>
          <w:sz w:val="20"/>
        </w:rPr>
        <w:t>de neutrófilos de vacas lecheras por</w:t>
      </w:r>
    </w:p>
    <w:p>
      <w:pPr>
        <w:spacing w:before="0"/>
        <w:ind w:left="219" w:right="0" w:firstLine="0"/>
        <w:jc w:val="both"/>
        <w:rPr>
          <w:sz w:val="20"/>
        </w:rPr>
      </w:pPr>
      <w:r>
        <w:rPr>
          <w:i/>
          <w:sz w:val="20"/>
        </w:rPr>
        <w:t>Sthaphylococcus aureus</w:t>
      </w:r>
      <w:r>
        <w:rPr>
          <w:sz w:val="20"/>
        </w:rPr>
        <w:t>.</w:t>
      </w:r>
    </w:p>
    <w:p>
      <w:pPr>
        <w:pStyle w:val="BodyText"/>
        <w:spacing w:before="5"/>
        <w:rPr>
          <w:sz w:val="18"/>
        </w:rPr>
      </w:pPr>
    </w:p>
    <w:tbl>
      <w:tblPr>
        <w:tblW w:w="0" w:type="auto"/>
        <w:jc w:val="left"/>
        <w:tblInd w:w="109" w:type="dxa"/>
        <w:tblBorders>
          <w:top w:val="thickThinMediumGap" w:sz="17" w:space="0" w:color="000000"/>
          <w:left w:val="thickThinMediumGap" w:sz="17" w:space="0" w:color="000000"/>
          <w:bottom w:val="thickThinMediumGap" w:sz="17" w:space="0" w:color="000000"/>
          <w:right w:val="thickThinMediumGap" w:sz="17" w:space="0" w:color="000000"/>
          <w:insideH w:val="thickThinMediumGap" w:sz="17" w:space="0" w:color="000000"/>
          <w:insideV w:val="thickThinMediumGap" w:sz="17" w:space="0" w:color="000000"/>
        </w:tblBorders>
        <w:tblLayout w:type="fixed"/>
        <w:tblCellMar>
          <w:top w:w="0" w:type="dxa"/>
          <w:left w:w="0" w:type="dxa"/>
          <w:bottom w:w="0" w:type="dxa"/>
          <w:right w:w="0" w:type="dxa"/>
        </w:tblCellMar>
        <w:tblLook w:val="01E0"/>
      </w:tblPr>
      <w:tblGrid>
        <w:gridCol w:w="1995"/>
        <w:gridCol w:w="1407"/>
        <w:gridCol w:w="1407"/>
        <w:gridCol w:w="1407"/>
        <w:gridCol w:w="1414"/>
        <w:gridCol w:w="1431"/>
      </w:tblGrid>
      <w:tr>
        <w:trPr>
          <w:trHeight w:val="638" w:hRule="exact"/>
        </w:trPr>
        <w:tc>
          <w:tcPr>
            <w:tcW w:w="1995" w:type="dxa"/>
            <w:tcBorders>
              <w:left w:val="nil"/>
              <w:bottom w:val="single" w:sz="12" w:space="0" w:color="000000"/>
              <w:right w:val="nil"/>
            </w:tcBorders>
          </w:tcPr>
          <w:p>
            <w:pPr>
              <w:pStyle w:val="TableParagraph"/>
              <w:spacing w:line="243" w:lineRule="exact"/>
              <w:ind w:left="110"/>
              <w:rPr>
                <w:b/>
                <w:sz w:val="22"/>
              </w:rPr>
            </w:pPr>
            <w:r>
              <w:rPr>
                <w:b/>
                <w:sz w:val="22"/>
              </w:rPr>
              <w:t>FLUOROCROMO</w:t>
            </w:r>
          </w:p>
        </w:tc>
        <w:tc>
          <w:tcPr>
            <w:tcW w:w="1407" w:type="dxa"/>
            <w:tcBorders>
              <w:left w:val="nil"/>
              <w:bottom w:val="single" w:sz="12" w:space="0" w:color="000000"/>
              <w:right w:val="nil"/>
            </w:tcBorders>
          </w:tcPr>
          <w:p>
            <w:pPr>
              <w:pStyle w:val="TableParagraph"/>
              <w:spacing w:line="243" w:lineRule="exact"/>
              <w:ind w:left="466" w:right="466"/>
              <w:jc w:val="center"/>
              <w:rPr>
                <w:b/>
                <w:sz w:val="22"/>
              </w:rPr>
            </w:pPr>
            <w:r>
              <w:rPr>
                <w:b/>
                <w:sz w:val="22"/>
              </w:rPr>
              <w:t>C(+)</w:t>
            </w:r>
          </w:p>
        </w:tc>
        <w:tc>
          <w:tcPr>
            <w:tcW w:w="1407" w:type="dxa"/>
            <w:tcBorders>
              <w:left w:val="nil"/>
              <w:bottom w:val="single" w:sz="12" w:space="0" w:color="000000"/>
              <w:right w:val="nil"/>
            </w:tcBorders>
          </w:tcPr>
          <w:p>
            <w:pPr>
              <w:pStyle w:val="TableParagraph"/>
              <w:spacing w:line="243" w:lineRule="exact"/>
              <w:ind w:left="491" w:right="496"/>
              <w:jc w:val="center"/>
              <w:rPr>
                <w:b/>
                <w:sz w:val="22"/>
              </w:rPr>
            </w:pPr>
            <w:r>
              <w:rPr>
                <w:b/>
                <w:sz w:val="22"/>
              </w:rPr>
              <w:t>C(-)</w:t>
            </w:r>
          </w:p>
        </w:tc>
        <w:tc>
          <w:tcPr>
            <w:tcW w:w="1407" w:type="dxa"/>
            <w:tcBorders>
              <w:left w:val="nil"/>
              <w:bottom w:val="single" w:sz="12" w:space="0" w:color="000000"/>
              <w:right w:val="nil"/>
            </w:tcBorders>
          </w:tcPr>
          <w:p>
            <w:pPr>
              <w:pStyle w:val="TableParagraph"/>
              <w:spacing w:line="243" w:lineRule="exact"/>
              <w:ind w:left="524" w:right="524"/>
              <w:jc w:val="center"/>
              <w:rPr>
                <w:b/>
                <w:sz w:val="22"/>
              </w:rPr>
            </w:pPr>
            <w:r>
              <w:rPr>
                <w:b/>
                <w:sz w:val="22"/>
              </w:rPr>
              <w:t>CC</w:t>
            </w:r>
          </w:p>
        </w:tc>
        <w:tc>
          <w:tcPr>
            <w:tcW w:w="1414" w:type="dxa"/>
            <w:tcBorders>
              <w:left w:val="nil"/>
              <w:bottom w:val="single" w:sz="12" w:space="0" w:color="000000"/>
              <w:right w:val="nil"/>
            </w:tcBorders>
          </w:tcPr>
          <w:p>
            <w:pPr>
              <w:pStyle w:val="TableParagraph"/>
              <w:spacing w:line="243" w:lineRule="exact"/>
              <w:ind w:left="478" w:right="468"/>
              <w:jc w:val="center"/>
              <w:rPr>
                <w:b/>
                <w:sz w:val="22"/>
              </w:rPr>
            </w:pPr>
            <w:r>
              <w:rPr>
                <w:b/>
                <w:sz w:val="22"/>
              </w:rPr>
              <w:t>CP5</w:t>
            </w:r>
          </w:p>
        </w:tc>
        <w:tc>
          <w:tcPr>
            <w:tcW w:w="1431" w:type="dxa"/>
            <w:tcBorders>
              <w:left w:val="nil"/>
              <w:bottom w:val="single" w:sz="12" w:space="0" w:color="000000"/>
              <w:right w:val="nil"/>
            </w:tcBorders>
          </w:tcPr>
          <w:p>
            <w:pPr>
              <w:pStyle w:val="TableParagraph"/>
              <w:spacing w:line="243" w:lineRule="exact"/>
              <w:ind w:left="485" w:right="478"/>
              <w:jc w:val="center"/>
              <w:rPr>
                <w:b/>
                <w:sz w:val="22"/>
              </w:rPr>
            </w:pPr>
            <w:r>
              <w:rPr>
                <w:b/>
                <w:sz w:val="22"/>
              </w:rPr>
              <w:t>CP8</w:t>
            </w:r>
          </w:p>
        </w:tc>
      </w:tr>
      <w:tr>
        <w:trPr>
          <w:trHeight w:val="882" w:hRule="exact"/>
        </w:trPr>
        <w:tc>
          <w:tcPr>
            <w:tcW w:w="1995" w:type="dxa"/>
            <w:tcBorders>
              <w:top w:val="single" w:sz="12" w:space="0" w:color="000000"/>
              <w:left w:val="nil"/>
              <w:bottom w:val="nil"/>
              <w:right w:val="nil"/>
            </w:tcBorders>
          </w:tcPr>
          <w:p>
            <w:pPr>
              <w:pStyle w:val="TableParagraph"/>
              <w:spacing w:line="242" w:lineRule="auto"/>
              <w:ind w:left="110" w:right="106"/>
              <w:jc w:val="both"/>
              <w:rPr>
                <w:sz w:val="22"/>
              </w:rPr>
            </w:pPr>
            <w:r>
              <w:rPr>
                <w:sz w:val="22"/>
              </w:rPr>
              <w:t>Bromuro de etidio y naranja de acridina</w:t>
            </w:r>
          </w:p>
        </w:tc>
        <w:tc>
          <w:tcPr>
            <w:tcW w:w="1407" w:type="dxa"/>
            <w:tcBorders>
              <w:top w:val="single" w:sz="12" w:space="0" w:color="000000"/>
              <w:left w:val="nil"/>
              <w:bottom w:val="nil"/>
              <w:right w:val="nil"/>
            </w:tcBorders>
          </w:tcPr>
          <w:p>
            <w:pPr>
              <w:pStyle w:val="TableParagraph"/>
              <w:spacing w:line="248" w:lineRule="exact"/>
              <w:ind w:left="108"/>
              <w:rPr>
                <w:sz w:val="22"/>
              </w:rPr>
            </w:pPr>
            <w:r>
              <w:rPr>
                <w:sz w:val="22"/>
              </w:rPr>
              <w:t>95.61±2.66*</w:t>
            </w:r>
          </w:p>
        </w:tc>
        <w:tc>
          <w:tcPr>
            <w:tcW w:w="1407" w:type="dxa"/>
            <w:tcBorders>
              <w:top w:val="single" w:sz="12" w:space="0" w:color="000000"/>
              <w:left w:val="nil"/>
              <w:bottom w:val="nil"/>
              <w:right w:val="nil"/>
            </w:tcBorders>
          </w:tcPr>
          <w:p>
            <w:pPr>
              <w:pStyle w:val="TableParagraph"/>
              <w:spacing w:line="248" w:lineRule="exact"/>
              <w:ind w:left="108"/>
              <w:rPr>
                <w:sz w:val="22"/>
              </w:rPr>
            </w:pPr>
            <w:r>
              <w:rPr>
                <w:sz w:val="22"/>
              </w:rPr>
              <w:t>20.20±1.77*</w:t>
            </w:r>
          </w:p>
        </w:tc>
        <w:tc>
          <w:tcPr>
            <w:tcW w:w="1407" w:type="dxa"/>
            <w:tcBorders>
              <w:top w:val="single" w:sz="12" w:space="0" w:color="000000"/>
              <w:left w:val="nil"/>
              <w:bottom w:val="nil"/>
              <w:right w:val="nil"/>
            </w:tcBorders>
          </w:tcPr>
          <w:p>
            <w:pPr>
              <w:pStyle w:val="TableParagraph"/>
              <w:spacing w:line="248" w:lineRule="exact"/>
              <w:ind w:left="108"/>
              <w:rPr>
                <w:sz w:val="22"/>
              </w:rPr>
            </w:pPr>
            <w:r>
              <w:rPr>
                <w:sz w:val="22"/>
              </w:rPr>
              <w:t>26.50±1.65*</w:t>
            </w:r>
          </w:p>
        </w:tc>
        <w:tc>
          <w:tcPr>
            <w:tcW w:w="1414" w:type="dxa"/>
            <w:tcBorders>
              <w:top w:val="single" w:sz="12" w:space="0" w:color="000000"/>
              <w:left w:val="nil"/>
              <w:bottom w:val="nil"/>
              <w:right w:val="nil"/>
            </w:tcBorders>
          </w:tcPr>
          <w:p>
            <w:pPr>
              <w:pStyle w:val="TableParagraph"/>
              <w:spacing w:line="248" w:lineRule="exact"/>
              <w:ind w:left="108"/>
              <w:rPr>
                <w:sz w:val="22"/>
              </w:rPr>
            </w:pPr>
            <w:r>
              <w:rPr>
                <w:sz w:val="22"/>
              </w:rPr>
              <w:t>52.78±3.29*</w:t>
            </w:r>
          </w:p>
        </w:tc>
        <w:tc>
          <w:tcPr>
            <w:tcW w:w="1431" w:type="dxa"/>
            <w:tcBorders>
              <w:top w:val="single" w:sz="12" w:space="0" w:color="000000"/>
              <w:left w:val="nil"/>
              <w:bottom w:val="nil"/>
              <w:right w:val="nil"/>
            </w:tcBorders>
          </w:tcPr>
          <w:p>
            <w:pPr>
              <w:pStyle w:val="TableParagraph"/>
              <w:spacing w:line="248" w:lineRule="exact"/>
              <w:ind w:left="115"/>
              <w:rPr>
                <w:sz w:val="22"/>
              </w:rPr>
            </w:pPr>
            <w:r>
              <w:rPr>
                <w:sz w:val="22"/>
              </w:rPr>
              <w:t>41.33±2.32*</w:t>
            </w:r>
          </w:p>
        </w:tc>
      </w:tr>
      <w:tr>
        <w:trPr>
          <w:trHeight w:val="722" w:hRule="exact"/>
        </w:trPr>
        <w:tc>
          <w:tcPr>
            <w:tcW w:w="1995" w:type="dxa"/>
            <w:tcBorders>
              <w:top w:val="nil"/>
              <w:left w:val="nil"/>
              <w:right w:val="nil"/>
            </w:tcBorders>
          </w:tcPr>
          <w:p>
            <w:pPr>
              <w:pStyle w:val="TableParagraph"/>
              <w:spacing w:before="88"/>
              <w:ind w:left="110"/>
              <w:rPr>
                <w:sz w:val="22"/>
              </w:rPr>
            </w:pPr>
            <w:r>
              <w:rPr>
                <w:sz w:val="22"/>
              </w:rPr>
              <w:t>Annexin V-FITC</w:t>
            </w:r>
          </w:p>
        </w:tc>
        <w:tc>
          <w:tcPr>
            <w:tcW w:w="1407" w:type="dxa"/>
            <w:tcBorders>
              <w:top w:val="nil"/>
              <w:left w:val="nil"/>
              <w:right w:val="nil"/>
            </w:tcBorders>
          </w:tcPr>
          <w:p>
            <w:pPr>
              <w:pStyle w:val="TableParagraph"/>
              <w:spacing w:before="88"/>
              <w:ind w:left="108"/>
              <w:rPr>
                <w:sz w:val="22"/>
              </w:rPr>
            </w:pPr>
            <w:r>
              <w:rPr>
                <w:sz w:val="22"/>
              </w:rPr>
              <w:t>94.63±1.7</w:t>
            </w:r>
          </w:p>
        </w:tc>
        <w:tc>
          <w:tcPr>
            <w:tcW w:w="1407" w:type="dxa"/>
            <w:tcBorders>
              <w:top w:val="nil"/>
              <w:left w:val="nil"/>
              <w:right w:val="nil"/>
            </w:tcBorders>
          </w:tcPr>
          <w:p>
            <w:pPr>
              <w:pStyle w:val="TableParagraph"/>
              <w:spacing w:before="88"/>
              <w:ind w:left="108"/>
              <w:rPr>
                <w:sz w:val="22"/>
              </w:rPr>
            </w:pPr>
            <w:r>
              <w:rPr>
                <w:sz w:val="22"/>
              </w:rPr>
              <w:t>19.17±1.8</w:t>
            </w:r>
          </w:p>
        </w:tc>
        <w:tc>
          <w:tcPr>
            <w:tcW w:w="1407" w:type="dxa"/>
            <w:tcBorders>
              <w:top w:val="nil"/>
              <w:left w:val="nil"/>
              <w:right w:val="nil"/>
            </w:tcBorders>
          </w:tcPr>
          <w:p>
            <w:pPr>
              <w:pStyle w:val="TableParagraph"/>
              <w:spacing w:before="88"/>
              <w:ind w:left="108"/>
              <w:rPr>
                <w:sz w:val="22"/>
              </w:rPr>
            </w:pPr>
            <w:r>
              <w:rPr>
                <w:sz w:val="22"/>
              </w:rPr>
              <w:t>28.87±2.8</w:t>
            </w:r>
          </w:p>
        </w:tc>
        <w:tc>
          <w:tcPr>
            <w:tcW w:w="1414" w:type="dxa"/>
            <w:tcBorders>
              <w:top w:val="nil"/>
              <w:left w:val="nil"/>
              <w:right w:val="nil"/>
            </w:tcBorders>
          </w:tcPr>
          <w:p>
            <w:pPr>
              <w:pStyle w:val="TableParagraph"/>
              <w:spacing w:before="88"/>
              <w:ind w:left="108"/>
              <w:rPr>
                <w:sz w:val="22"/>
              </w:rPr>
            </w:pPr>
            <w:r>
              <w:rPr>
                <w:sz w:val="22"/>
              </w:rPr>
              <w:t>54.80±3.2</w:t>
            </w:r>
          </w:p>
        </w:tc>
        <w:tc>
          <w:tcPr>
            <w:tcW w:w="1431" w:type="dxa"/>
            <w:tcBorders>
              <w:top w:val="nil"/>
              <w:left w:val="nil"/>
              <w:right w:val="nil"/>
            </w:tcBorders>
          </w:tcPr>
          <w:p>
            <w:pPr>
              <w:pStyle w:val="TableParagraph"/>
              <w:spacing w:before="88"/>
              <w:ind w:left="115"/>
              <w:rPr>
                <w:sz w:val="22"/>
              </w:rPr>
            </w:pPr>
            <w:r>
              <w:rPr>
                <w:sz w:val="22"/>
              </w:rPr>
              <w:t>45.89±2.1</w:t>
            </w:r>
          </w:p>
        </w:tc>
      </w:tr>
    </w:tbl>
    <w:p>
      <w:pPr>
        <w:spacing w:line="237" w:lineRule="auto" w:before="136"/>
        <w:ind w:left="114" w:right="173" w:firstLine="0"/>
        <w:jc w:val="both"/>
        <w:rPr>
          <w:sz w:val="20"/>
        </w:rPr>
      </w:pPr>
      <w:r>
        <w:rPr>
          <w:sz w:val="20"/>
        </w:rPr>
        <w:t>Los datos muestran la media y desviación estándar ±. C(+) cepa control positivo; C(-) cepa control negativo CC; cepa de </w:t>
      </w:r>
      <w:r>
        <w:rPr>
          <w:i/>
          <w:sz w:val="20"/>
        </w:rPr>
        <w:t>S. aureus </w:t>
      </w:r>
      <w:r>
        <w:rPr>
          <w:sz w:val="20"/>
        </w:rPr>
        <w:t>tipo compacta; CP5: Cepa de </w:t>
      </w:r>
      <w:r>
        <w:rPr>
          <w:i/>
          <w:sz w:val="20"/>
        </w:rPr>
        <w:t>S. aureus </w:t>
      </w:r>
      <w:r>
        <w:rPr>
          <w:sz w:val="20"/>
        </w:rPr>
        <w:t>de tipo capsular 5; CP8: cepa de </w:t>
      </w:r>
      <w:r>
        <w:rPr>
          <w:i/>
          <w:sz w:val="20"/>
        </w:rPr>
        <w:t>S. aureus </w:t>
      </w:r>
      <w:r>
        <w:rPr>
          <w:sz w:val="20"/>
        </w:rPr>
        <w:t>tipo capsular 8. *Diferencias estadísticas (P&lt;0.05).</w:t>
      </w:r>
    </w:p>
    <w:p>
      <w:pPr>
        <w:spacing w:after="0" w:line="237" w:lineRule="auto"/>
        <w:jc w:val="both"/>
        <w:rPr>
          <w:sz w:val="20"/>
        </w:rPr>
        <w:sectPr>
          <w:pgSz w:w="12240" w:h="15840"/>
          <w:pgMar w:header="726" w:footer="1527" w:top="1200" w:bottom="1720" w:left="1480" w:right="1480"/>
        </w:sectPr>
      </w:pPr>
    </w:p>
    <w:p>
      <w:pPr>
        <w:pStyle w:val="BodyText"/>
        <w:rPr>
          <w:sz w:val="20"/>
        </w:rPr>
      </w:pPr>
    </w:p>
    <w:p>
      <w:pPr>
        <w:spacing w:before="235"/>
        <w:ind w:left="354" w:right="0" w:firstLine="0"/>
        <w:jc w:val="left"/>
        <w:rPr>
          <w:b/>
          <w:i/>
          <w:sz w:val="30"/>
        </w:rPr>
      </w:pPr>
      <w:r>
        <w:rPr>
          <w:b/>
          <w:w w:val="90"/>
          <w:sz w:val="30"/>
        </w:rPr>
        <w:t>Inducción de apoptosis en neutrófilos por </w:t>
      </w:r>
      <w:r>
        <w:rPr>
          <w:b/>
          <w:i/>
          <w:w w:val="90"/>
          <w:sz w:val="30"/>
        </w:rPr>
        <w:t>Staphylococcus aureus</w:t>
      </w:r>
    </w:p>
    <w:p>
      <w:pPr>
        <w:spacing w:before="179"/>
        <w:ind w:left="2308" w:right="0" w:firstLine="0"/>
        <w:jc w:val="left"/>
        <w:rPr>
          <w:b/>
          <w:sz w:val="23"/>
        </w:rPr>
      </w:pPr>
      <w:r>
        <w:rPr/>
        <w:pict>
          <v:group style="position:absolute;margin-left:209.620422pt;margin-top:15.141805pt;width:212.85pt;height:159pt;mso-position-horizontal-relative:page;mso-position-vertical-relative:paragraph;z-index:2080" coordorigin="4192,303" coordsize="4257,3180">
            <v:line style="position:absolute" from="4453,1445" to="4480,1445" stroked="true" strokeweight="1.403301pt" strokecolor="#000000"/>
            <v:line style="position:absolute" from="4508,1445" to="4536,1445" stroked="true" strokeweight="1.403301pt" strokecolor="#000000"/>
            <v:line style="position:absolute" from="4563,1445" to="4591,1445" stroked="true" strokeweight="1.403301pt" strokecolor="#000000"/>
            <v:line style="position:absolute" from="4618,1445" to="4646,1445" stroked="true" strokeweight="1.403301pt" strokecolor="#000000"/>
            <v:line style="position:absolute" from="4674,1445" to="4701,1445" stroked="true" strokeweight="1.403301pt" strokecolor="#000000"/>
            <v:line style="position:absolute" from="4729,1445" to="4757,1445" stroked="true" strokeweight="1.403301pt" strokecolor="#000000"/>
            <v:line style="position:absolute" from="4784,1445" to="4812,1445" stroked="true" strokeweight="1.403301pt" strokecolor="#000000"/>
            <v:line style="position:absolute" from="4840,1445" to="4867,1445" stroked="true" strokeweight="1.403301pt" strokecolor="#000000"/>
            <v:line style="position:absolute" from="4895,1445" to="4923,1445" stroked="true" strokeweight="1.403301pt" strokecolor="#000000"/>
            <v:line style="position:absolute" from="4950,1445" to="4978,1445" stroked="true" strokeweight="1.403301pt" strokecolor="#000000"/>
            <v:line style="position:absolute" from="4425,1476" to="4453,1476" stroked="true" strokeweight="1.403301pt" strokecolor="#000000"/>
            <v:line style="position:absolute" from="4480,1476" to="4508,1476" stroked="true" strokeweight="1.403301pt" strokecolor="#000000"/>
            <v:line style="position:absolute" from="4535,1476" to="4563,1476" stroked="true" strokeweight="1.403301pt" strokecolor="#000000"/>
            <v:line style="position:absolute" from="4591,1476" to="4618,1476" stroked="true" strokeweight="1.403301pt" strokecolor="#000000"/>
            <v:line style="position:absolute" from="4646,1476" to="4674,1476" stroked="true" strokeweight="1.403301pt" strokecolor="#000000"/>
            <v:line style="position:absolute" from="4701,1476" to="4729,1476" stroked="true" strokeweight="1.403301pt" strokecolor="#000000"/>
            <v:line style="position:absolute" from="4757,1476" to="4784,1476" stroked="true" strokeweight="1.403301pt" strokecolor="#000000"/>
            <v:line style="position:absolute" from="4812,1476" to="4840,1476" stroked="true" strokeweight="1.403301pt" strokecolor="#000000"/>
            <v:line style="position:absolute" from="4867,1476" to="4895,1476" stroked="true" strokeweight="1.403301pt" strokecolor="#000000"/>
            <v:line style="position:absolute" from="4922,1476" to="4950,1476" stroked="true" strokeweight="1.403301pt" strokecolor="#000000"/>
            <v:line style="position:absolute" from="4453,1506" to="4480,1506" stroked="true" strokeweight="1.403301pt" strokecolor="#000000"/>
            <v:line style="position:absolute" from="4508,1506" to="4536,1506" stroked="true" strokeweight="1.403301pt" strokecolor="#000000"/>
            <v:line style="position:absolute" from="4563,1506" to="4591,1506" stroked="true" strokeweight="1.403301pt" strokecolor="#000000"/>
            <v:line style="position:absolute" from="4618,1506" to="4646,1506" stroked="true" strokeweight="1.403301pt" strokecolor="#000000"/>
            <v:line style="position:absolute" from="4674,1506" to="4701,1506" stroked="true" strokeweight="1.403301pt" strokecolor="#000000"/>
            <v:line style="position:absolute" from="4729,1506" to="4757,1506" stroked="true" strokeweight="1.403301pt" strokecolor="#000000"/>
            <v:line style="position:absolute" from="4784,1506" to="4812,1506" stroked="true" strokeweight="1.403301pt" strokecolor="#000000"/>
            <v:line style="position:absolute" from="4840,1506" to="4867,1506" stroked="true" strokeweight="1.403301pt" strokecolor="#000000"/>
            <v:line style="position:absolute" from="4895,1506" to="4923,1506" stroked="true" strokeweight="1.403301pt" strokecolor="#000000"/>
            <v:line style="position:absolute" from="4950,1506" to="4978,1506" stroked="true" strokeweight="1.403301pt" strokecolor="#000000"/>
            <v:line style="position:absolute" from="4425,1537" to="4453,1537" stroked="true" strokeweight="1.403301pt" strokecolor="#000000"/>
            <v:line style="position:absolute" from="4480,1537" to="4508,1537" stroked="true" strokeweight="1.403301pt" strokecolor="#000000"/>
            <v:line style="position:absolute" from="4535,1537" to="4563,1537" stroked="true" strokeweight="1.403301pt" strokecolor="#000000"/>
            <v:line style="position:absolute" from="4591,1537" to="4618,1537" stroked="true" strokeweight="1.403301pt" strokecolor="#000000"/>
            <v:line style="position:absolute" from="4646,1537" to="4674,1537" stroked="true" strokeweight="1.403301pt" strokecolor="#000000"/>
            <v:line style="position:absolute" from="4701,1537" to="4729,1537" stroked="true" strokeweight="1.403301pt" strokecolor="#000000"/>
            <v:line style="position:absolute" from="4757,1537" to="4784,1537" stroked="true" strokeweight="1.403301pt" strokecolor="#000000"/>
            <v:line style="position:absolute" from="4812,1537" to="4840,1537" stroked="true" strokeweight="1.403301pt" strokecolor="#000000"/>
            <v:line style="position:absolute" from="4867,1537" to="4895,1537" stroked="true" strokeweight="1.403301pt" strokecolor="#000000"/>
            <v:line style="position:absolute" from="4922,1537" to="4950,1537" stroked="true" strokeweight="1.403301pt" strokecolor="#000000"/>
            <v:line style="position:absolute" from="4453,1568" to="4480,1568" stroked="true" strokeweight="1.403301pt" strokecolor="#000000"/>
            <v:line style="position:absolute" from="4508,1568" to="4536,1568" stroked="true" strokeweight="1.403301pt" strokecolor="#000000"/>
            <v:line style="position:absolute" from="4563,1568" to="4591,1568" stroked="true" strokeweight="1.403301pt" strokecolor="#000000"/>
            <v:line style="position:absolute" from="4618,1568" to="4646,1568" stroked="true" strokeweight="1.403301pt" strokecolor="#000000"/>
            <v:line style="position:absolute" from="4674,1568" to="4701,1568" stroked="true" strokeweight="1.403301pt" strokecolor="#000000"/>
            <v:line style="position:absolute" from="4729,1568" to="4757,1568" stroked="true" strokeweight="1.403301pt" strokecolor="#000000"/>
            <v:line style="position:absolute" from="4784,1568" to="4812,1568" stroked="true" strokeweight="1.403301pt" strokecolor="#000000"/>
            <v:line style="position:absolute" from="4840,1568" to="4867,1568" stroked="true" strokeweight="1.403301pt" strokecolor="#000000"/>
            <v:line style="position:absolute" from="4895,1568" to="4923,1568" stroked="true" strokeweight="1.403301pt" strokecolor="#000000"/>
            <v:line style="position:absolute" from="4950,1568" to="4978,1568" stroked="true" strokeweight="1.403301pt" strokecolor="#000000"/>
            <v:line style="position:absolute" from="4425,1598" to="4453,1598" stroked="true" strokeweight="1.403301pt" strokecolor="#000000"/>
            <v:line style="position:absolute" from="4480,1598" to="4508,1598" stroked="true" strokeweight="1.403301pt" strokecolor="#000000"/>
            <v:line style="position:absolute" from="4535,1598" to="4563,1598" stroked="true" strokeweight="1.403301pt" strokecolor="#000000"/>
            <v:line style="position:absolute" from="4591,1598" to="4618,1598" stroked="true" strokeweight="1.403301pt" strokecolor="#000000"/>
            <v:line style="position:absolute" from="4646,1598" to="4674,1598" stroked="true" strokeweight="1.403301pt" strokecolor="#000000"/>
            <v:line style="position:absolute" from="4701,1598" to="4729,1598" stroked="true" strokeweight="1.403301pt" strokecolor="#000000"/>
            <v:line style="position:absolute" from="4757,1598" to="4784,1598" stroked="true" strokeweight="1.403301pt" strokecolor="#000000"/>
            <v:line style="position:absolute" from="4812,1598" to="4840,1598" stroked="true" strokeweight="1.403301pt" strokecolor="#000000"/>
            <v:line style="position:absolute" from="4867,1598" to="4895,1598" stroked="true" strokeweight="1.403301pt" strokecolor="#000000"/>
            <v:line style="position:absolute" from="4922,1598" to="4950,1598" stroked="true" strokeweight="1.403301pt" strokecolor="#000000"/>
            <v:line style="position:absolute" from="4453,1629" to="4480,1629" stroked="true" strokeweight="1.403301pt" strokecolor="#000000"/>
            <v:line style="position:absolute" from="4508,1629" to="4536,1629" stroked="true" strokeweight="1.403301pt" strokecolor="#000000"/>
            <v:line style="position:absolute" from="4563,1629" to="4591,1629" stroked="true" strokeweight="1.403301pt" strokecolor="#000000"/>
            <v:line style="position:absolute" from="4618,1629" to="4646,1629" stroked="true" strokeweight="1.403301pt" strokecolor="#000000"/>
            <v:line style="position:absolute" from="4674,1629" to="4701,1629" stroked="true" strokeweight="1.403301pt" strokecolor="#000000"/>
            <v:line style="position:absolute" from="4729,1629" to="4757,1629" stroked="true" strokeweight="1.403301pt" strokecolor="#000000"/>
            <v:line style="position:absolute" from="4784,1629" to="4812,1629" stroked="true" strokeweight="1.403301pt" strokecolor="#000000"/>
            <v:line style="position:absolute" from="4840,1629" to="4867,1629" stroked="true" strokeweight="1.403301pt" strokecolor="#000000"/>
            <v:line style="position:absolute" from="4895,1629" to="4923,1629" stroked="true" strokeweight="1.403301pt" strokecolor="#000000"/>
            <v:line style="position:absolute" from="4950,1629" to="4978,1629" stroked="true" strokeweight="1.403301pt" strokecolor="#000000"/>
            <v:line style="position:absolute" from="4425,1660" to="4453,1660" stroked="true" strokeweight="1.403301pt" strokecolor="#000000"/>
            <v:line style="position:absolute" from="4480,1660" to="4508,1660" stroked="true" strokeweight="1.403301pt" strokecolor="#000000"/>
            <v:line style="position:absolute" from="4535,1660" to="4563,1660" stroked="true" strokeweight="1.403301pt" strokecolor="#000000"/>
            <v:line style="position:absolute" from="4591,1660" to="4618,1660" stroked="true" strokeweight="1.403301pt" strokecolor="#000000"/>
            <v:line style="position:absolute" from="4646,1660" to="4674,1660" stroked="true" strokeweight="1.403301pt" strokecolor="#000000"/>
            <v:line style="position:absolute" from="4701,1660" to="4729,1660" stroked="true" strokeweight="1.403301pt" strokecolor="#000000"/>
            <v:line style="position:absolute" from="4757,1660" to="4784,1660" stroked="true" strokeweight="1.403301pt" strokecolor="#000000"/>
            <v:line style="position:absolute" from="4812,1660" to="4840,1660" stroked="true" strokeweight="1.403301pt" strokecolor="#000000"/>
            <v:line style="position:absolute" from="4867,1660" to="4895,1660" stroked="true" strokeweight="1.403301pt" strokecolor="#000000"/>
            <v:line style="position:absolute" from="4922,1660" to="4950,1660" stroked="true" strokeweight="1.403301pt" strokecolor="#000000"/>
            <v:line style="position:absolute" from="4453,1690" to="4480,1690" stroked="true" strokeweight="1.403301pt" strokecolor="#000000"/>
            <v:line style="position:absolute" from="4508,1690" to="4536,1690" stroked="true" strokeweight="1.403301pt" strokecolor="#000000"/>
            <v:line style="position:absolute" from="4563,1690" to="4591,1690" stroked="true" strokeweight="1.403301pt" strokecolor="#000000"/>
            <v:line style="position:absolute" from="4618,1690" to="4646,1690" stroked="true" strokeweight="1.403301pt" strokecolor="#000000"/>
            <v:line style="position:absolute" from="4674,1690" to="4701,1690" stroked="true" strokeweight="1.403301pt" strokecolor="#000000"/>
            <v:line style="position:absolute" from="4729,1690" to="4757,1690" stroked="true" strokeweight="1.403301pt" strokecolor="#000000"/>
            <v:line style="position:absolute" from="4784,1690" to="4812,1690" stroked="true" strokeweight="1.403301pt" strokecolor="#000000"/>
            <v:line style="position:absolute" from="4840,1690" to="4867,1690" stroked="true" strokeweight="1.403301pt" strokecolor="#000000"/>
            <v:line style="position:absolute" from="4895,1690" to="4923,1690" stroked="true" strokeweight="1.403301pt" strokecolor="#000000"/>
            <v:line style="position:absolute" from="4950,1690" to="4978,1690" stroked="true" strokeweight="1.403301pt" strokecolor="#000000"/>
            <v:line style="position:absolute" from="4425,1721" to="4453,1721" stroked="true" strokeweight="1.403301pt" strokecolor="#000000"/>
            <v:line style="position:absolute" from="4480,1721" to="4508,1721" stroked="true" strokeweight="1.403301pt" strokecolor="#000000"/>
            <v:line style="position:absolute" from="4535,1721" to="4563,1721" stroked="true" strokeweight="1.403301pt" strokecolor="#000000"/>
            <v:line style="position:absolute" from="4591,1721" to="4618,1721" stroked="true" strokeweight="1.403301pt" strokecolor="#000000"/>
            <v:line style="position:absolute" from="4646,1721" to="4674,1721" stroked="true" strokeweight="1.403301pt" strokecolor="#000000"/>
            <v:line style="position:absolute" from="4701,1721" to="4729,1721" stroked="true" strokeweight="1.403301pt" strokecolor="#000000"/>
            <v:line style="position:absolute" from="4757,1721" to="4784,1721" stroked="true" strokeweight="1.403301pt" strokecolor="#000000"/>
            <v:line style="position:absolute" from="4812,1721" to="4840,1721" stroked="true" strokeweight="1.403301pt" strokecolor="#000000"/>
            <v:line style="position:absolute" from="4867,1721" to="4895,1721" stroked="true" strokeweight="1.403301pt" strokecolor="#000000"/>
            <v:line style="position:absolute" from="4922,1721" to="4950,1721" stroked="true" strokeweight="1.403301pt" strokecolor="#000000"/>
            <v:line style="position:absolute" from="4453,1751" to="4480,1751" stroked="true" strokeweight="1.403301pt" strokecolor="#000000"/>
            <v:line style="position:absolute" from="4508,1751" to="4536,1751" stroked="true" strokeweight="1.403301pt" strokecolor="#000000"/>
            <v:line style="position:absolute" from="4563,1751" to="4591,1751" stroked="true" strokeweight="1.403301pt" strokecolor="#000000"/>
            <v:line style="position:absolute" from="4618,1751" to="4646,1751" stroked="true" strokeweight="1.403301pt" strokecolor="#000000"/>
            <v:line style="position:absolute" from="4674,1751" to="4701,1751" stroked="true" strokeweight="1.403301pt" strokecolor="#000000"/>
            <v:line style="position:absolute" from="4729,1751" to="4757,1751" stroked="true" strokeweight="1.403301pt" strokecolor="#000000"/>
            <v:line style="position:absolute" from="4784,1751" to="4812,1751" stroked="true" strokeweight="1.403301pt" strokecolor="#000000"/>
            <v:line style="position:absolute" from="4840,1751" to="4867,1751" stroked="true" strokeweight="1.403301pt" strokecolor="#000000"/>
            <v:line style="position:absolute" from="4895,1751" to="4923,1751" stroked="true" strokeweight="1.403301pt" strokecolor="#000000"/>
            <v:line style="position:absolute" from="4950,1751" to="4978,1751" stroked="true" strokeweight="1.403301pt" strokecolor="#000000"/>
            <v:line style="position:absolute" from="4425,1782" to="4453,1782" stroked="true" strokeweight="1.403301pt" strokecolor="#000000"/>
            <v:line style="position:absolute" from="4480,1782" to="4508,1782" stroked="true" strokeweight="1.403301pt" strokecolor="#000000"/>
            <v:line style="position:absolute" from="4535,1782" to="4563,1782" stroked="true" strokeweight="1.403301pt" strokecolor="#000000"/>
            <v:line style="position:absolute" from="4591,1782" to="4618,1782" stroked="true" strokeweight="1.403301pt" strokecolor="#000000"/>
            <v:line style="position:absolute" from="4646,1782" to="4674,1782" stroked="true" strokeweight="1.403301pt" strokecolor="#000000"/>
            <v:line style="position:absolute" from="4701,1782" to="4729,1782" stroked="true" strokeweight="1.403301pt" strokecolor="#000000"/>
            <v:line style="position:absolute" from="4757,1782" to="4784,1782" stroked="true" strokeweight="1.403301pt" strokecolor="#000000"/>
            <v:line style="position:absolute" from="4812,1782" to="4840,1782" stroked="true" strokeweight="1.403301pt" strokecolor="#000000"/>
            <v:line style="position:absolute" from="4867,1782" to="4895,1782" stroked="true" strokeweight="1.403301pt" strokecolor="#000000"/>
            <v:line style="position:absolute" from="4922,1782" to="4950,1782" stroked="true" strokeweight="1.403301pt" strokecolor="#000000"/>
            <v:line style="position:absolute" from="4453,1813" to="4480,1813" stroked="true" strokeweight="1.403301pt" strokecolor="#000000"/>
            <v:line style="position:absolute" from="4508,1813" to="4536,1813" stroked="true" strokeweight="1.403301pt" strokecolor="#000000"/>
            <v:line style="position:absolute" from="4563,1813" to="4591,1813" stroked="true" strokeweight="1.403301pt" strokecolor="#000000"/>
            <v:line style="position:absolute" from="4618,1813" to="4646,1813" stroked="true" strokeweight="1.403301pt" strokecolor="#000000"/>
            <v:line style="position:absolute" from="4674,1813" to="4701,1813" stroked="true" strokeweight="1.403301pt" strokecolor="#000000"/>
            <v:line style="position:absolute" from="4729,1813" to="4757,1813" stroked="true" strokeweight="1.403301pt" strokecolor="#000000"/>
            <v:line style="position:absolute" from="4784,1813" to="4812,1813" stroked="true" strokeweight="1.403301pt" strokecolor="#000000"/>
            <v:line style="position:absolute" from="4840,1813" to="4867,1813" stroked="true" strokeweight="1.403301pt" strokecolor="#000000"/>
            <v:line style="position:absolute" from="4895,1813" to="4923,1813" stroked="true" strokeweight="1.403301pt" strokecolor="#000000"/>
            <v:line style="position:absolute" from="4950,1813" to="4978,1813" stroked="true" strokeweight="1.403301pt" strokecolor="#000000"/>
            <v:line style="position:absolute" from="4425,1843" to="4453,1843" stroked="true" strokeweight="1.428804pt" strokecolor="#000000"/>
            <v:line style="position:absolute" from="4480,1843" to="4508,1843" stroked="true" strokeweight="1.428804pt" strokecolor="#000000"/>
            <v:line style="position:absolute" from="4535,1843" to="4563,1843" stroked="true" strokeweight="1.428804pt" strokecolor="#000000"/>
            <v:line style="position:absolute" from="4591,1843" to="4618,1843" stroked="true" strokeweight="1.428804pt" strokecolor="#000000"/>
            <v:line style="position:absolute" from="4646,1843" to="4674,1843" stroked="true" strokeweight="1.428804pt" strokecolor="#000000"/>
            <v:line style="position:absolute" from="4701,1843" to="4729,1843" stroked="true" strokeweight="1.428804pt" strokecolor="#000000"/>
            <v:line style="position:absolute" from="4757,1843" to="4784,1843" stroked="true" strokeweight="1.428804pt" strokecolor="#000000"/>
            <v:line style="position:absolute" from="4812,1843" to="4840,1843" stroked="true" strokeweight="1.428804pt" strokecolor="#000000"/>
            <v:line style="position:absolute" from="4867,1843" to="4895,1843" stroked="true" strokeweight="1.428804pt" strokecolor="#000000"/>
            <v:line style="position:absolute" from="4922,1843" to="4950,1843" stroked="true" strokeweight="1.428804pt" strokecolor="#000000"/>
            <v:line style="position:absolute" from="4453,1875" to="4480,1875" stroked="true" strokeweight="1.403301pt" strokecolor="#000000"/>
            <v:line style="position:absolute" from="4508,1875" to="4536,1875" stroked="true" strokeweight="1.403301pt" strokecolor="#000000"/>
            <v:line style="position:absolute" from="4563,1875" to="4591,1875" stroked="true" strokeweight="1.403301pt" strokecolor="#000000"/>
            <v:line style="position:absolute" from="4618,1875" to="4646,1875" stroked="true" strokeweight="1.403301pt" strokecolor="#000000"/>
            <v:line style="position:absolute" from="4674,1875" to="4701,1875" stroked="true" strokeweight="1.403301pt" strokecolor="#000000"/>
            <v:line style="position:absolute" from="4729,1875" to="4757,1875" stroked="true" strokeweight="1.403301pt" strokecolor="#000000"/>
            <v:line style="position:absolute" from="4784,1875" to="4812,1875" stroked="true" strokeweight="1.403301pt" strokecolor="#000000"/>
            <v:line style="position:absolute" from="4840,1875" to="4867,1875" stroked="true" strokeweight="1.403301pt" strokecolor="#000000"/>
            <v:line style="position:absolute" from="4895,1875" to="4923,1875" stroked="true" strokeweight="1.403301pt" strokecolor="#000000"/>
            <v:line style="position:absolute" from="4950,1875" to="4978,1875" stroked="true" strokeweight="1.403301pt" strokecolor="#000000"/>
            <v:line style="position:absolute" from="4425,1905" to="4453,1905" stroked="true" strokeweight="1.403301pt" strokecolor="#000000"/>
            <v:line style="position:absolute" from="4480,1905" to="4508,1905" stroked="true" strokeweight="1.403301pt" strokecolor="#000000"/>
            <v:line style="position:absolute" from="4535,1905" to="4563,1905" stroked="true" strokeweight="1.403301pt" strokecolor="#000000"/>
            <v:line style="position:absolute" from="4591,1905" to="4618,1905" stroked="true" strokeweight="1.403301pt" strokecolor="#000000"/>
            <v:line style="position:absolute" from="4646,1905" to="4674,1905" stroked="true" strokeweight="1.403301pt" strokecolor="#000000"/>
            <v:line style="position:absolute" from="4701,1905" to="4729,1905" stroked="true" strokeweight="1.403301pt" strokecolor="#000000"/>
            <v:line style="position:absolute" from="4757,1905" to="4784,1905" stroked="true" strokeweight="1.403301pt" strokecolor="#000000"/>
            <v:line style="position:absolute" from="4812,1905" to="4840,1905" stroked="true" strokeweight="1.403301pt" strokecolor="#000000"/>
            <v:line style="position:absolute" from="4867,1905" to="4895,1905" stroked="true" strokeweight="1.403301pt" strokecolor="#000000"/>
            <v:line style="position:absolute" from="4922,1905" to="4950,1905" stroked="true" strokeweight="1.403301pt" strokecolor="#000000"/>
            <v:line style="position:absolute" from="4453,1936" to="4480,1936" stroked="true" strokeweight="1.403301pt" strokecolor="#000000"/>
            <v:line style="position:absolute" from="4508,1936" to="4536,1936" stroked="true" strokeweight="1.403301pt" strokecolor="#000000"/>
            <v:line style="position:absolute" from="4563,1936" to="4591,1936" stroked="true" strokeweight="1.403301pt" strokecolor="#000000"/>
            <v:line style="position:absolute" from="4618,1936" to="4646,1936" stroked="true" strokeweight="1.403301pt" strokecolor="#000000"/>
            <v:line style="position:absolute" from="4674,1936" to="4701,1936" stroked="true" strokeweight="1.403301pt" strokecolor="#000000"/>
            <v:line style="position:absolute" from="4729,1936" to="4757,1936" stroked="true" strokeweight="1.403301pt" strokecolor="#000000"/>
            <v:line style="position:absolute" from="4784,1936" to="4812,1936" stroked="true" strokeweight="1.403301pt" strokecolor="#000000"/>
            <v:line style="position:absolute" from="4840,1936" to="4867,1936" stroked="true" strokeweight="1.403301pt" strokecolor="#000000"/>
            <v:line style="position:absolute" from="4895,1936" to="4923,1936" stroked="true" strokeweight="1.403301pt" strokecolor="#000000"/>
            <v:line style="position:absolute" from="4950,1936" to="4978,1936" stroked="true" strokeweight="1.403301pt" strokecolor="#000000"/>
            <v:line style="position:absolute" from="4425,1966" to="4453,1966" stroked="true" strokeweight="1.403301pt" strokecolor="#000000"/>
            <v:line style="position:absolute" from="4480,1966" to="4508,1966" stroked="true" strokeweight="1.403301pt" strokecolor="#000000"/>
            <v:line style="position:absolute" from="4535,1966" to="4563,1966" stroked="true" strokeweight="1.403301pt" strokecolor="#000000"/>
            <v:line style="position:absolute" from="4591,1966" to="4618,1966" stroked="true" strokeweight="1.403301pt" strokecolor="#000000"/>
            <v:line style="position:absolute" from="4646,1966" to="4674,1966" stroked="true" strokeweight="1.403301pt" strokecolor="#000000"/>
            <v:line style="position:absolute" from="4701,1966" to="4729,1966" stroked="true" strokeweight="1.403301pt" strokecolor="#000000"/>
            <v:line style="position:absolute" from="4757,1966" to="4784,1966" stroked="true" strokeweight="1.403301pt" strokecolor="#000000"/>
            <v:line style="position:absolute" from="4812,1966" to="4840,1966" stroked="true" strokeweight="1.403301pt" strokecolor="#000000"/>
            <v:line style="position:absolute" from="4867,1966" to="4895,1966" stroked="true" strokeweight="1.403301pt" strokecolor="#000000"/>
            <v:line style="position:absolute" from="4922,1966" to="4950,1966" stroked="true" strokeweight="1.403301pt" strokecolor="#000000"/>
            <v:line style="position:absolute" from="4453,1997" to="4480,1997" stroked="true" strokeweight="1.403301pt" strokecolor="#000000"/>
            <v:line style="position:absolute" from="4508,1997" to="4536,1997" stroked="true" strokeweight="1.403301pt" strokecolor="#000000"/>
            <v:line style="position:absolute" from="4563,1997" to="4591,1997" stroked="true" strokeweight="1.403301pt" strokecolor="#000000"/>
            <v:line style="position:absolute" from="4618,1997" to="4646,1997" stroked="true" strokeweight="1.403301pt" strokecolor="#000000"/>
            <v:line style="position:absolute" from="4674,1997" to="4701,1997" stroked="true" strokeweight="1.403301pt" strokecolor="#000000"/>
            <v:line style="position:absolute" from="4729,1997" to="4757,1997" stroked="true" strokeweight="1.403301pt" strokecolor="#000000"/>
            <v:line style="position:absolute" from="4784,1997" to="4812,1997" stroked="true" strokeweight="1.403301pt" strokecolor="#000000"/>
            <v:line style="position:absolute" from="4840,1997" to="4867,1997" stroked="true" strokeweight="1.403301pt" strokecolor="#000000"/>
            <v:line style="position:absolute" from="4895,1997" to="4923,1997" stroked="true" strokeweight="1.403301pt" strokecolor="#000000"/>
            <v:line style="position:absolute" from="4950,1997" to="4978,1997" stroked="true" strokeweight="1.403301pt" strokecolor="#000000"/>
            <v:line style="position:absolute" from="4425,2028" to="4453,2028" stroked="true" strokeweight="1.403301pt" strokecolor="#000000"/>
            <v:line style="position:absolute" from="4480,2028" to="4508,2028" stroked="true" strokeweight="1.403301pt" strokecolor="#000000"/>
            <v:line style="position:absolute" from="4535,2028" to="4563,2028" stroked="true" strokeweight="1.403301pt" strokecolor="#000000"/>
            <v:line style="position:absolute" from="4591,2028" to="4618,2028" stroked="true" strokeweight="1.403301pt" strokecolor="#000000"/>
            <v:line style="position:absolute" from="4646,2028" to="4674,2028" stroked="true" strokeweight="1.403301pt" strokecolor="#000000"/>
            <v:line style="position:absolute" from="4701,2028" to="4729,2028" stroked="true" strokeweight="1.403301pt" strokecolor="#000000"/>
            <v:line style="position:absolute" from="4757,2028" to="4784,2028" stroked="true" strokeweight="1.403301pt" strokecolor="#000000"/>
            <v:line style="position:absolute" from="4812,2028" to="4840,2028" stroked="true" strokeweight="1.403301pt" strokecolor="#000000"/>
            <v:line style="position:absolute" from="4867,2028" to="4895,2028" stroked="true" strokeweight="1.403301pt" strokecolor="#000000"/>
            <v:line style="position:absolute" from="4922,2028" to="4950,2028" stroked="true" strokeweight="1.403301pt" strokecolor="#000000"/>
            <v:line style="position:absolute" from="4453,2058" to="4480,2058" stroked="true" strokeweight="1.403301pt" strokecolor="#000000"/>
            <v:line style="position:absolute" from="4508,2058" to="4536,2058" stroked="true" strokeweight="1.403301pt" strokecolor="#000000"/>
            <v:line style="position:absolute" from="4563,2058" to="4591,2058" stroked="true" strokeweight="1.403301pt" strokecolor="#000000"/>
            <v:line style="position:absolute" from="4618,2058" to="4646,2058" stroked="true" strokeweight="1.403301pt" strokecolor="#000000"/>
            <v:line style="position:absolute" from="4674,2058" to="4701,2058" stroked="true" strokeweight="1.403301pt" strokecolor="#000000"/>
            <v:line style="position:absolute" from="4729,2058" to="4757,2058" stroked="true" strokeweight="1.403301pt" strokecolor="#000000"/>
            <v:line style="position:absolute" from="4784,2058" to="4812,2058" stroked="true" strokeweight="1.403301pt" strokecolor="#000000"/>
            <v:line style="position:absolute" from="4840,2058" to="4867,2058" stroked="true" strokeweight="1.403301pt" strokecolor="#000000"/>
            <v:line style="position:absolute" from="4895,2058" to="4923,2058" stroked="true" strokeweight="1.403301pt" strokecolor="#000000"/>
            <v:line style="position:absolute" from="4950,2058" to="4978,2058" stroked="true" strokeweight="1.403301pt" strokecolor="#000000"/>
            <v:line style="position:absolute" from="4425,2089" to="4453,2089" stroked="true" strokeweight="1.403301pt" strokecolor="#000000"/>
            <v:line style="position:absolute" from="4480,2089" to="4508,2089" stroked="true" strokeweight="1.403301pt" strokecolor="#000000"/>
            <v:line style="position:absolute" from="4535,2089" to="4563,2089" stroked="true" strokeweight="1.403301pt" strokecolor="#000000"/>
            <v:line style="position:absolute" from="4591,2089" to="4618,2089" stroked="true" strokeweight="1.403301pt" strokecolor="#000000"/>
            <v:line style="position:absolute" from="4646,2089" to="4674,2089" stroked="true" strokeweight="1.403301pt" strokecolor="#000000"/>
            <v:line style="position:absolute" from="4701,2089" to="4729,2089" stroked="true" strokeweight="1.403301pt" strokecolor="#000000"/>
            <v:line style="position:absolute" from="4757,2089" to="4784,2089" stroked="true" strokeweight="1.403301pt" strokecolor="#000000"/>
            <v:line style="position:absolute" from="4812,2089" to="4840,2089" stroked="true" strokeweight="1.403301pt" strokecolor="#000000"/>
            <v:line style="position:absolute" from="4867,2089" to="4895,2089" stroked="true" strokeweight="1.403301pt" strokecolor="#000000"/>
            <v:line style="position:absolute" from="4922,2089" to="4950,2089" stroked="true" strokeweight="1.403301pt" strokecolor="#000000"/>
            <v:line style="position:absolute" from="4453,2119" to="4480,2119" stroked="true" strokeweight="1.403301pt" strokecolor="#000000"/>
            <v:line style="position:absolute" from="4508,2119" to="4536,2119" stroked="true" strokeweight="1.403301pt" strokecolor="#000000"/>
            <v:line style="position:absolute" from="4563,2119" to="4591,2119" stroked="true" strokeweight="1.403301pt" strokecolor="#000000"/>
            <v:line style="position:absolute" from="4618,2119" to="4646,2119" stroked="true" strokeweight="1.403301pt" strokecolor="#000000"/>
            <v:line style="position:absolute" from="4674,2119" to="4701,2119" stroked="true" strokeweight="1.403301pt" strokecolor="#000000"/>
            <v:line style="position:absolute" from="4729,2119" to="4757,2119" stroked="true" strokeweight="1.403301pt" strokecolor="#000000"/>
            <v:line style="position:absolute" from="4784,2119" to="4812,2119" stroked="true" strokeweight="1.403301pt" strokecolor="#000000"/>
            <v:line style="position:absolute" from="4840,2119" to="4867,2119" stroked="true" strokeweight="1.403301pt" strokecolor="#000000"/>
            <v:line style="position:absolute" from="4895,2119" to="4923,2119" stroked="true" strokeweight="1.403301pt" strokecolor="#000000"/>
            <v:line style="position:absolute" from="4950,2119" to="4978,2119" stroked="true" strokeweight="1.403301pt" strokecolor="#000000"/>
            <v:line style="position:absolute" from="4425,2150" to="4453,2150" stroked="true" strokeweight="1.403301pt" strokecolor="#000000"/>
            <v:line style="position:absolute" from="4480,2150" to="4508,2150" stroked="true" strokeweight="1.403301pt" strokecolor="#000000"/>
            <v:line style="position:absolute" from="4535,2150" to="4563,2150" stroked="true" strokeweight="1.403301pt" strokecolor="#000000"/>
            <v:line style="position:absolute" from="4591,2150" to="4618,2150" stroked="true" strokeweight="1.403301pt" strokecolor="#000000"/>
            <v:line style="position:absolute" from="4646,2150" to="4674,2150" stroked="true" strokeweight="1.403301pt" strokecolor="#000000"/>
            <v:line style="position:absolute" from="4701,2150" to="4729,2150" stroked="true" strokeweight="1.403301pt" strokecolor="#000000"/>
            <v:line style="position:absolute" from="4757,2150" to="4784,2150" stroked="true" strokeweight="1.403301pt" strokecolor="#000000"/>
            <v:line style="position:absolute" from="4812,2150" to="4840,2150" stroked="true" strokeweight="1.403301pt" strokecolor="#000000"/>
            <v:line style="position:absolute" from="4867,2150" to="4895,2150" stroked="true" strokeweight="1.403301pt" strokecolor="#000000"/>
            <v:line style="position:absolute" from="4922,2150" to="4950,2150" stroked="true" strokeweight="1.403301pt" strokecolor="#000000"/>
            <v:line style="position:absolute" from="4453,2181" to="4480,2181" stroked="true" strokeweight="1.403301pt" strokecolor="#000000"/>
            <v:line style="position:absolute" from="4508,2181" to="4536,2181" stroked="true" strokeweight="1.403301pt" strokecolor="#000000"/>
            <v:line style="position:absolute" from="4563,2181" to="4591,2181" stroked="true" strokeweight="1.403301pt" strokecolor="#000000"/>
            <v:line style="position:absolute" from="4618,2181" to="4646,2181" stroked="true" strokeweight="1.403301pt" strokecolor="#000000"/>
            <v:line style="position:absolute" from="4674,2181" to="4701,2181" stroked="true" strokeweight="1.403301pt" strokecolor="#000000"/>
            <v:line style="position:absolute" from="4729,2181" to="4757,2181" stroked="true" strokeweight="1.403301pt" strokecolor="#000000"/>
            <v:line style="position:absolute" from="4784,2181" to="4812,2181" stroked="true" strokeweight="1.403301pt" strokecolor="#000000"/>
            <v:line style="position:absolute" from="4840,2181" to="4867,2181" stroked="true" strokeweight="1.403301pt" strokecolor="#000000"/>
            <v:line style="position:absolute" from="4895,2181" to="4923,2181" stroked="true" strokeweight="1.403301pt" strokecolor="#000000"/>
            <v:line style="position:absolute" from="4950,2181" to="4978,2181" stroked="true" strokeweight="1.403301pt" strokecolor="#000000"/>
            <v:line style="position:absolute" from="4425,2211" to="4453,2211" stroked="true" strokeweight="1.403301pt" strokecolor="#000000"/>
            <v:line style="position:absolute" from="4480,2211" to="4508,2211" stroked="true" strokeweight="1.403301pt" strokecolor="#000000"/>
            <v:line style="position:absolute" from="4535,2211" to="4563,2211" stroked="true" strokeweight="1.403301pt" strokecolor="#000000"/>
            <v:line style="position:absolute" from="4591,2211" to="4618,2211" stroked="true" strokeweight="1.403301pt" strokecolor="#000000"/>
            <v:line style="position:absolute" from="4646,2211" to="4674,2211" stroked="true" strokeweight="1.403301pt" strokecolor="#000000"/>
            <v:line style="position:absolute" from="4701,2211" to="4729,2211" stroked="true" strokeweight="1.403301pt" strokecolor="#000000"/>
            <v:line style="position:absolute" from="4757,2211" to="4784,2211" stroked="true" strokeweight="1.403301pt" strokecolor="#000000"/>
            <v:line style="position:absolute" from="4812,2211" to="4840,2211" stroked="true" strokeweight="1.403301pt" strokecolor="#000000"/>
            <v:line style="position:absolute" from="4867,2211" to="4895,2211" stroked="true" strokeweight="1.403301pt" strokecolor="#000000"/>
            <v:line style="position:absolute" from="4922,2211" to="4950,2211" stroked="true" strokeweight="1.403301pt" strokecolor="#000000"/>
            <v:line style="position:absolute" from="4453,2242" to="4480,2242" stroked="true" strokeweight="1.403301pt" strokecolor="#000000"/>
            <v:line style="position:absolute" from="4508,2242" to="4536,2242" stroked="true" strokeweight="1.403301pt" strokecolor="#000000"/>
            <v:line style="position:absolute" from="4563,2242" to="4591,2242" stroked="true" strokeweight="1.403301pt" strokecolor="#000000"/>
            <v:line style="position:absolute" from="4618,2242" to="4646,2242" stroked="true" strokeweight="1.403301pt" strokecolor="#000000"/>
            <v:line style="position:absolute" from="4674,2242" to="4701,2242" stroked="true" strokeweight="1.403301pt" strokecolor="#000000"/>
            <v:line style="position:absolute" from="4729,2242" to="4757,2242" stroked="true" strokeweight="1.403301pt" strokecolor="#000000"/>
            <v:line style="position:absolute" from="4784,2242" to="4812,2242" stroked="true" strokeweight="1.403301pt" strokecolor="#000000"/>
            <v:line style="position:absolute" from="4840,2242" to="4867,2242" stroked="true" strokeweight="1.403301pt" strokecolor="#000000"/>
            <v:line style="position:absolute" from="4895,2242" to="4923,2242" stroked="true" strokeweight="1.403301pt" strokecolor="#000000"/>
            <v:line style="position:absolute" from="4950,2242" to="4978,2242" stroked="true" strokeweight="1.403301pt" strokecolor="#000000"/>
            <v:line style="position:absolute" from="4425,2272" to="4453,2272" stroked="true" strokeweight="1.403301pt" strokecolor="#000000"/>
            <v:line style="position:absolute" from="4480,2272" to="4508,2272" stroked="true" strokeweight="1.403301pt" strokecolor="#000000"/>
            <v:line style="position:absolute" from="4535,2272" to="4563,2272" stroked="true" strokeweight="1.403301pt" strokecolor="#000000"/>
            <v:line style="position:absolute" from="4591,2272" to="4618,2272" stroked="true" strokeweight="1.403301pt" strokecolor="#000000"/>
            <v:line style="position:absolute" from="4646,2272" to="4674,2272" stroked="true" strokeweight="1.403301pt" strokecolor="#000000"/>
            <v:line style="position:absolute" from="4701,2272" to="4729,2272" stroked="true" strokeweight="1.403301pt" strokecolor="#000000"/>
            <v:line style="position:absolute" from="4757,2272" to="4784,2272" stroked="true" strokeweight="1.403301pt" strokecolor="#000000"/>
            <v:line style="position:absolute" from="4812,2272" to="4840,2272" stroked="true" strokeweight="1.403301pt" strokecolor="#000000"/>
            <v:line style="position:absolute" from="4867,2272" to="4895,2272" stroked="true" strokeweight="1.403301pt" strokecolor="#000000"/>
            <v:line style="position:absolute" from="4922,2272" to="4950,2272" stroked="true" strokeweight="1.403301pt" strokecolor="#000000"/>
            <v:line style="position:absolute" from="4453,2303" to="4480,2303" stroked="true" strokeweight="1.403301pt" strokecolor="#000000"/>
            <v:line style="position:absolute" from="4508,2303" to="4536,2303" stroked="true" strokeweight="1.403301pt" strokecolor="#000000"/>
            <v:line style="position:absolute" from="4563,2303" to="4591,2303" stroked="true" strokeweight="1.403301pt" strokecolor="#000000"/>
            <v:line style="position:absolute" from="4618,2303" to="4646,2303" stroked="true" strokeweight="1.403301pt" strokecolor="#000000"/>
            <v:line style="position:absolute" from="4674,2303" to="4701,2303" stroked="true" strokeweight="1.403301pt" strokecolor="#000000"/>
            <v:line style="position:absolute" from="4729,2303" to="4757,2303" stroked="true" strokeweight="1.403301pt" strokecolor="#000000"/>
            <v:line style="position:absolute" from="4784,2303" to="4812,2303" stroked="true" strokeweight="1.403301pt" strokecolor="#000000"/>
            <v:line style="position:absolute" from="4840,2303" to="4867,2303" stroked="true" strokeweight="1.403301pt" strokecolor="#000000"/>
            <v:line style="position:absolute" from="4895,2303" to="4923,2303" stroked="true" strokeweight="1.403301pt" strokecolor="#000000"/>
            <v:line style="position:absolute" from="4950,2303" to="4978,2303" stroked="true" strokeweight="1.403301pt" strokecolor="#000000"/>
            <v:line style="position:absolute" from="4425,2334" to="4453,2334" stroked="true" strokeweight="1.403301pt" strokecolor="#000000"/>
            <v:line style="position:absolute" from="4480,2334" to="4508,2334" stroked="true" strokeweight="1.403301pt" strokecolor="#000000"/>
            <v:line style="position:absolute" from="4535,2334" to="4563,2334" stroked="true" strokeweight="1.403301pt" strokecolor="#000000"/>
            <v:line style="position:absolute" from="4591,2334" to="4618,2334" stroked="true" strokeweight="1.403301pt" strokecolor="#000000"/>
            <v:line style="position:absolute" from="4646,2334" to="4674,2334" stroked="true" strokeweight="1.403301pt" strokecolor="#000000"/>
            <v:line style="position:absolute" from="4701,2334" to="4729,2334" stroked="true" strokeweight="1.403301pt" strokecolor="#000000"/>
            <v:line style="position:absolute" from="4757,2334" to="4784,2334" stroked="true" strokeweight="1.403301pt" strokecolor="#000000"/>
            <v:line style="position:absolute" from="4812,2334" to="4840,2334" stroked="true" strokeweight="1.403301pt" strokecolor="#000000"/>
            <v:line style="position:absolute" from="4867,2334" to="4895,2334" stroked="true" strokeweight="1.403301pt" strokecolor="#000000"/>
            <v:line style="position:absolute" from="4922,2334" to="4950,2334" stroked="true" strokeweight="1.403301pt" strokecolor="#000000"/>
            <v:line style="position:absolute" from="4453,2364" to="4480,2364" stroked="true" strokeweight="1.403301pt" strokecolor="#000000"/>
            <v:line style="position:absolute" from="4508,2364" to="4536,2364" stroked="true" strokeweight="1.403301pt" strokecolor="#000000"/>
            <v:line style="position:absolute" from="4563,2364" to="4591,2364" stroked="true" strokeweight="1.403301pt" strokecolor="#000000"/>
            <v:line style="position:absolute" from="4618,2364" to="4646,2364" stroked="true" strokeweight="1.403301pt" strokecolor="#000000"/>
            <v:line style="position:absolute" from="4674,2364" to="4701,2364" stroked="true" strokeweight="1.403301pt" strokecolor="#000000"/>
            <v:line style="position:absolute" from="4729,2364" to="4757,2364" stroked="true" strokeweight="1.403301pt" strokecolor="#000000"/>
            <v:line style="position:absolute" from="4784,2364" to="4812,2364" stroked="true" strokeweight="1.403301pt" strokecolor="#000000"/>
            <v:line style="position:absolute" from="4840,2364" to="4867,2364" stroked="true" strokeweight="1.403301pt" strokecolor="#000000"/>
            <v:line style="position:absolute" from="4895,2364" to="4923,2364" stroked="true" strokeweight="1.403301pt" strokecolor="#000000"/>
            <v:line style="position:absolute" from="4950,2364" to="4978,2364" stroked="true" strokeweight="1.403301pt" strokecolor="#000000"/>
            <v:line style="position:absolute" from="4425,2395" to="4453,2395" stroked="true" strokeweight="1.403301pt" strokecolor="#000000"/>
            <v:line style="position:absolute" from="4480,2395" to="4508,2395" stroked="true" strokeweight="1.403301pt" strokecolor="#000000"/>
            <v:line style="position:absolute" from="4535,2395" to="4563,2395" stroked="true" strokeweight="1.403301pt" strokecolor="#000000"/>
            <v:line style="position:absolute" from="4591,2395" to="4618,2395" stroked="true" strokeweight="1.403301pt" strokecolor="#000000"/>
            <v:line style="position:absolute" from="4646,2395" to="4674,2395" stroked="true" strokeweight="1.403301pt" strokecolor="#000000"/>
            <v:line style="position:absolute" from="4701,2395" to="4729,2395" stroked="true" strokeweight="1.403301pt" strokecolor="#000000"/>
            <v:line style="position:absolute" from="4757,2395" to="4784,2395" stroked="true" strokeweight="1.403301pt" strokecolor="#000000"/>
            <v:line style="position:absolute" from="4812,2395" to="4840,2395" stroked="true" strokeweight="1.403301pt" strokecolor="#000000"/>
            <v:line style="position:absolute" from="4867,2395" to="4895,2395" stroked="true" strokeweight="1.403301pt" strokecolor="#000000"/>
            <v:line style="position:absolute" from="4922,2395" to="4950,2395" stroked="true" strokeweight="1.403301pt" strokecolor="#000000"/>
            <v:line style="position:absolute" from="4453,2426" to="4480,2426" stroked="true" strokeweight="1.403301pt" strokecolor="#000000"/>
            <v:line style="position:absolute" from="4508,2426" to="4536,2426" stroked="true" strokeweight="1.403301pt" strokecolor="#000000"/>
            <v:line style="position:absolute" from="4563,2426" to="4591,2426" stroked="true" strokeweight="1.403301pt" strokecolor="#000000"/>
            <v:line style="position:absolute" from="4618,2426" to="4646,2426" stroked="true" strokeweight="1.403301pt" strokecolor="#000000"/>
            <v:line style="position:absolute" from="4674,2426" to="4701,2426" stroked="true" strokeweight="1.403301pt" strokecolor="#000000"/>
            <v:line style="position:absolute" from="4729,2426" to="4757,2426" stroked="true" strokeweight="1.403301pt" strokecolor="#000000"/>
            <v:line style="position:absolute" from="4784,2426" to="4812,2426" stroked="true" strokeweight="1.403301pt" strokecolor="#000000"/>
            <v:line style="position:absolute" from="4840,2426" to="4867,2426" stroked="true" strokeweight="1.403301pt" strokecolor="#000000"/>
            <v:line style="position:absolute" from="4895,2426" to="4923,2426" stroked="true" strokeweight="1.403301pt" strokecolor="#000000"/>
            <v:line style="position:absolute" from="4950,2426" to="4978,2426" stroked="true" strokeweight="1.403301pt" strokecolor="#000000"/>
            <v:line style="position:absolute" from="4425,2456" to="4453,2456" stroked="true" strokeweight="1.403301pt" strokecolor="#000000"/>
            <v:line style="position:absolute" from="4480,2456" to="4508,2456" stroked="true" strokeweight="1.403301pt" strokecolor="#000000"/>
            <v:line style="position:absolute" from="4535,2456" to="4563,2456" stroked="true" strokeweight="1.403301pt" strokecolor="#000000"/>
            <v:line style="position:absolute" from="4591,2456" to="4618,2456" stroked="true" strokeweight="1.403301pt" strokecolor="#000000"/>
            <v:line style="position:absolute" from="4646,2456" to="4674,2456" stroked="true" strokeweight="1.403301pt" strokecolor="#000000"/>
            <v:line style="position:absolute" from="4701,2456" to="4729,2456" stroked="true" strokeweight="1.403301pt" strokecolor="#000000"/>
            <v:line style="position:absolute" from="4757,2456" to="4784,2456" stroked="true" strokeweight="1.403301pt" strokecolor="#000000"/>
            <v:line style="position:absolute" from="4812,2456" to="4840,2456" stroked="true" strokeweight="1.403301pt" strokecolor="#000000"/>
            <v:line style="position:absolute" from="4867,2456" to="4895,2456" stroked="true" strokeweight="1.403301pt" strokecolor="#000000"/>
            <v:line style="position:absolute" from="4922,2456" to="4950,2456" stroked="true" strokeweight="1.403301pt" strokecolor="#000000"/>
            <v:line style="position:absolute" from="4453,2487" to="4480,2487" stroked="true" strokeweight="1.403301pt" strokecolor="#000000"/>
            <v:line style="position:absolute" from="4508,2487" to="4536,2487" stroked="true" strokeweight="1.403301pt" strokecolor="#000000"/>
            <v:line style="position:absolute" from="4563,2487" to="4591,2487" stroked="true" strokeweight="1.403301pt" strokecolor="#000000"/>
            <v:line style="position:absolute" from="4618,2487" to="4646,2487" stroked="true" strokeweight="1.403301pt" strokecolor="#000000"/>
            <v:line style="position:absolute" from="4674,2487" to="4701,2487" stroked="true" strokeweight="1.403301pt" strokecolor="#000000"/>
            <v:line style="position:absolute" from="4729,2487" to="4757,2487" stroked="true" strokeweight="1.403301pt" strokecolor="#000000"/>
            <v:line style="position:absolute" from="4784,2487" to="4812,2487" stroked="true" strokeweight="1.403301pt" strokecolor="#000000"/>
            <v:line style="position:absolute" from="4840,2487" to="4867,2487" stroked="true" strokeweight="1.403301pt" strokecolor="#000000"/>
            <v:line style="position:absolute" from="4895,2487" to="4923,2487" stroked="true" strokeweight="1.403301pt" strokecolor="#000000"/>
            <v:line style="position:absolute" from="4950,2487" to="4978,2487" stroked="true" strokeweight="1.403301pt" strokecolor="#000000"/>
            <v:line style="position:absolute" from="4425,2517" to="4453,2517" stroked="true" strokeweight="1.403301pt" strokecolor="#000000"/>
            <v:line style="position:absolute" from="4480,2517" to="4508,2517" stroked="true" strokeweight="1.403301pt" strokecolor="#000000"/>
            <v:line style="position:absolute" from="4535,2517" to="4563,2517" stroked="true" strokeweight="1.403301pt" strokecolor="#000000"/>
            <v:line style="position:absolute" from="4591,2517" to="4618,2517" stroked="true" strokeweight="1.403301pt" strokecolor="#000000"/>
            <v:line style="position:absolute" from="4646,2517" to="4674,2517" stroked="true" strokeweight="1.403301pt" strokecolor="#000000"/>
            <v:line style="position:absolute" from="4701,2517" to="4729,2517" stroked="true" strokeweight="1.403301pt" strokecolor="#000000"/>
            <v:line style="position:absolute" from="4757,2517" to="4784,2517" stroked="true" strokeweight="1.403301pt" strokecolor="#000000"/>
            <v:line style="position:absolute" from="4812,2517" to="4840,2517" stroked="true" strokeweight="1.403301pt" strokecolor="#000000"/>
            <v:line style="position:absolute" from="4867,2517" to="4895,2517" stroked="true" strokeweight="1.403301pt" strokecolor="#000000"/>
            <v:line style="position:absolute" from="4922,2517" to="4950,2517" stroked="true" strokeweight="1.403301pt" strokecolor="#000000"/>
            <v:line style="position:absolute" from="4453,2548" to="4480,2548" stroked="true" strokeweight="1.403301pt" strokecolor="#000000"/>
            <v:line style="position:absolute" from="4508,2548" to="4536,2548" stroked="true" strokeweight="1.403301pt" strokecolor="#000000"/>
            <v:line style="position:absolute" from="4563,2548" to="4591,2548" stroked="true" strokeweight="1.403301pt" strokecolor="#000000"/>
            <v:line style="position:absolute" from="4618,2548" to="4646,2548" stroked="true" strokeweight="1.403301pt" strokecolor="#000000"/>
            <v:line style="position:absolute" from="4674,2548" to="4701,2548" stroked="true" strokeweight="1.403301pt" strokecolor="#000000"/>
            <v:line style="position:absolute" from="4729,2548" to="4757,2548" stroked="true" strokeweight="1.403301pt" strokecolor="#000000"/>
            <v:line style="position:absolute" from="4784,2548" to="4812,2548" stroked="true" strokeweight="1.403301pt" strokecolor="#000000"/>
            <v:line style="position:absolute" from="4840,2548" to="4867,2548" stroked="true" strokeweight="1.403301pt" strokecolor="#000000"/>
            <v:line style="position:absolute" from="4895,2548" to="4923,2548" stroked="true" strokeweight="1.403301pt" strokecolor="#000000"/>
            <v:line style="position:absolute" from="4950,2548" to="4978,2548" stroked="true" strokeweight="1.403301pt" strokecolor="#000000"/>
            <v:line style="position:absolute" from="4425,2579" to="4453,2579" stroked="true" strokeweight="1.403301pt" strokecolor="#000000"/>
            <v:line style="position:absolute" from="4480,2579" to="4508,2579" stroked="true" strokeweight="1.403301pt" strokecolor="#000000"/>
            <v:line style="position:absolute" from="4535,2579" to="4563,2579" stroked="true" strokeweight="1.403301pt" strokecolor="#000000"/>
            <v:line style="position:absolute" from="4591,2579" to="4618,2579" stroked="true" strokeweight="1.403301pt" strokecolor="#000000"/>
            <v:line style="position:absolute" from="4646,2579" to="4674,2579" stroked="true" strokeweight="1.403301pt" strokecolor="#000000"/>
            <v:line style="position:absolute" from="4701,2579" to="4729,2579" stroked="true" strokeweight="1.403301pt" strokecolor="#000000"/>
            <v:line style="position:absolute" from="4757,2579" to="4784,2579" stroked="true" strokeweight="1.403301pt" strokecolor="#000000"/>
            <v:line style="position:absolute" from="4812,2579" to="4840,2579" stroked="true" strokeweight="1.403301pt" strokecolor="#000000"/>
            <v:line style="position:absolute" from="4867,2579" to="4895,2579" stroked="true" strokeweight="1.403301pt" strokecolor="#000000"/>
            <v:line style="position:absolute" from="4922,2579" to="4950,2579" stroked="true" strokeweight="1.403301pt" strokecolor="#000000"/>
            <v:line style="position:absolute" from="4453,2609" to="4480,2609" stroked="true" strokeweight="1.403301pt" strokecolor="#000000"/>
            <v:line style="position:absolute" from="4508,2609" to="4536,2609" stroked="true" strokeweight="1.403301pt" strokecolor="#000000"/>
            <v:line style="position:absolute" from="4563,2609" to="4591,2609" stroked="true" strokeweight="1.403301pt" strokecolor="#000000"/>
            <v:line style="position:absolute" from="4618,2609" to="4646,2609" stroked="true" strokeweight="1.403301pt" strokecolor="#000000"/>
            <v:line style="position:absolute" from="4674,2609" to="4701,2609" stroked="true" strokeweight="1.403301pt" strokecolor="#000000"/>
            <v:line style="position:absolute" from="4729,2609" to="4757,2609" stroked="true" strokeweight="1.403301pt" strokecolor="#000000"/>
            <v:line style="position:absolute" from="4784,2609" to="4812,2609" stroked="true" strokeweight="1.403301pt" strokecolor="#000000"/>
            <v:line style="position:absolute" from="4840,2609" to="4867,2609" stroked="true" strokeweight="1.403301pt" strokecolor="#000000"/>
            <v:line style="position:absolute" from="4895,2609" to="4923,2609" stroked="true" strokeweight="1.403301pt" strokecolor="#000000"/>
            <v:line style="position:absolute" from="4950,2609" to="4978,2609" stroked="true" strokeweight="1.403301pt" strokecolor="#000000"/>
            <v:line style="position:absolute" from="4425,2640" to="4453,2640" stroked="true" strokeweight="1.403301pt" strokecolor="#000000"/>
            <v:line style="position:absolute" from="4480,2640" to="4508,2640" stroked="true" strokeweight="1.403301pt" strokecolor="#000000"/>
            <v:line style="position:absolute" from="4535,2640" to="4563,2640" stroked="true" strokeweight="1.403301pt" strokecolor="#000000"/>
            <v:line style="position:absolute" from="4591,2640" to="4618,2640" stroked="true" strokeweight="1.403301pt" strokecolor="#000000"/>
            <v:line style="position:absolute" from="4646,2640" to="4674,2640" stroked="true" strokeweight="1.403301pt" strokecolor="#000000"/>
            <v:line style="position:absolute" from="4701,2640" to="4729,2640" stroked="true" strokeweight="1.403301pt" strokecolor="#000000"/>
            <v:line style="position:absolute" from="4757,2640" to="4784,2640" stroked="true" strokeweight="1.403301pt" strokecolor="#000000"/>
            <v:line style="position:absolute" from="4812,2640" to="4840,2640" stroked="true" strokeweight="1.403301pt" strokecolor="#000000"/>
            <v:line style="position:absolute" from="4867,2640" to="4895,2640" stroked="true" strokeweight="1.403301pt" strokecolor="#000000"/>
            <v:line style="position:absolute" from="4922,2640" to="4950,2640" stroked="true" strokeweight="1.403301pt" strokecolor="#000000"/>
            <v:line style="position:absolute" from="4453,2670" to="4480,2670" stroked="true" strokeweight="1.403301pt" strokecolor="#000000"/>
            <v:line style="position:absolute" from="4508,2670" to="4536,2670" stroked="true" strokeweight="1.403301pt" strokecolor="#000000"/>
            <v:line style="position:absolute" from="4563,2670" to="4591,2670" stroked="true" strokeweight="1.403301pt" strokecolor="#000000"/>
            <v:line style="position:absolute" from="4618,2670" to="4646,2670" stroked="true" strokeweight="1.403301pt" strokecolor="#000000"/>
            <v:line style="position:absolute" from="4674,2670" to="4701,2670" stroked="true" strokeweight="1.403301pt" strokecolor="#000000"/>
            <v:line style="position:absolute" from="4729,2670" to="4757,2670" stroked="true" strokeweight="1.403301pt" strokecolor="#000000"/>
            <v:line style="position:absolute" from="4784,2670" to="4812,2670" stroked="true" strokeweight="1.403301pt" strokecolor="#000000"/>
            <v:line style="position:absolute" from="4840,2670" to="4867,2670" stroked="true" strokeweight="1.403301pt" strokecolor="#000000"/>
            <v:line style="position:absolute" from="4895,2670" to="4923,2670" stroked="true" strokeweight="1.403301pt" strokecolor="#000000"/>
            <v:line style="position:absolute" from="4950,2670" to="4978,2670" stroked="true" strokeweight="1.403301pt" strokecolor="#000000"/>
            <v:line style="position:absolute" from="4425,2701" to="4453,2701" stroked="true" strokeweight="1.403301pt" strokecolor="#000000"/>
            <v:line style="position:absolute" from="4480,2701" to="4508,2701" stroked="true" strokeweight="1.403301pt" strokecolor="#000000"/>
            <v:line style="position:absolute" from="4535,2701" to="4563,2701" stroked="true" strokeweight="1.403301pt" strokecolor="#000000"/>
            <v:line style="position:absolute" from="4591,2701" to="4618,2701" stroked="true" strokeweight="1.403301pt" strokecolor="#000000"/>
            <v:line style="position:absolute" from="4646,2701" to="4674,2701" stroked="true" strokeweight="1.403301pt" strokecolor="#000000"/>
            <v:line style="position:absolute" from="4701,2701" to="4729,2701" stroked="true" strokeweight="1.403301pt" strokecolor="#000000"/>
            <v:line style="position:absolute" from="4757,2701" to="4784,2701" stroked="true" strokeweight="1.403301pt" strokecolor="#000000"/>
            <v:line style="position:absolute" from="4812,2701" to="4840,2701" stroked="true" strokeweight="1.403301pt" strokecolor="#000000"/>
            <v:line style="position:absolute" from="4867,2701" to="4895,2701" stroked="true" strokeweight="1.403301pt" strokecolor="#000000"/>
            <v:line style="position:absolute" from="4922,2701" to="4950,2701" stroked="true" strokeweight="1.403301pt" strokecolor="#000000"/>
            <v:line style="position:absolute" from="4453,2732" to="4480,2732" stroked="true" strokeweight="1.403301pt" strokecolor="#000000"/>
            <v:line style="position:absolute" from="4508,2732" to="4536,2732" stroked="true" strokeweight="1.403301pt" strokecolor="#000000"/>
            <v:line style="position:absolute" from="4563,2732" to="4591,2732" stroked="true" strokeweight="1.403301pt" strokecolor="#000000"/>
            <v:line style="position:absolute" from="4618,2732" to="4646,2732" stroked="true" strokeweight="1.403301pt" strokecolor="#000000"/>
            <v:line style="position:absolute" from="4674,2732" to="4701,2732" stroked="true" strokeweight="1.403301pt" strokecolor="#000000"/>
            <v:line style="position:absolute" from="4729,2732" to="4757,2732" stroked="true" strokeweight="1.403301pt" strokecolor="#000000"/>
            <v:line style="position:absolute" from="4784,2732" to="4812,2732" stroked="true" strokeweight="1.403301pt" strokecolor="#000000"/>
            <v:line style="position:absolute" from="4840,2732" to="4867,2732" stroked="true" strokeweight="1.403301pt" strokecolor="#000000"/>
            <v:line style="position:absolute" from="4895,2732" to="4923,2732" stroked="true" strokeweight="1.403301pt" strokecolor="#000000"/>
            <v:line style="position:absolute" from="4950,2732" to="4978,2732" stroked="true" strokeweight="1.403301pt" strokecolor="#000000"/>
            <v:line style="position:absolute" from="4425,2762" to="4453,2762" stroked="true" strokeweight="1.403301pt" strokecolor="#000000"/>
            <v:line style="position:absolute" from="4480,2762" to="4508,2762" stroked="true" strokeweight="1.403301pt" strokecolor="#000000"/>
            <v:line style="position:absolute" from="4535,2762" to="4563,2762" stroked="true" strokeweight="1.403301pt" strokecolor="#000000"/>
            <v:line style="position:absolute" from="4591,2762" to="4618,2762" stroked="true" strokeweight="1.403301pt" strokecolor="#000000"/>
            <v:line style="position:absolute" from="4646,2762" to="4674,2762" stroked="true" strokeweight="1.403301pt" strokecolor="#000000"/>
            <v:line style="position:absolute" from="4701,2762" to="4729,2762" stroked="true" strokeweight="1.403301pt" strokecolor="#000000"/>
            <v:line style="position:absolute" from="4757,2762" to="4784,2762" stroked="true" strokeweight="1.403301pt" strokecolor="#000000"/>
            <v:line style="position:absolute" from="4812,2762" to="4840,2762" stroked="true" strokeweight="1.403301pt" strokecolor="#000000"/>
            <v:line style="position:absolute" from="4867,2762" to="4895,2762" stroked="true" strokeweight="1.403301pt" strokecolor="#000000"/>
            <v:line style="position:absolute" from="4922,2762" to="4950,2762" stroked="true" strokeweight="1.403301pt" strokecolor="#000000"/>
            <v:line style="position:absolute" from="4453,2793" to="4480,2793" stroked="true" strokeweight="1.428804pt" strokecolor="#000000"/>
            <v:line style="position:absolute" from="4508,2793" to="4536,2793" stroked="true" strokeweight="1.428804pt" strokecolor="#000000"/>
            <v:line style="position:absolute" from="4563,2793" to="4591,2793" stroked="true" strokeweight="1.428804pt" strokecolor="#000000"/>
            <v:line style="position:absolute" from="4618,2793" to="4646,2793" stroked="true" strokeweight="1.428804pt" strokecolor="#000000"/>
            <v:line style="position:absolute" from="4674,2793" to="4701,2793" stroked="true" strokeweight="1.428804pt" strokecolor="#000000"/>
            <v:line style="position:absolute" from="4729,2793" to="4757,2793" stroked="true" strokeweight="1.428804pt" strokecolor="#000000"/>
            <v:line style="position:absolute" from="4784,2793" to="4812,2793" stroked="true" strokeweight="1.428804pt" strokecolor="#000000"/>
            <v:line style="position:absolute" from="4840,2793" to="4867,2793" stroked="true" strokeweight="1.428804pt" strokecolor="#000000"/>
            <v:line style="position:absolute" from="4895,2793" to="4923,2793" stroked="true" strokeweight="1.428804pt" strokecolor="#000000"/>
            <v:line style="position:absolute" from="4950,2793" to="4978,2793" stroked="true" strokeweight="1.428804pt" strokecolor="#000000"/>
            <v:line style="position:absolute" from="4425,2824" to="4453,2824" stroked="true" strokeweight="1.403301pt" strokecolor="#000000"/>
            <v:line style="position:absolute" from="4480,2824" to="4508,2824" stroked="true" strokeweight="1.403301pt" strokecolor="#000000"/>
            <v:line style="position:absolute" from="4535,2824" to="4563,2824" stroked="true" strokeweight="1.403301pt" strokecolor="#000000"/>
            <v:line style="position:absolute" from="4591,2824" to="4618,2824" stroked="true" strokeweight="1.403301pt" strokecolor="#000000"/>
            <v:line style="position:absolute" from="4646,2824" to="4674,2824" stroked="true" strokeweight="1.403301pt" strokecolor="#000000"/>
            <v:line style="position:absolute" from="4701,2824" to="4729,2824" stroked="true" strokeweight="1.403301pt" strokecolor="#000000"/>
            <v:line style="position:absolute" from="4757,2824" to="4784,2824" stroked="true" strokeweight="1.403301pt" strokecolor="#000000"/>
            <v:line style="position:absolute" from="4812,2824" to="4840,2824" stroked="true" strokeweight="1.403301pt" strokecolor="#000000"/>
            <v:line style="position:absolute" from="4867,2824" to="4895,2824" stroked="true" strokeweight="1.403301pt" strokecolor="#000000"/>
            <v:line style="position:absolute" from="4922,2824" to="4950,2824" stroked="true" strokeweight="1.403301pt" strokecolor="#000000"/>
            <v:line style="position:absolute" from="4453,2855" to="4480,2855" stroked="true" strokeweight="1.403301pt" strokecolor="#000000"/>
            <v:line style="position:absolute" from="4508,2855" to="4536,2855" stroked="true" strokeweight="1.403301pt" strokecolor="#000000"/>
            <v:line style="position:absolute" from="4563,2855" to="4591,2855" stroked="true" strokeweight="1.403301pt" strokecolor="#000000"/>
            <v:line style="position:absolute" from="4618,2855" to="4646,2855" stroked="true" strokeweight="1.403301pt" strokecolor="#000000"/>
            <v:line style="position:absolute" from="4674,2855" to="4701,2855" stroked="true" strokeweight="1.403301pt" strokecolor="#000000"/>
            <v:line style="position:absolute" from="4729,2855" to="4757,2855" stroked="true" strokeweight="1.403301pt" strokecolor="#000000"/>
            <v:line style="position:absolute" from="4784,2855" to="4812,2855" stroked="true" strokeweight="1.403301pt" strokecolor="#000000"/>
            <v:line style="position:absolute" from="4840,2855" to="4867,2855" stroked="true" strokeweight="1.403301pt" strokecolor="#000000"/>
            <v:line style="position:absolute" from="4895,2855" to="4923,2855" stroked="true" strokeweight="1.403301pt" strokecolor="#000000"/>
            <v:line style="position:absolute" from="4950,2855" to="4978,2855" stroked="true" strokeweight="1.403301pt" strokecolor="#000000"/>
            <v:line style="position:absolute" from="4425,2885" to="4453,2885" stroked="true" strokeweight="1.403301pt" strokecolor="#000000"/>
            <v:line style="position:absolute" from="4480,2885" to="4508,2885" stroked="true" strokeweight="1.403301pt" strokecolor="#000000"/>
            <v:line style="position:absolute" from="4535,2885" to="4563,2885" stroked="true" strokeweight="1.403301pt" strokecolor="#000000"/>
            <v:line style="position:absolute" from="4591,2885" to="4618,2885" stroked="true" strokeweight="1.403301pt" strokecolor="#000000"/>
            <v:line style="position:absolute" from="4646,2885" to="4674,2885" stroked="true" strokeweight="1.403301pt" strokecolor="#000000"/>
            <v:line style="position:absolute" from="4701,2885" to="4729,2885" stroked="true" strokeweight="1.403301pt" strokecolor="#000000"/>
            <v:line style="position:absolute" from="4757,2885" to="4784,2885" stroked="true" strokeweight="1.403301pt" strokecolor="#000000"/>
            <v:line style="position:absolute" from="4812,2885" to="4840,2885" stroked="true" strokeweight="1.403301pt" strokecolor="#000000"/>
            <v:line style="position:absolute" from="4867,2885" to="4895,2885" stroked="true" strokeweight="1.403301pt" strokecolor="#000000"/>
            <v:line style="position:absolute" from="4922,2885" to="4950,2885" stroked="true" strokeweight="1.403301pt" strokecolor="#000000"/>
            <v:line style="position:absolute" from="4453,2916" to="4480,2916" stroked="true" strokeweight="1.403301pt" strokecolor="#000000"/>
            <v:line style="position:absolute" from="4508,2916" to="4536,2916" stroked="true" strokeweight="1.403301pt" strokecolor="#000000"/>
            <v:line style="position:absolute" from="4563,2916" to="4591,2916" stroked="true" strokeweight="1.403301pt" strokecolor="#000000"/>
            <v:line style="position:absolute" from="4618,2916" to="4646,2916" stroked="true" strokeweight="1.403301pt" strokecolor="#000000"/>
            <v:line style="position:absolute" from="4674,2916" to="4701,2916" stroked="true" strokeweight="1.403301pt" strokecolor="#000000"/>
            <v:line style="position:absolute" from="4729,2916" to="4757,2916" stroked="true" strokeweight="1.403301pt" strokecolor="#000000"/>
            <v:line style="position:absolute" from="4784,2916" to="4812,2916" stroked="true" strokeweight="1.403301pt" strokecolor="#000000"/>
            <v:line style="position:absolute" from="4840,2916" to="4867,2916" stroked="true" strokeweight="1.403301pt" strokecolor="#000000"/>
            <v:line style="position:absolute" from="4895,2916" to="4923,2916" stroked="true" strokeweight="1.403301pt" strokecolor="#000000"/>
            <v:line style="position:absolute" from="4950,2916" to="4978,2916" stroked="true" strokeweight="1.403301pt" strokecolor="#000000"/>
            <v:line style="position:absolute" from="4425,2947" to="4453,2947" stroked="true" strokeweight="1.403301pt" strokecolor="#000000"/>
            <v:line style="position:absolute" from="4480,2947" to="4508,2947" stroked="true" strokeweight="1.403301pt" strokecolor="#000000"/>
            <v:line style="position:absolute" from="4535,2947" to="4563,2947" stroked="true" strokeweight="1.403301pt" strokecolor="#000000"/>
            <v:line style="position:absolute" from="4591,2947" to="4618,2947" stroked="true" strokeweight="1.403301pt" strokecolor="#000000"/>
            <v:line style="position:absolute" from="4646,2947" to="4674,2947" stroked="true" strokeweight="1.403301pt" strokecolor="#000000"/>
            <v:line style="position:absolute" from="4701,2947" to="4729,2947" stroked="true" strokeweight="1.403301pt" strokecolor="#000000"/>
            <v:line style="position:absolute" from="4757,2947" to="4784,2947" stroked="true" strokeweight="1.403301pt" strokecolor="#000000"/>
            <v:line style="position:absolute" from="4812,2947" to="4840,2947" stroked="true" strokeweight="1.403301pt" strokecolor="#000000"/>
            <v:line style="position:absolute" from="4867,2947" to="4895,2947" stroked="true" strokeweight="1.403301pt" strokecolor="#000000"/>
            <v:line style="position:absolute" from="4922,2947" to="4950,2947" stroked="true" strokeweight="1.403301pt" strokecolor="#000000"/>
            <v:line style="position:absolute" from="4453,2977" to="4480,2977" stroked="true" strokeweight="1.403301pt" strokecolor="#000000"/>
            <v:line style="position:absolute" from="4508,2977" to="4536,2977" stroked="true" strokeweight="1.403301pt" strokecolor="#000000"/>
            <v:line style="position:absolute" from="4563,2977" to="4591,2977" stroked="true" strokeweight="1.403301pt" strokecolor="#000000"/>
            <v:line style="position:absolute" from="4618,2977" to="4646,2977" stroked="true" strokeweight="1.403301pt" strokecolor="#000000"/>
            <v:line style="position:absolute" from="4674,2977" to="4701,2977" stroked="true" strokeweight="1.403301pt" strokecolor="#000000"/>
            <v:line style="position:absolute" from="4729,2977" to="4757,2977" stroked="true" strokeweight="1.403301pt" strokecolor="#000000"/>
            <v:line style="position:absolute" from="4784,2977" to="4812,2977" stroked="true" strokeweight="1.403301pt" strokecolor="#000000"/>
            <v:line style="position:absolute" from="4840,2977" to="4867,2977" stroked="true" strokeweight="1.403301pt" strokecolor="#000000"/>
            <v:line style="position:absolute" from="4895,2977" to="4923,2977" stroked="true" strokeweight="1.403301pt" strokecolor="#000000"/>
            <v:line style="position:absolute" from="4950,2977" to="4978,2977" stroked="true" strokeweight="1.403301pt" strokecolor="#000000"/>
            <v:line style="position:absolute" from="4425,3008" to="4453,3008" stroked="true" strokeweight="1.403301pt" strokecolor="#000000"/>
            <v:line style="position:absolute" from="4480,3008" to="4508,3008" stroked="true" strokeweight="1.403301pt" strokecolor="#000000"/>
            <v:line style="position:absolute" from="4535,3008" to="4563,3008" stroked="true" strokeweight="1.403301pt" strokecolor="#000000"/>
            <v:line style="position:absolute" from="4591,3008" to="4618,3008" stroked="true" strokeweight="1.403301pt" strokecolor="#000000"/>
            <v:line style="position:absolute" from="4646,3008" to="4674,3008" stroked="true" strokeweight="1.403301pt" strokecolor="#000000"/>
            <v:line style="position:absolute" from="4701,3008" to="4729,3008" stroked="true" strokeweight="1.403301pt" strokecolor="#000000"/>
            <v:line style="position:absolute" from="4757,3008" to="4784,3008" stroked="true" strokeweight="1.403301pt" strokecolor="#000000"/>
            <v:line style="position:absolute" from="4812,3008" to="4840,3008" stroked="true" strokeweight="1.403301pt" strokecolor="#000000"/>
            <v:line style="position:absolute" from="4867,3008" to="4895,3008" stroked="true" strokeweight="1.403301pt" strokecolor="#000000"/>
            <v:line style="position:absolute" from="4922,3008" to="4950,3008" stroked="true" strokeweight="1.403301pt" strokecolor="#000000"/>
            <v:line style="position:absolute" from="4453,3038" to="4480,3038" stroked="true" strokeweight="1.403301pt" strokecolor="#000000"/>
            <v:line style="position:absolute" from="4508,3038" to="4536,3038" stroked="true" strokeweight="1.403301pt" strokecolor="#000000"/>
            <v:line style="position:absolute" from="4563,3038" to="4591,3038" stroked="true" strokeweight="1.403301pt" strokecolor="#000000"/>
            <v:line style="position:absolute" from="4618,3038" to="4646,3038" stroked="true" strokeweight="1.403301pt" strokecolor="#000000"/>
            <v:line style="position:absolute" from="4674,3038" to="4701,3038" stroked="true" strokeweight="1.403301pt" strokecolor="#000000"/>
            <v:line style="position:absolute" from="4729,3038" to="4757,3038" stroked="true" strokeweight="1.403301pt" strokecolor="#000000"/>
            <v:line style="position:absolute" from="4784,3038" to="4812,3038" stroked="true" strokeweight="1.403301pt" strokecolor="#000000"/>
            <v:line style="position:absolute" from="4840,3038" to="4867,3038" stroked="true" strokeweight="1.403301pt" strokecolor="#000000"/>
            <v:line style="position:absolute" from="4895,3038" to="4923,3038" stroked="true" strokeweight="1.403301pt" strokecolor="#000000"/>
            <v:line style="position:absolute" from="4950,3038" to="4978,3038" stroked="true" strokeweight="1.403301pt" strokecolor="#000000"/>
            <v:line style="position:absolute" from="4425,3069" to="4453,3069" stroked="true" strokeweight="1.403301pt" strokecolor="#000000"/>
            <v:line style="position:absolute" from="4480,3069" to="4508,3069" stroked="true" strokeweight="1.403301pt" strokecolor="#000000"/>
            <v:line style="position:absolute" from="4535,3069" to="4563,3069" stroked="true" strokeweight="1.403301pt" strokecolor="#000000"/>
            <v:line style="position:absolute" from="4591,3069" to="4618,3069" stroked="true" strokeweight="1.403301pt" strokecolor="#000000"/>
            <v:line style="position:absolute" from="4646,3069" to="4674,3069" stroked="true" strokeweight="1.403301pt" strokecolor="#000000"/>
            <v:line style="position:absolute" from="4701,3069" to="4729,3069" stroked="true" strokeweight="1.403301pt" strokecolor="#000000"/>
            <v:line style="position:absolute" from="4757,3069" to="4784,3069" stroked="true" strokeweight="1.403301pt" strokecolor="#000000"/>
            <v:line style="position:absolute" from="4812,3069" to="4840,3069" stroked="true" strokeweight="1.403301pt" strokecolor="#000000"/>
            <v:line style="position:absolute" from="4867,3069" to="4895,3069" stroked="true" strokeweight="1.403301pt" strokecolor="#000000"/>
            <v:line style="position:absolute" from="4922,3069" to="4950,3069" stroked="true" strokeweight="1.403301pt" strokecolor="#000000"/>
            <v:line style="position:absolute" from="4453,3100" to="4480,3100" stroked="true" strokeweight="1.403301pt" strokecolor="#000000"/>
            <v:line style="position:absolute" from="4508,3100" to="4536,3100" stroked="true" strokeweight="1.403301pt" strokecolor="#000000"/>
            <v:line style="position:absolute" from="4563,3100" to="4591,3100" stroked="true" strokeweight="1.403301pt" strokecolor="#000000"/>
            <v:line style="position:absolute" from="4618,3100" to="4646,3100" stroked="true" strokeweight="1.403301pt" strokecolor="#000000"/>
            <v:line style="position:absolute" from="4674,3100" to="4701,3100" stroked="true" strokeweight="1.403301pt" strokecolor="#000000"/>
            <v:line style="position:absolute" from="4729,3100" to="4757,3100" stroked="true" strokeweight="1.403301pt" strokecolor="#000000"/>
            <v:line style="position:absolute" from="4784,3100" to="4812,3100" stroked="true" strokeweight="1.403301pt" strokecolor="#000000"/>
            <v:line style="position:absolute" from="4840,3100" to="4867,3100" stroked="true" strokeweight="1.403301pt" strokecolor="#000000"/>
            <v:line style="position:absolute" from="4895,3100" to="4923,3100" stroked="true" strokeweight="1.403301pt" strokecolor="#000000"/>
            <v:line style="position:absolute" from="4950,3100" to="4978,3100" stroked="true" strokeweight="1.403301pt" strokecolor="#000000"/>
            <v:line style="position:absolute" from="4425,3130" to="4453,3130" stroked="true" strokeweight="1.403301pt" strokecolor="#000000"/>
            <v:line style="position:absolute" from="4480,3130" to="4508,3130" stroked="true" strokeweight="1.403301pt" strokecolor="#000000"/>
            <v:line style="position:absolute" from="4535,3130" to="4563,3130" stroked="true" strokeweight="1.403301pt" strokecolor="#000000"/>
            <v:line style="position:absolute" from="4591,3130" to="4618,3130" stroked="true" strokeweight="1.403301pt" strokecolor="#000000"/>
            <v:line style="position:absolute" from="4646,3130" to="4674,3130" stroked="true" strokeweight="1.403301pt" strokecolor="#000000"/>
            <v:line style="position:absolute" from="4701,3130" to="4729,3130" stroked="true" strokeweight="1.403301pt" strokecolor="#000000"/>
            <v:line style="position:absolute" from="4757,3130" to="4784,3130" stroked="true" strokeweight="1.403301pt" strokecolor="#000000"/>
            <v:line style="position:absolute" from="4812,3130" to="4840,3130" stroked="true" strokeweight="1.403301pt" strokecolor="#000000"/>
            <v:line style="position:absolute" from="4867,3130" to="4895,3130" stroked="true" strokeweight="1.403301pt" strokecolor="#000000"/>
            <v:line style="position:absolute" from="4922,3130" to="4950,3130" stroked="true" strokeweight="1.403301pt" strokecolor="#000000"/>
            <v:line style="position:absolute" from="4453,3161" to="4480,3161" stroked="true" strokeweight="1.403301pt" strokecolor="#000000"/>
            <v:line style="position:absolute" from="4508,3161" to="4536,3161" stroked="true" strokeweight="1.403301pt" strokecolor="#000000"/>
            <v:line style="position:absolute" from="4563,3161" to="4591,3161" stroked="true" strokeweight="1.403301pt" strokecolor="#000000"/>
            <v:line style="position:absolute" from="4618,3161" to="4646,3161" stroked="true" strokeweight="1.403301pt" strokecolor="#000000"/>
            <v:line style="position:absolute" from="4674,3161" to="4701,3161" stroked="true" strokeweight="1.403301pt" strokecolor="#000000"/>
            <v:line style="position:absolute" from="4729,3161" to="4757,3161" stroked="true" strokeweight="1.403301pt" strokecolor="#000000"/>
            <v:line style="position:absolute" from="4784,3161" to="4812,3161" stroked="true" strokeweight="1.403301pt" strokecolor="#000000"/>
            <v:line style="position:absolute" from="4840,3161" to="4867,3161" stroked="true" strokeweight="1.403301pt" strokecolor="#000000"/>
            <v:line style="position:absolute" from="4895,3161" to="4923,3161" stroked="true" strokeweight="1.403301pt" strokecolor="#000000"/>
            <v:line style="position:absolute" from="4950,3161" to="4978,3161" stroked="true" strokeweight="1.403301pt" strokecolor="#000000"/>
            <v:line style="position:absolute" from="4425,3191" to="4453,3191" stroked="true" strokeweight="1.403301pt" strokecolor="#000000"/>
            <v:line style="position:absolute" from="4480,3191" to="4508,3191" stroked="true" strokeweight="1.403301pt" strokecolor="#000000"/>
            <v:line style="position:absolute" from="4535,3191" to="4563,3191" stroked="true" strokeweight="1.403301pt" strokecolor="#000000"/>
            <v:line style="position:absolute" from="4591,3191" to="4618,3191" stroked="true" strokeweight="1.403301pt" strokecolor="#000000"/>
            <v:line style="position:absolute" from="4646,3191" to="4674,3191" stroked="true" strokeweight="1.403301pt" strokecolor="#000000"/>
            <v:line style="position:absolute" from="4701,3191" to="4729,3191" stroked="true" strokeweight="1.403301pt" strokecolor="#000000"/>
            <v:line style="position:absolute" from="4757,3191" to="4784,3191" stroked="true" strokeweight="1.403301pt" strokecolor="#000000"/>
            <v:line style="position:absolute" from="4812,3191" to="4840,3191" stroked="true" strokeweight="1.403301pt" strokecolor="#000000"/>
            <v:line style="position:absolute" from="4867,3191" to="4895,3191" stroked="true" strokeweight="1.403301pt" strokecolor="#000000"/>
            <v:line style="position:absolute" from="4922,3191" to="4950,3191" stroked="true" strokeweight="1.403301pt" strokecolor="#000000"/>
            <v:line style="position:absolute" from="4453,3222" to="4480,3222" stroked="true" strokeweight="1.403301pt" strokecolor="#000000"/>
            <v:line style="position:absolute" from="4508,3222" to="4536,3222" stroked="true" strokeweight="1.403301pt" strokecolor="#000000"/>
            <v:line style="position:absolute" from="4563,3222" to="4591,3222" stroked="true" strokeweight="1.403301pt" strokecolor="#000000"/>
            <v:line style="position:absolute" from="4618,3222" to="4646,3222" stroked="true" strokeweight="1.403301pt" strokecolor="#000000"/>
            <v:line style="position:absolute" from="4674,3222" to="4701,3222" stroked="true" strokeweight="1.403301pt" strokecolor="#000000"/>
            <v:line style="position:absolute" from="4729,3222" to="4757,3222" stroked="true" strokeweight="1.403301pt" strokecolor="#000000"/>
            <v:line style="position:absolute" from="4784,3222" to="4812,3222" stroked="true" strokeweight="1.403301pt" strokecolor="#000000"/>
            <v:line style="position:absolute" from="4840,3222" to="4867,3222" stroked="true" strokeweight="1.403301pt" strokecolor="#000000"/>
            <v:line style="position:absolute" from="4895,3222" to="4923,3222" stroked="true" strokeweight="1.403301pt" strokecolor="#000000"/>
            <v:line style="position:absolute" from="4950,3222" to="4978,3222" stroked="true" strokeweight="1.403301pt" strokecolor="#000000"/>
            <v:line style="position:absolute" from="4425,3253" to="4453,3253" stroked="true" strokeweight="1.403301pt" strokecolor="#000000"/>
            <v:line style="position:absolute" from="4480,3253" to="4508,3253" stroked="true" strokeweight="1.403301pt" strokecolor="#000000"/>
            <v:line style="position:absolute" from="4535,3253" to="4563,3253" stroked="true" strokeweight="1.403301pt" strokecolor="#000000"/>
            <v:line style="position:absolute" from="4591,3253" to="4618,3253" stroked="true" strokeweight="1.403301pt" strokecolor="#000000"/>
            <v:line style="position:absolute" from="4646,3253" to="4674,3253" stroked="true" strokeweight="1.403301pt" strokecolor="#000000"/>
            <v:line style="position:absolute" from="4701,3253" to="4729,3253" stroked="true" strokeweight="1.403301pt" strokecolor="#000000"/>
            <v:line style="position:absolute" from="4757,3253" to="4784,3253" stroked="true" strokeweight="1.403301pt" strokecolor="#000000"/>
            <v:line style="position:absolute" from="4812,3253" to="4840,3253" stroked="true" strokeweight="1.403301pt" strokecolor="#000000"/>
            <v:line style="position:absolute" from="4867,3253" to="4895,3253" stroked="true" strokeweight="1.403301pt" strokecolor="#000000"/>
            <v:line style="position:absolute" from="4922,3253" to="4950,3253" stroked="true" strokeweight="1.403301pt" strokecolor="#000000"/>
            <v:line style="position:absolute" from="4453,3283" to="4480,3283" stroked="true" strokeweight="1.403301pt" strokecolor="#000000"/>
            <v:line style="position:absolute" from="4508,3283" to="4536,3283" stroked="true" strokeweight="1.403301pt" strokecolor="#000000"/>
            <v:line style="position:absolute" from="4563,3283" to="4591,3283" stroked="true" strokeweight="1.403301pt" strokecolor="#000000"/>
            <v:line style="position:absolute" from="4618,3283" to="4646,3283" stroked="true" strokeweight="1.403301pt" strokecolor="#000000"/>
            <v:line style="position:absolute" from="4674,3283" to="4701,3283" stroked="true" strokeweight="1.403301pt" strokecolor="#000000"/>
            <v:line style="position:absolute" from="4729,3283" to="4757,3283" stroked="true" strokeweight="1.403301pt" strokecolor="#000000"/>
            <v:line style="position:absolute" from="4784,3283" to="4812,3283" stroked="true" strokeweight="1.403301pt" strokecolor="#000000"/>
            <v:line style="position:absolute" from="4840,3283" to="4867,3283" stroked="true" strokeweight="1.403301pt" strokecolor="#000000"/>
            <v:line style="position:absolute" from="4895,3283" to="4923,3283" stroked="true" strokeweight="1.403301pt" strokecolor="#000000"/>
            <v:line style="position:absolute" from="4950,3283" to="4978,3283" stroked="true" strokeweight="1.403301pt" strokecolor="#000000"/>
            <v:line style="position:absolute" from="4425,3314" to="4453,3314" stroked="true" strokeweight="1.403301pt" strokecolor="#000000"/>
            <v:line style="position:absolute" from="4480,3314" to="4508,3314" stroked="true" strokeweight="1.403301pt" strokecolor="#000000"/>
            <v:line style="position:absolute" from="4535,3314" to="4563,3314" stroked="true" strokeweight="1.403301pt" strokecolor="#000000"/>
            <v:line style="position:absolute" from="4591,3314" to="4618,3314" stroked="true" strokeweight="1.403301pt" strokecolor="#000000"/>
            <v:line style="position:absolute" from="4646,3314" to="4674,3314" stroked="true" strokeweight="1.403301pt" strokecolor="#000000"/>
            <v:line style="position:absolute" from="4701,3314" to="4729,3314" stroked="true" strokeweight="1.403301pt" strokecolor="#000000"/>
            <v:line style="position:absolute" from="4757,3314" to="4784,3314" stroked="true" strokeweight="1.403301pt" strokecolor="#000000"/>
            <v:line style="position:absolute" from="4812,3314" to="4840,3314" stroked="true" strokeweight="1.403301pt" strokecolor="#000000"/>
            <v:line style="position:absolute" from="4867,3314" to="4895,3314" stroked="true" strokeweight="1.403301pt" strokecolor="#000000"/>
            <v:line style="position:absolute" from="4922,3314" to="4950,3314" stroked="true" strokeweight="1.403301pt" strokecolor="#000000"/>
            <v:line style="position:absolute" from="4453,3345" to="4480,3345" stroked="true" strokeweight="1.403301pt" strokecolor="#000000"/>
            <v:line style="position:absolute" from="4508,3345" to="4536,3345" stroked="true" strokeweight="1.403301pt" strokecolor="#000000"/>
            <v:line style="position:absolute" from="4563,3345" to="4591,3345" stroked="true" strokeweight="1.403301pt" strokecolor="#000000"/>
            <v:line style="position:absolute" from="4618,3345" to="4646,3345" stroked="true" strokeweight="1.403301pt" strokecolor="#000000"/>
            <v:line style="position:absolute" from="4674,3345" to="4701,3345" stroked="true" strokeweight="1.403301pt" strokecolor="#000000"/>
            <v:line style="position:absolute" from="4729,3345" to="4757,3345" stroked="true" strokeweight="1.403301pt" strokecolor="#000000"/>
            <v:line style="position:absolute" from="4784,3345" to="4812,3345" stroked="true" strokeweight="1.403301pt" strokecolor="#000000"/>
            <v:line style="position:absolute" from="4840,3345" to="4867,3345" stroked="true" strokeweight="1.403301pt" strokecolor="#000000"/>
            <v:line style="position:absolute" from="4895,3345" to="4923,3345" stroked="true" strokeweight="1.403301pt" strokecolor="#000000"/>
            <v:line style="position:absolute" from="4950,3345" to="4978,3345" stroked="true" strokeweight="1.403301pt" strokecolor="#000000"/>
            <v:line style="position:absolute" from="4425,3370" to="4453,3370" stroked="true" strokeweight=".893008pt" strokecolor="#000000"/>
            <v:line style="position:absolute" from="4480,3370" to="4508,3370" stroked="true" strokeweight=".893008pt" strokecolor="#000000"/>
            <v:line style="position:absolute" from="4535,3370" to="4563,3370" stroked="true" strokeweight=".893008pt" strokecolor="#000000"/>
            <v:line style="position:absolute" from="4591,3370" to="4618,3370" stroked="true" strokeweight=".893008pt" strokecolor="#000000"/>
            <v:line style="position:absolute" from="4646,3370" to="4674,3370" stroked="true" strokeweight=".893008pt" strokecolor="#000000"/>
            <v:line style="position:absolute" from="4701,3370" to="4729,3370" stroked="true" strokeweight=".893008pt" strokecolor="#000000"/>
            <v:line style="position:absolute" from="4757,3370" to="4784,3370" stroked="true" strokeweight=".893008pt" strokecolor="#000000"/>
            <v:line style="position:absolute" from="4812,3370" to="4840,3370" stroked="true" strokeweight=".893008pt" strokecolor="#000000"/>
            <v:line style="position:absolute" from="4867,3370" to="4895,3370" stroked="true" strokeweight=".893008pt" strokecolor="#000000"/>
            <v:line style="position:absolute" from="4922,3370" to="4950,3370" stroked="true" strokeweight=".893008pt" strokecolor="#000000"/>
            <v:shape style="position:absolute;left:2824;top:11183;width:571;height:1856" coordorigin="2824,11183" coordsize="571,1856" path="m4425,3371l4425,3371,4425,1431,4976,1431,4976,3371m4563,1375l4840,1375,4563,1375e" filled="false" stroked="true" strokeweight="2.192861pt" strokecolor="#000000">
              <v:path arrowok="t"/>
            </v:shape>
            <v:line style="position:absolute" from="4681,1403" to="4722,1403" stroked="true" strokeweight="2.80854pt" strokecolor="#000000"/>
            <v:line style="position:absolute" from="5309,3000" to="5365,3000" stroked="true" strokeweight="2.934117pt" strokecolor="#000000"/>
            <v:line style="position:absolute" from="5420,3000" to="5475,3000" stroked="true" strokeweight="2.934117pt" strokecolor="#000000"/>
            <v:line style="position:absolute" from="5531,3000" to="5586,3000" stroked="true" strokeweight="2.934117pt" strokecolor="#000000"/>
            <v:line style="position:absolute" from="5641,3000" to="5696,3000" stroked="true" strokeweight="2.934117pt" strokecolor="#000000"/>
            <v:line style="position:absolute" from="5752,3000" to="5807,3000" stroked="true" strokeweight="2.934117pt" strokecolor="#000000"/>
            <v:line style="position:absolute" from="5254,3061" to="5309,3061" stroked="true" strokeweight="2.934117pt" strokecolor="#000000"/>
            <v:line style="position:absolute" from="5365,3061" to="5420,3061" stroked="true" strokeweight="2.934117pt" strokecolor="#000000"/>
            <v:line style="position:absolute" from="5475,3061" to="5531,3061" stroked="true" strokeweight="2.934117pt" strokecolor="#000000"/>
            <v:line style="position:absolute" from="5586,3061" to="5641,3061" stroked="true" strokeweight="2.934117pt" strokecolor="#000000"/>
            <v:line style="position:absolute" from="5696,3061" to="5752,3061" stroked="true" strokeweight="2.934117pt" strokecolor="#000000"/>
            <v:line style="position:absolute" from="5309,3123" to="5365,3123" stroked="true" strokeweight="2.934117pt" strokecolor="#000000"/>
            <v:line style="position:absolute" from="5420,3123" to="5475,3123" stroked="true" strokeweight="2.934117pt" strokecolor="#000000"/>
            <v:line style="position:absolute" from="5531,3123" to="5586,3123" stroked="true" strokeweight="2.934117pt" strokecolor="#000000"/>
            <v:line style="position:absolute" from="5641,3123" to="5696,3123" stroked="true" strokeweight="2.934117pt" strokecolor="#000000"/>
            <v:line style="position:absolute" from="5752,3123" to="5807,3123" stroked="true" strokeweight="2.934117pt" strokecolor="#000000"/>
            <v:line style="position:absolute" from="5254,3184" to="5309,3184" stroked="true" strokeweight="2.934117pt" strokecolor="#000000"/>
            <v:line style="position:absolute" from="5365,3184" to="5420,3184" stroked="true" strokeweight="2.934117pt" strokecolor="#000000"/>
            <v:line style="position:absolute" from="5475,3184" to="5531,3184" stroked="true" strokeweight="2.934117pt" strokecolor="#000000"/>
            <v:line style="position:absolute" from="5586,3184" to="5641,3184" stroked="true" strokeweight="2.934117pt" strokecolor="#000000"/>
            <v:line style="position:absolute" from="5696,3184" to="5752,3184" stroked="true" strokeweight="2.934117pt" strokecolor="#000000"/>
            <v:line style="position:absolute" from="5309,3245" to="5365,3245" stroked="true" strokeweight="2.934117pt" strokecolor="#000000"/>
            <v:line style="position:absolute" from="5420,3245" to="5475,3245" stroked="true" strokeweight="2.934117pt" strokecolor="#000000"/>
            <v:line style="position:absolute" from="5531,3245" to="5586,3245" stroked="true" strokeweight="2.934117pt" strokecolor="#000000"/>
            <v:line style="position:absolute" from="5641,3245" to="5696,3245" stroked="true" strokeweight="2.934117pt" strokecolor="#000000"/>
            <v:line style="position:absolute" from="5752,3245" to="5807,3245" stroked="true" strokeweight="2.934117pt" strokecolor="#000000"/>
            <v:line style="position:absolute" from="5254,3306" to="5309,3306" stroked="true" strokeweight="2.934117pt" strokecolor="#000000"/>
            <v:line style="position:absolute" from="5365,3306" to="5420,3306" stroked="true" strokeweight="2.934117pt" strokecolor="#000000"/>
            <v:line style="position:absolute" from="5475,3306" to="5531,3306" stroked="true" strokeweight="2.934117pt" strokecolor="#000000"/>
            <v:line style="position:absolute" from="5586,3306" to="5641,3306" stroked="true" strokeweight="2.934117pt" strokecolor="#000000"/>
            <v:line style="position:absolute" from="5696,3306" to="5752,3306" stroked="true" strokeweight="2.934117pt" strokecolor="#000000"/>
            <v:line style="position:absolute" from="5309,3359" to="5365,3359" stroked="true" strokeweight="2.041195pt" strokecolor="#000000"/>
            <v:line style="position:absolute" from="5420,3359" to="5475,3359" stroked="true" strokeweight="2.041195pt" strokecolor="#000000"/>
            <v:line style="position:absolute" from="5531,3359" to="5586,3359" stroked="true" strokeweight="2.041195pt" strokecolor="#000000"/>
            <v:line style="position:absolute" from="5641,3359" to="5696,3359" stroked="true" strokeweight="2.041195pt" strokecolor="#000000"/>
            <v:line style="position:absolute" from="5752,3359" to="5807,3359" stroked="true" strokeweight="2.041195pt" strokecolor="#000000"/>
            <v:shape style="position:absolute;left:3683;top:12633;width:571;height:406" coordorigin="3683,12633" coordsize="571,406" path="m5254,3371l5254,3371,5254,2971,5805,2971,5805,3371m5392,2935l5669,2935,5392,2935e" filled="false" stroked="true" strokeweight="2.192861pt" strokecolor="#000000">
              <v:path arrowok="t"/>
            </v:shape>
            <v:line style="position:absolute" from="5510,2953" to="5551,2953" stroked="true" strokeweight="1.785198pt" strokecolor="#000000"/>
            <v:shape style="position:absolute;left:4543;top:12604;width:574;height:415" coordorigin="4543,12604" coordsize="574,415" path="m6086,2904l6083,2904,6637,2904m6083,2968l6637,2968m6083,3032l6637,3032m6083,3096l6637,3096m6083,3160l6637,3160m6083,3223l6637,3223m6083,3287l6637,3287m6083,3351l6637,3351e" filled="false" stroked="true" strokeweight=".730954pt" strokecolor="#000000">
              <v:path arrowok="t"/>
            </v:shape>
            <v:shape style="position:absolute;left:4543;top:12514;width:572;height:524" coordorigin="4543,12514" coordsize="572,524" path="m6083,3371l6083,3371,6083,2841,6634,2841,6634,3371m6222,2807l6498,2807,6222,2807e" filled="false" stroked="true" strokeweight="2.192861pt" strokecolor="#000000">
              <v:path arrowok="t"/>
            </v:shape>
            <v:line style="position:absolute" from="6339,2824" to="6381,2824" stroked="true" strokeweight="1.658222pt" strokecolor="#000000"/>
            <v:shape style="position:absolute;left:5475;top:12046;width:430;height:1002" coordorigin="5475,12046" coordsize="430,1002" path="m6982,2307l6982,2304,6982,3382m7051,2304l7051,3382m7120,2304l7120,3382m7189,2304l7189,3382m7258,2304l7258,3382m7328,2304l7328,3382m7397,2304l7397,3382e" filled="false" stroked="true" strokeweight=".730954pt" strokecolor="#000000">
              <v:path arrowok="t"/>
            </v:shape>
            <v:shape style="position:absolute;left:5403;top:11985;width:571;height:1054" coordorigin="5403,11985" coordsize="571,1054" path="m6913,3371l6913,3371,6913,2304,7463,2304,7463,3371m7051,2238l7328,2238,7051,2238e" filled="false" stroked="true" strokeweight="2.192861pt" strokecolor="#000000">
              <v:path arrowok="t"/>
            </v:shape>
            <v:line style="position:absolute" from="7169,2271" to="7210,2271" stroked="true" strokeweight="3.316444pt" strokecolor="#000000"/>
            <v:shape style="position:absolute;left:7735;top:2532;width:361;height:398" type="#_x0000_t75" stroked="false">
              <v:imagedata r:id="rId34" o:title=""/>
            </v:shape>
            <v:shape style="position:absolute;left:6263;top:12265;width:574;height:783" coordorigin="6263,12265" coordsize="574,783" path="m7742,2986l8146,2539m7742,3050l8203,2539m7742,3114l8261,2539m7742,3177l8296,2565m7742,3241l8296,2628m7742,3305l8296,2692m7742,3369l8296,2756m7788,3382l8296,2820m7846,3382l8296,2884m7904,3382l8296,2948e" filled="false" stroked="true" strokeweight=".730954pt" strokecolor="#000000">
              <v:path arrowok="t"/>
            </v:shape>
            <v:shape style="position:absolute;left:7954;top:3004;width:349;height:385" type="#_x0000_t75" stroked="false">
              <v:imagedata r:id="rId35" o:title=""/>
            </v:shape>
            <v:shape style="position:absolute;left:6263;top:12219;width:572;height:819" coordorigin="6263,12219" coordsize="572,819" path="m7742,3371l7742,3371,7742,2539,8293,2539,8293,3371m7880,2491l8157,2491,7880,2491e" filled="false" stroked="true" strokeweight="2.192861pt" strokecolor="#000000">
              <v:path arrowok="t"/>
            </v:shape>
            <v:line style="position:absolute" from="7998,2515" to="8040,2515" stroked="true" strokeweight="2.423307pt" strokecolor="#000000"/>
            <v:shape style="position:absolute;left:2599;top:10201;width:4381;height:2928" coordorigin="2599,10201" coordsize="4381,2928" path="m4286,3382l8434,3382m4701,3382l4701,3468m5531,3382l5531,3468m6360,3382l6360,3468m7189,3382l7189,3468m8019,3382l8019,3468m4286,3382l4286,318m4286,3382l4208,3382m4286,2360l4208,2360m4286,1339l4208,1339m4286,318l4208,318e" filled="false" stroked="true" strokeweight="1.461907pt" strokecolor="#000000">
              <v:path arrowok="t"/>
            </v:shape>
            <w10:wrap type="none"/>
          </v:group>
        </w:pict>
      </w:r>
      <w:r>
        <w:rPr/>
        <w:pict>
          <v:shape style="position:absolute;margin-left:161.48262pt;margin-top:21.538919pt;width:13.55pt;height:140.15pt;mso-position-horizontal-relative:page;mso-position-vertical-relative:paragraph;z-index:2104" type="#_x0000_t202" filled="false" stroked="false">
            <v:textbox inset="0,0,0,0" style="layout-flow:vertical;mso-layout-flow-alt:bottom-to-top">
              <w:txbxContent>
                <w:p>
                  <w:pPr>
                    <w:spacing w:line="255" w:lineRule="exact" w:before="0"/>
                    <w:ind w:left="20" w:right="0" w:firstLine="0"/>
                    <w:jc w:val="left"/>
                    <w:rPr>
                      <w:b/>
                      <w:sz w:val="23"/>
                    </w:rPr>
                  </w:pPr>
                  <w:r>
                    <w:rPr>
                      <w:b/>
                      <w:w w:val="111"/>
                      <w:sz w:val="23"/>
                    </w:rPr>
                    <w:t>%</w:t>
                  </w:r>
                  <w:r>
                    <w:rPr>
                      <w:b/>
                      <w:spacing w:val="30"/>
                      <w:sz w:val="23"/>
                    </w:rPr>
                    <w:t> </w:t>
                  </w:r>
                  <w:r>
                    <w:rPr>
                      <w:b/>
                      <w:spacing w:val="-3"/>
                      <w:w w:val="111"/>
                      <w:sz w:val="23"/>
                    </w:rPr>
                    <w:t>d</w:t>
                  </w:r>
                  <w:r>
                    <w:rPr>
                      <w:b/>
                      <w:w w:val="111"/>
                      <w:sz w:val="23"/>
                    </w:rPr>
                    <w:t>e</w:t>
                  </w:r>
                  <w:r>
                    <w:rPr>
                      <w:b/>
                      <w:spacing w:val="8"/>
                      <w:sz w:val="23"/>
                    </w:rPr>
                    <w:t> </w:t>
                  </w:r>
                  <w:r>
                    <w:rPr>
                      <w:b/>
                      <w:spacing w:val="-2"/>
                      <w:w w:val="111"/>
                      <w:sz w:val="23"/>
                    </w:rPr>
                    <w:t>P</w:t>
                  </w:r>
                  <w:r>
                    <w:rPr>
                      <w:b/>
                      <w:spacing w:val="-14"/>
                      <w:w w:val="111"/>
                      <w:sz w:val="23"/>
                    </w:rPr>
                    <w:t>M</w:t>
                  </w:r>
                  <w:r>
                    <w:rPr>
                      <w:b/>
                      <w:w w:val="111"/>
                      <w:sz w:val="23"/>
                    </w:rPr>
                    <w:t>N</w:t>
                  </w:r>
                  <w:r>
                    <w:rPr>
                      <w:b/>
                      <w:spacing w:val="12"/>
                      <w:sz w:val="23"/>
                    </w:rPr>
                    <w:t> </w:t>
                  </w:r>
                  <w:r>
                    <w:rPr>
                      <w:b/>
                      <w:spacing w:val="-5"/>
                      <w:w w:val="111"/>
                      <w:sz w:val="23"/>
                    </w:rPr>
                    <w:t>a</w:t>
                  </w:r>
                  <w:r>
                    <w:rPr>
                      <w:b/>
                      <w:spacing w:val="-3"/>
                      <w:w w:val="111"/>
                      <w:sz w:val="23"/>
                    </w:rPr>
                    <w:t>pop</w:t>
                  </w:r>
                  <w:r>
                    <w:rPr>
                      <w:b/>
                      <w:spacing w:val="6"/>
                      <w:w w:val="111"/>
                      <w:sz w:val="23"/>
                    </w:rPr>
                    <w:t>t</w:t>
                  </w:r>
                  <w:r>
                    <w:rPr>
                      <w:b/>
                      <w:spacing w:val="-3"/>
                      <w:w w:val="111"/>
                      <w:sz w:val="23"/>
                    </w:rPr>
                    <w:t>o</w:t>
                  </w:r>
                  <w:r>
                    <w:rPr>
                      <w:b/>
                      <w:spacing w:val="6"/>
                      <w:w w:val="111"/>
                      <w:sz w:val="23"/>
                    </w:rPr>
                    <w:t>t</w:t>
                  </w:r>
                  <w:r>
                    <w:rPr>
                      <w:b/>
                      <w:spacing w:val="-10"/>
                      <w:w w:val="111"/>
                      <w:sz w:val="23"/>
                    </w:rPr>
                    <w:t>i</w:t>
                  </w:r>
                  <w:r>
                    <w:rPr>
                      <w:b/>
                      <w:spacing w:val="-5"/>
                      <w:w w:val="111"/>
                      <w:sz w:val="23"/>
                    </w:rPr>
                    <w:t>c</w:t>
                  </w:r>
                  <w:r>
                    <w:rPr>
                      <w:b/>
                      <w:spacing w:val="-3"/>
                      <w:w w:val="111"/>
                      <w:sz w:val="23"/>
                    </w:rPr>
                    <w:t>o</w:t>
                  </w:r>
                  <w:r>
                    <w:rPr>
                      <w:b/>
                      <w:w w:val="111"/>
                      <w:sz w:val="23"/>
                    </w:rPr>
                    <w:t>s</w:t>
                  </w:r>
                </w:p>
              </w:txbxContent>
            </v:textbox>
            <w10:wrap type="none"/>
          </v:shape>
        </w:pict>
      </w:r>
      <w:r>
        <w:rPr>
          <w:b/>
          <w:sz w:val="23"/>
        </w:rPr>
        <w:t>150</w:t>
      </w:r>
    </w:p>
    <w:p>
      <w:pPr>
        <w:pStyle w:val="BodyText"/>
        <w:rPr>
          <w:b/>
          <w:sz w:val="20"/>
        </w:rPr>
      </w:pPr>
    </w:p>
    <w:p>
      <w:pPr>
        <w:pStyle w:val="BodyText"/>
        <w:rPr>
          <w:b/>
          <w:sz w:val="20"/>
        </w:rPr>
      </w:pPr>
    </w:p>
    <w:p>
      <w:pPr>
        <w:pStyle w:val="BodyText"/>
        <w:spacing w:before="4"/>
        <w:rPr>
          <w:b/>
          <w:sz w:val="19"/>
        </w:rPr>
      </w:pPr>
    </w:p>
    <w:p>
      <w:pPr>
        <w:spacing w:before="74"/>
        <w:ind w:left="2308" w:right="0" w:firstLine="0"/>
        <w:jc w:val="left"/>
        <w:rPr>
          <w:b/>
          <w:sz w:val="23"/>
        </w:rPr>
      </w:pPr>
      <w:r>
        <w:rPr>
          <w:b/>
          <w:sz w:val="23"/>
        </w:rPr>
        <w:t>100</w:t>
      </w:r>
    </w:p>
    <w:p>
      <w:pPr>
        <w:pStyle w:val="BodyText"/>
        <w:rPr>
          <w:b/>
          <w:sz w:val="20"/>
        </w:rPr>
      </w:pPr>
    </w:p>
    <w:p>
      <w:pPr>
        <w:pStyle w:val="BodyText"/>
        <w:rPr>
          <w:b/>
          <w:sz w:val="20"/>
        </w:rPr>
      </w:pPr>
    </w:p>
    <w:p>
      <w:pPr>
        <w:pStyle w:val="BodyText"/>
        <w:spacing w:before="4"/>
        <w:rPr>
          <w:b/>
          <w:sz w:val="19"/>
        </w:rPr>
      </w:pPr>
    </w:p>
    <w:p>
      <w:pPr>
        <w:spacing w:before="74"/>
        <w:ind w:left="2419" w:right="0" w:firstLine="0"/>
        <w:jc w:val="left"/>
        <w:rPr>
          <w:b/>
          <w:sz w:val="23"/>
        </w:rPr>
      </w:pPr>
      <w:r>
        <w:rPr>
          <w:b/>
          <w:sz w:val="23"/>
        </w:rPr>
        <w:t>50</w:t>
      </w:r>
    </w:p>
    <w:p>
      <w:pPr>
        <w:pStyle w:val="BodyText"/>
        <w:rPr>
          <w:b/>
          <w:sz w:val="20"/>
        </w:rPr>
      </w:pPr>
    </w:p>
    <w:p>
      <w:pPr>
        <w:pStyle w:val="BodyText"/>
        <w:rPr>
          <w:b/>
          <w:sz w:val="20"/>
        </w:rPr>
      </w:pPr>
    </w:p>
    <w:p>
      <w:pPr>
        <w:pStyle w:val="BodyText"/>
        <w:spacing w:before="4"/>
        <w:rPr>
          <w:b/>
          <w:sz w:val="19"/>
        </w:rPr>
      </w:pPr>
    </w:p>
    <w:p>
      <w:pPr>
        <w:spacing w:before="74"/>
        <w:ind w:left="2529" w:right="0" w:firstLine="0"/>
        <w:jc w:val="left"/>
        <w:rPr>
          <w:b/>
          <w:sz w:val="23"/>
        </w:rPr>
      </w:pPr>
      <w:r>
        <w:rPr/>
        <w:pict>
          <v:shape style="position:absolute;margin-left:217.676096pt;margin-top:26.70538pt;width:21.95pt;height:11.15pt;mso-position-horizontal-relative:page;mso-position-vertical-relative:paragraph;z-index:2128;rotation:312" type="#_x0000_t136" fillcolor="#000000" stroked="f">
            <o:extrusion v:ext="view" autorotationcenter="t"/>
            <v:textpath style="font-family:&amp;quot;Arial&amp;quot;;font-size:11pt;v-text-kern:t;mso-text-shadow:auto;font-weight:bold" string="C(+)"/>
            <w10:wrap type="none"/>
          </v:shape>
        </w:pict>
      </w:r>
      <w:r>
        <w:rPr/>
        <w:pict>
          <v:shape style="position:absolute;margin-left:261.468756pt;margin-top:25.698759pt;width:19.1pt;height:11.15pt;mso-position-horizontal-relative:page;mso-position-vertical-relative:paragraph;z-index:2152;rotation:312" type="#_x0000_t136" fillcolor="#000000" stroked="f">
            <o:extrusion v:ext="view" autorotationcenter="t"/>
            <v:textpath style="font-family:&amp;quot;Arial&amp;quot;;font-size:11pt;v-text-kern:t;mso-text-shadow:auto;font-weight:bold" string="C(-)"/>
            <w10:wrap type="none"/>
          </v:shape>
        </w:pict>
      </w:r>
      <w:r>
        <w:rPr/>
        <w:pict>
          <v:shape style="position:absolute;margin-left:305.516083pt;margin-top:24.507927pt;width:16.1500pt;height:11.15pt;mso-position-horizontal-relative:page;mso-position-vertical-relative:paragraph;z-index:2176;rotation:312" type="#_x0000_t136" fillcolor="#000000" stroked="f">
            <o:extrusion v:ext="view" autorotationcenter="t"/>
            <v:textpath style="font-family:&amp;quot;Arial&amp;quot;;font-size:11pt;v-text-kern:t;mso-text-shadow:auto;font-weight:bold" string="CC"/>
            <w10:wrap type="none"/>
          </v:shape>
        </w:pict>
      </w:r>
      <w:r>
        <w:rPr/>
        <w:pict>
          <v:shape style="position:absolute;margin-left:342.373114pt;margin-top:26.585128pt;width:21.6pt;height:11.15pt;mso-position-horizontal-relative:page;mso-position-vertical-relative:paragraph;z-index:2200;rotation:312" type="#_x0000_t136" fillcolor="#000000" stroked="f">
            <o:extrusion v:ext="view" autorotationcenter="t"/>
            <v:textpath style="font-family:&amp;quot;Arial&amp;quot;;font-size:11pt;v-text-kern:t;mso-text-shadow:auto;font-weight:bold" string="CP5"/>
            <w10:wrap type="none"/>
          </v:shape>
        </w:pict>
      </w:r>
      <w:r>
        <w:rPr/>
        <w:pict>
          <v:shape style="position:absolute;margin-left:383.829932pt;margin-top:26.585199pt;width:21.6pt;height:11.15pt;mso-position-horizontal-relative:page;mso-position-vertical-relative:paragraph;z-index:2224;rotation:312" type="#_x0000_t136" fillcolor="#000000" stroked="f">
            <o:extrusion v:ext="view" autorotationcenter="t"/>
            <v:textpath style="font-family:&amp;quot;Arial&amp;quot;;font-size:11pt;v-text-kern:t;mso-text-shadow:auto;font-weight:bold" string="CP8"/>
            <w10:wrap type="none"/>
          </v:shape>
        </w:pict>
      </w:r>
      <w:r>
        <w:rPr>
          <w:b/>
          <w:w w:val="91"/>
          <w:sz w:val="23"/>
        </w:rPr>
        <w:t>0</w:t>
      </w:r>
    </w:p>
    <w:p>
      <w:pPr>
        <w:pStyle w:val="BodyText"/>
        <w:rPr>
          <w:b/>
          <w:sz w:val="20"/>
        </w:rPr>
      </w:pPr>
    </w:p>
    <w:p>
      <w:pPr>
        <w:pStyle w:val="BodyText"/>
        <w:spacing w:before="5"/>
        <w:rPr>
          <w:b/>
          <w:sz w:val="27"/>
        </w:rPr>
      </w:pPr>
    </w:p>
    <w:p>
      <w:pPr>
        <w:spacing w:line="242" w:lineRule="auto" w:before="76"/>
        <w:ind w:left="419" w:right="1950" w:firstLine="0"/>
        <w:jc w:val="both"/>
        <w:rPr>
          <w:sz w:val="20"/>
        </w:rPr>
      </w:pPr>
      <w:r>
        <w:rPr>
          <w:b/>
          <w:sz w:val="20"/>
        </w:rPr>
        <w:t>Gráfica 6. </w:t>
      </w:r>
      <w:r>
        <w:rPr>
          <w:sz w:val="20"/>
        </w:rPr>
        <w:t>Proporción de neutrófilos bovinos apoptóticos inducidos por </w:t>
      </w:r>
      <w:r>
        <w:rPr>
          <w:i/>
          <w:sz w:val="20"/>
        </w:rPr>
        <w:t>S. aureus </w:t>
      </w:r>
      <w:r>
        <w:rPr>
          <w:sz w:val="20"/>
        </w:rPr>
        <w:t>después de una hora de incubación. Media y desviación estándar de los grupos controles y grupos experimentales observadas por microscopia de epifluorescencia. Control positivo CC(+) PMN incubados con ciclofosfamida (400μg/100µl); control negativo CC(-) neutrófilos; CP5 cepa capsular 5; CP cepa capsular 8 y CC cepa compacta. Diferencias estadísticamente significativas entre los tratamientos P&lt;0.05.</w:t>
      </w:r>
    </w:p>
    <w:p>
      <w:pPr>
        <w:spacing w:after="0" w:line="242" w:lineRule="auto"/>
        <w:jc w:val="both"/>
        <w:rPr>
          <w:sz w:val="20"/>
        </w:rPr>
        <w:sectPr>
          <w:pgSz w:w="12240" w:h="15840"/>
          <w:pgMar w:header="726" w:footer="1527" w:top="1200" w:bottom="1720" w:left="1540" w:right="0"/>
        </w:sectPr>
      </w:pPr>
    </w:p>
    <w:p>
      <w:pPr>
        <w:pStyle w:val="BodyText"/>
        <w:spacing w:before="1"/>
        <w:rPr>
          <w:sz w:val="22"/>
        </w:rPr>
      </w:pPr>
    </w:p>
    <w:p>
      <w:pPr>
        <w:tabs>
          <w:tab w:pos="4858" w:val="left" w:leader="none"/>
        </w:tabs>
        <w:spacing w:line="240" w:lineRule="auto"/>
        <w:ind w:left="159" w:right="0" w:firstLine="0"/>
        <w:rPr>
          <w:sz w:val="20"/>
        </w:rPr>
      </w:pPr>
      <w:r>
        <w:rPr>
          <w:position w:val="1"/>
          <w:sz w:val="20"/>
        </w:rPr>
        <w:drawing>
          <wp:inline distT="0" distB="0" distL="0" distR="0">
            <wp:extent cx="2602124" cy="1785747"/>
            <wp:effectExtent l="0" t="0" r="0" b="0"/>
            <wp:docPr id="33" name="image23.jpeg" descr=""/>
            <wp:cNvGraphicFramePr>
              <a:graphicFrameLocks noChangeAspect="1"/>
            </wp:cNvGraphicFramePr>
            <a:graphic>
              <a:graphicData uri="http://schemas.openxmlformats.org/drawingml/2006/picture">
                <pic:pic>
                  <pic:nvPicPr>
                    <pic:cNvPr id="34" name="image23.jpeg"/>
                    <pic:cNvPicPr/>
                  </pic:nvPicPr>
                  <pic:blipFill>
                    <a:blip r:embed="rId36" cstate="print"/>
                    <a:stretch>
                      <a:fillRect/>
                    </a:stretch>
                  </pic:blipFill>
                  <pic:spPr>
                    <a:xfrm>
                      <a:off x="0" y="0"/>
                      <a:ext cx="2602124" cy="1785747"/>
                    </a:xfrm>
                    <a:prstGeom prst="rect">
                      <a:avLst/>
                    </a:prstGeom>
                  </pic:spPr>
                </pic:pic>
              </a:graphicData>
            </a:graphic>
          </wp:inline>
        </w:drawing>
      </w:r>
      <w:r>
        <w:rPr>
          <w:position w:val="1"/>
          <w:sz w:val="20"/>
        </w:rPr>
      </w:r>
      <w:r>
        <w:rPr>
          <w:position w:val="1"/>
          <w:sz w:val="20"/>
        </w:rPr>
        <w:tab/>
      </w:r>
      <w:r>
        <w:rPr>
          <w:sz w:val="20"/>
        </w:rPr>
        <w:drawing>
          <wp:inline distT="0" distB="0" distL="0" distR="0">
            <wp:extent cx="2532738" cy="1773554"/>
            <wp:effectExtent l="0" t="0" r="0" b="0"/>
            <wp:docPr id="35" name="image24.jpeg" descr=""/>
            <wp:cNvGraphicFramePr>
              <a:graphicFrameLocks noChangeAspect="1"/>
            </wp:cNvGraphicFramePr>
            <a:graphic>
              <a:graphicData uri="http://schemas.openxmlformats.org/drawingml/2006/picture">
                <pic:pic>
                  <pic:nvPicPr>
                    <pic:cNvPr id="36" name="image24.jpeg"/>
                    <pic:cNvPicPr/>
                  </pic:nvPicPr>
                  <pic:blipFill>
                    <a:blip r:embed="rId37" cstate="print"/>
                    <a:stretch>
                      <a:fillRect/>
                    </a:stretch>
                  </pic:blipFill>
                  <pic:spPr>
                    <a:xfrm>
                      <a:off x="0" y="0"/>
                      <a:ext cx="2532738" cy="1773554"/>
                    </a:xfrm>
                    <a:prstGeom prst="rect">
                      <a:avLst/>
                    </a:prstGeom>
                  </pic:spPr>
                </pic:pic>
              </a:graphicData>
            </a:graphic>
          </wp:inline>
        </w:drawing>
      </w:r>
      <w:r>
        <w:rPr>
          <w:sz w:val="20"/>
        </w:rPr>
      </w:r>
    </w:p>
    <w:p>
      <w:pPr>
        <w:pStyle w:val="BodyText"/>
        <w:rPr>
          <w:sz w:val="20"/>
        </w:rPr>
      </w:pPr>
    </w:p>
    <w:p>
      <w:pPr>
        <w:pStyle w:val="BodyText"/>
        <w:rPr>
          <w:sz w:val="23"/>
        </w:rPr>
      </w:pPr>
      <w:r>
        <w:rPr/>
        <w:drawing>
          <wp:anchor distT="0" distB="0" distL="0" distR="0" allowOverlap="1" layoutInCell="1" locked="0" behindDoc="0" simplePos="0" relativeHeight="2248">
            <wp:simplePos x="0" y="0"/>
            <wp:positionH relativeFrom="page">
              <wp:posOffset>2426335</wp:posOffset>
            </wp:positionH>
            <wp:positionV relativeFrom="paragraph">
              <wp:posOffset>193052</wp:posOffset>
            </wp:positionV>
            <wp:extent cx="2912039" cy="1883664"/>
            <wp:effectExtent l="0" t="0" r="0" b="0"/>
            <wp:wrapTopAndBottom/>
            <wp:docPr id="37" name="image25.jpeg" descr=""/>
            <wp:cNvGraphicFramePr>
              <a:graphicFrameLocks noChangeAspect="1"/>
            </wp:cNvGraphicFramePr>
            <a:graphic>
              <a:graphicData uri="http://schemas.openxmlformats.org/drawingml/2006/picture">
                <pic:pic>
                  <pic:nvPicPr>
                    <pic:cNvPr id="38" name="image25.jpeg"/>
                    <pic:cNvPicPr/>
                  </pic:nvPicPr>
                  <pic:blipFill>
                    <a:blip r:embed="rId38" cstate="print"/>
                    <a:stretch>
                      <a:fillRect/>
                    </a:stretch>
                  </pic:blipFill>
                  <pic:spPr>
                    <a:xfrm>
                      <a:off x="0" y="0"/>
                      <a:ext cx="2912039" cy="1883664"/>
                    </a:xfrm>
                    <a:prstGeom prst="rect">
                      <a:avLst/>
                    </a:prstGeom>
                  </pic:spPr>
                </pic:pic>
              </a:graphicData>
            </a:graphic>
          </wp:anchor>
        </w:drawing>
      </w:r>
    </w:p>
    <w:p>
      <w:pPr>
        <w:pStyle w:val="BodyText"/>
        <w:spacing w:before="6"/>
        <w:rPr>
          <w:sz w:val="8"/>
        </w:rPr>
      </w:pPr>
    </w:p>
    <w:p>
      <w:pPr>
        <w:spacing w:line="242" w:lineRule="auto" w:before="76"/>
        <w:ind w:left="318" w:right="367" w:firstLine="0"/>
        <w:jc w:val="both"/>
        <w:rPr>
          <w:sz w:val="20"/>
        </w:rPr>
      </w:pPr>
      <w:r>
        <w:rPr>
          <w:b/>
          <w:sz w:val="20"/>
        </w:rPr>
        <w:t>FIGURA 12. </w:t>
      </w:r>
      <w:r>
        <w:rPr>
          <w:sz w:val="20"/>
        </w:rPr>
        <w:t>Apoptosis de neutrófilos. Neutrófilos bovinos aislados de sangre, teñidos con naranja de acridina y bromuro de etidio. A) Control positivo: PMN incubados con ciclofosfamida (400μg/100µl), B) PMN incubados con cepas compactas de </w:t>
      </w:r>
      <w:r>
        <w:rPr>
          <w:i/>
          <w:sz w:val="20"/>
        </w:rPr>
        <w:t>Staphylococcus aureus. </w:t>
      </w:r>
      <w:r>
        <w:rPr>
          <w:sz w:val="20"/>
        </w:rPr>
        <w:t>C) PMN incubados con CP8. Células verdes </w:t>
      </w:r>
      <w:r>
        <w:rPr>
          <w:spacing w:val="-3"/>
          <w:sz w:val="20"/>
        </w:rPr>
        <w:t>son </w:t>
      </w:r>
      <w:r>
        <w:rPr>
          <w:sz w:val="20"/>
        </w:rPr>
        <w:t>PMN viables, Células rojas </w:t>
      </w:r>
      <w:r>
        <w:rPr>
          <w:spacing w:val="-3"/>
          <w:sz w:val="20"/>
        </w:rPr>
        <w:t>son </w:t>
      </w:r>
      <w:r>
        <w:rPr>
          <w:sz w:val="20"/>
        </w:rPr>
        <w:t>neutrófilos  apoptóticos,</w:t>
      </w:r>
      <w:r>
        <w:rPr>
          <w:spacing w:val="-3"/>
          <w:sz w:val="20"/>
        </w:rPr>
        <w:t> </w:t>
      </w:r>
      <w:r>
        <w:rPr>
          <w:sz w:val="20"/>
        </w:rPr>
        <w:t>16x.</w:t>
      </w:r>
    </w:p>
    <w:p>
      <w:pPr>
        <w:pStyle w:val="BodyText"/>
        <w:rPr>
          <w:sz w:val="20"/>
        </w:rPr>
      </w:pPr>
    </w:p>
    <w:p>
      <w:pPr>
        <w:pStyle w:val="BodyText"/>
        <w:spacing w:before="10"/>
        <w:rPr>
          <w:sz w:val="20"/>
        </w:rPr>
      </w:pPr>
      <w:r>
        <w:rPr/>
        <w:drawing>
          <wp:anchor distT="0" distB="0" distL="0" distR="0" allowOverlap="1" layoutInCell="1" locked="0" behindDoc="0" simplePos="0" relativeHeight="2272">
            <wp:simplePos x="0" y="0"/>
            <wp:positionH relativeFrom="page">
              <wp:posOffset>3037839</wp:posOffset>
            </wp:positionH>
            <wp:positionV relativeFrom="paragraph">
              <wp:posOffset>177547</wp:posOffset>
            </wp:positionV>
            <wp:extent cx="1695225" cy="1440180"/>
            <wp:effectExtent l="0" t="0" r="0" b="0"/>
            <wp:wrapTopAndBottom/>
            <wp:docPr id="39" name="image26.jpeg" descr=""/>
            <wp:cNvGraphicFramePr>
              <a:graphicFrameLocks noChangeAspect="1"/>
            </wp:cNvGraphicFramePr>
            <a:graphic>
              <a:graphicData uri="http://schemas.openxmlformats.org/drawingml/2006/picture">
                <pic:pic>
                  <pic:nvPicPr>
                    <pic:cNvPr id="40" name="image26.jpeg"/>
                    <pic:cNvPicPr/>
                  </pic:nvPicPr>
                  <pic:blipFill>
                    <a:blip r:embed="rId39" cstate="print"/>
                    <a:stretch>
                      <a:fillRect/>
                    </a:stretch>
                  </pic:blipFill>
                  <pic:spPr>
                    <a:xfrm>
                      <a:off x="0" y="0"/>
                      <a:ext cx="1695225" cy="1440180"/>
                    </a:xfrm>
                    <a:prstGeom prst="rect">
                      <a:avLst/>
                    </a:prstGeom>
                  </pic:spPr>
                </pic:pic>
              </a:graphicData>
            </a:graphic>
          </wp:anchor>
        </w:drawing>
      </w:r>
    </w:p>
    <w:p>
      <w:pPr>
        <w:spacing w:line="240" w:lineRule="auto" w:before="39"/>
        <w:ind w:left="3286" w:right="3106" w:firstLine="0"/>
        <w:jc w:val="both"/>
        <w:rPr>
          <w:sz w:val="20"/>
        </w:rPr>
      </w:pPr>
      <w:r>
        <w:rPr>
          <w:b/>
          <w:sz w:val="20"/>
        </w:rPr>
        <w:t>FIGURA 13</w:t>
      </w:r>
      <w:r>
        <w:rPr>
          <w:sz w:val="20"/>
        </w:rPr>
        <w:t>. Formación de cuerpos apoptóticos. PMN apoptóticos aislados de sangre bovina teñidos con naranja de acridina y bromuro de etidio. 100x.</w:t>
      </w:r>
    </w:p>
    <w:p>
      <w:pPr>
        <w:spacing w:after="0" w:line="240" w:lineRule="auto"/>
        <w:jc w:val="both"/>
        <w:rPr>
          <w:sz w:val="20"/>
        </w:rPr>
        <w:sectPr>
          <w:pgSz w:w="12240" w:h="15840"/>
          <w:pgMar w:header="726" w:footer="1527" w:top="1200" w:bottom="1720" w:left="1540" w:right="1540"/>
        </w:sectPr>
      </w:pPr>
    </w:p>
    <w:p>
      <w:pPr>
        <w:pStyle w:val="BodyText"/>
        <w:rPr>
          <w:sz w:val="20"/>
        </w:rPr>
      </w:pPr>
    </w:p>
    <w:p>
      <w:pPr>
        <w:spacing w:before="233"/>
        <w:ind w:left="361" w:right="0" w:firstLine="0"/>
        <w:jc w:val="left"/>
        <w:rPr>
          <w:b/>
          <w:i/>
          <w:sz w:val="27"/>
        </w:rPr>
      </w:pPr>
      <w:r>
        <w:rPr>
          <w:b/>
          <w:w w:val="105"/>
          <w:sz w:val="27"/>
        </w:rPr>
        <w:t>Inducción de apoptosis en neutrófilos por </w:t>
      </w:r>
      <w:r>
        <w:rPr>
          <w:b/>
          <w:i/>
          <w:w w:val="105"/>
          <w:sz w:val="27"/>
        </w:rPr>
        <w:t>Staphylococcus aureus</w:t>
      </w:r>
    </w:p>
    <w:p>
      <w:pPr>
        <w:spacing w:before="184"/>
        <w:ind w:left="2386" w:right="0" w:firstLine="0"/>
        <w:jc w:val="left"/>
        <w:rPr>
          <w:b/>
          <w:sz w:val="21"/>
        </w:rPr>
      </w:pPr>
      <w:r>
        <w:rPr/>
        <w:drawing>
          <wp:anchor distT="0" distB="0" distL="0" distR="0" allowOverlap="1" layoutInCell="1" locked="0" behindDoc="1" simplePos="0" relativeHeight="268343087">
            <wp:simplePos x="0" y="0"/>
            <wp:positionH relativeFrom="page">
              <wp:posOffset>2720765</wp:posOffset>
            </wp:positionH>
            <wp:positionV relativeFrom="paragraph">
              <wp:posOffset>187265</wp:posOffset>
            </wp:positionV>
            <wp:extent cx="2799034" cy="1896490"/>
            <wp:effectExtent l="0" t="0" r="0" b="0"/>
            <wp:wrapNone/>
            <wp:docPr id="41" name="image27.png" descr=""/>
            <wp:cNvGraphicFramePr>
              <a:graphicFrameLocks noChangeAspect="1"/>
            </wp:cNvGraphicFramePr>
            <a:graphic>
              <a:graphicData uri="http://schemas.openxmlformats.org/drawingml/2006/picture">
                <pic:pic>
                  <pic:nvPicPr>
                    <pic:cNvPr id="42" name="image27.png"/>
                    <pic:cNvPicPr/>
                  </pic:nvPicPr>
                  <pic:blipFill>
                    <a:blip r:embed="rId40" cstate="print"/>
                    <a:stretch>
                      <a:fillRect/>
                    </a:stretch>
                  </pic:blipFill>
                  <pic:spPr>
                    <a:xfrm>
                      <a:off x="0" y="0"/>
                      <a:ext cx="2799034" cy="1896490"/>
                    </a:xfrm>
                    <a:prstGeom prst="rect">
                      <a:avLst/>
                    </a:prstGeom>
                  </pic:spPr>
                </pic:pic>
              </a:graphicData>
            </a:graphic>
          </wp:anchor>
        </w:drawing>
      </w:r>
      <w:r>
        <w:rPr>
          <w:b/>
          <w:w w:val="105"/>
          <w:sz w:val="21"/>
        </w:rPr>
        <w:t>100</w:t>
      </w:r>
    </w:p>
    <w:p>
      <w:pPr>
        <w:pStyle w:val="BodyText"/>
        <w:spacing w:before="1"/>
        <w:rPr>
          <w:b/>
          <w:sz w:val="22"/>
        </w:rPr>
      </w:pPr>
    </w:p>
    <w:p>
      <w:pPr>
        <w:spacing w:before="80"/>
        <w:ind w:left="2501" w:right="0" w:firstLine="0"/>
        <w:jc w:val="left"/>
        <w:rPr>
          <w:b/>
          <w:sz w:val="21"/>
        </w:rPr>
      </w:pPr>
      <w:r>
        <w:rPr>
          <w:b/>
          <w:w w:val="105"/>
          <w:sz w:val="21"/>
        </w:rPr>
        <w:t>80</w:t>
      </w:r>
    </w:p>
    <w:p>
      <w:pPr>
        <w:pStyle w:val="BodyText"/>
        <w:spacing w:before="1"/>
        <w:rPr>
          <w:b/>
          <w:sz w:val="22"/>
        </w:rPr>
      </w:pPr>
    </w:p>
    <w:p>
      <w:pPr>
        <w:spacing w:before="79"/>
        <w:ind w:left="2501" w:right="0" w:firstLine="0"/>
        <w:jc w:val="left"/>
        <w:rPr>
          <w:b/>
          <w:sz w:val="21"/>
        </w:rPr>
      </w:pPr>
      <w:r>
        <w:rPr/>
        <w:pict>
          <v:shape style="position:absolute;margin-left:178.598557pt;margin-top:2.912683pt;width:14pt;height:42.85pt;mso-position-horizontal-relative:page;mso-position-vertical-relative:paragraph;z-index:2344" type="#_x0000_t202" filled="false" stroked="false">
            <v:textbox inset="0,0,0,0" style="layout-flow:vertical;mso-layout-flow-alt:bottom-to-top">
              <w:txbxContent>
                <w:p>
                  <w:pPr>
                    <w:spacing w:line="265" w:lineRule="exact" w:before="0"/>
                    <w:ind w:left="20" w:right="-276" w:firstLine="0"/>
                    <w:jc w:val="left"/>
                    <w:rPr>
                      <w:b/>
                      <w:sz w:val="24"/>
                    </w:rPr>
                  </w:pPr>
                  <w:r>
                    <w:rPr>
                      <w:b/>
                      <w:w w:val="99"/>
                      <w:sz w:val="24"/>
                    </w:rPr>
                    <w:t>%</w:t>
                  </w:r>
                  <w:r>
                    <w:rPr>
                      <w:b/>
                      <w:spacing w:val="20"/>
                      <w:sz w:val="24"/>
                    </w:rPr>
                    <w:t> </w:t>
                  </w:r>
                  <w:r>
                    <w:rPr>
                      <w:b/>
                      <w:spacing w:val="-2"/>
                      <w:w w:val="99"/>
                      <w:sz w:val="24"/>
                    </w:rPr>
                    <w:t>P</w:t>
                  </w:r>
                  <w:r>
                    <w:rPr>
                      <w:b/>
                      <w:spacing w:val="-14"/>
                      <w:w w:val="99"/>
                      <w:sz w:val="24"/>
                    </w:rPr>
                    <w:t>M</w:t>
                  </w:r>
                  <w:r>
                    <w:rPr>
                      <w:b/>
                      <w:w w:val="99"/>
                      <w:sz w:val="24"/>
                    </w:rPr>
                    <w:t>N</w:t>
                  </w:r>
                </w:p>
              </w:txbxContent>
            </v:textbox>
            <w10:wrap type="none"/>
          </v:shape>
        </w:pict>
      </w:r>
      <w:r>
        <w:rPr>
          <w:b/>
          <w:w w:val="105"/>
          <w:sz w:val="21"/>
        </w:rPr>
        <w:t>60</w:t>
      </w:r>
    </w:p>
    <w:p>
      <w:pPr>
        <w:pStyle w:val="BodyText"/>
        <w:spacing w:before="1"/>
        <w:rPr>
          <w:b/>
          <w:sz w:val="22"/>
        </w:rPr>
      </w:pPr>
    </w:p>
    <w:p>
      <w:pPr>
        <w:spacing w:before="80"/>
        <w:ind w:left="2501" w:right="0" w:firstLine="0"/>
        <w:jc w:val="left"/>
        <w:rPr>
          <w:b/>
          <w:sz w:val="21"/>
        </w:rPr>
      </w:pPr>
      <w:r>
        <w:rPr>
          <w:b/>
          <w:w w:val="105"/>
          <w:sz w:val="21"/>
        </w:rPr>
        <w:t>40</w:t>
      </w:r>
    </w:p>
    <w:p>
      <w:pPr>
        <w:pStyle w:val="BodyText"/>
        <w:spacing w:before="1"/>
        <w:rPr>
          <w:b/>
          <w:sz w:val="22"/>
        </w:rPr>
      </w:pPr>
    </w:p>
    <w:p>
      <w:pPr>
        <w:tabs>
          <w:tab w:pos="4702" w:val="left" w:leader="none"/>
          <w:tab w:pos="5330" w:val="left" w:leader="none"/>
        </w:tabs>
        <w:spacing w:before="80"/>
        <w:ind w:left="2501" w:right="0" w:firstLine="0"/>
        <w:jc w:val="left"/>
        <w:rPr>
          <w:b/>
          <w:sz w:val="21"/>
        </w:rPr>
      </w:pPr>
      <w:r>
        <w:rPr>
          <w:b/>
          <w:spacing w:val="-4"/>
          <w:w w:val="105"/>
          <w:sz w:val="21"/>
        </w:rPr>
        <w:t>20</w:t>
      </w:r>
      <w:r>
        <w:rPr>
          <w:b/>
          <w:spacing w:val="-4"/>
          <w:sz w:val="21"/>
        </w:rPr>
        <w:tab/>
      </w:r>
      <w:r>
        <w:rPr>
          <w:b/>
          <w:spacing w:val="-4"/>
          <w:w w:val="103"/>
          <w:sz w:val="21"/>
          <w:u w:val="single" w:color="FFFFFF"/>
        </w:rPr>
        <w:t> </w:t>
      </w:r>
      <w:r>
        <w:rPr>
          <w:b/>
          <w:spacing w:val="-4"/>
          <w:sz w:val="21"/>
          <w:u w:val="single" w:color="FFFFFF"/>
        </w:rPr>
        <w:tab/>
      </w:r>
    </w:p>
    <w:p>
      <w:pPr>
        <w:pStyle w:val="BodyText"/>
        <w:spacing w:before="1"/>
        <w:rPr>
          <w:b/>
          <w:sz w:val="22"/>
        </w:rPr>
      </w:pPr>
    </w:p>
    <w:p>
      <w:pPr>
        <w:spacing w:before="79"/>
        <w:ind w:left="2615" w:right="0" w:firstLine="0"/>
        <w:jc w:val="left"/>
        <w:rPr>
          <w:b/>
          <w:sz w:val="21"/>
        </w:rPr>
      </w:pPr>
      <w:r>
        <w:rPr/>
        <w:pict>
          <v:shape style="position:absolute;margin-left:223.317474pt;margin-top:24.901352pt;width:21.6pt;height:10.9pt;mso-position-horizontal-relative:page;mso-position-vertical-relative:paragraph;z-index:2368;rotation:316" type="#_x0000_t136" fillcolor="#000000" stroked="f">
            <o:extrusion v:ext="view" autorotationcenter="t"/>
            <v:textpath style="font-family:&amp;quot;Arial&amp;quot;;font-size:10pt;v-text-kern:t;mso-text-shadow:auto;font-weight:bold" string="C(+)"/>
            <w10:wrap type="none"/>
          </v:shape>
        </w:pict>
      </w:r>
      <w:r>
        <w:rPr/>
        <w:pict>
          <v:shape style="position:absolute;margin-left:268.601257pt;margin-top:23.95458pt;width:18.9pt;height:10.9pt;mso-position-horizontal-relative:page;mso-position-vertical-relative:paragraph;z-index:2392;rotation:316" type="#_x0000_t136" fillcolor="#000000" stroked="f">
            <o:extrusion v:ext="view" autorotationcenter="t"/>
            <v:textpath style="font-family:&amp;quot;Arial&amp;quot;;font-size:10pt;v-text-kern:t;mso-text-shadow:auto;font-weight:bold" string="C(-)"/>
            <w10:wrap type="none"/>
          </v:shape>
        </w:pict>
      </w:r>
      <w:r>
        <w:rPr/>
        <w:pict>
          <v:shape style="position:absolute;margin-left:314.169861pt;margin-top:22.82773pt;width:15.95pt;height:10.9pt;mso-position-horizontal-relative:page;mso-position-vertical-relative:paragraph;z-index:2416;rotation:316" type="#_x0000_t136" fillcolor="#000000" stroked="f">
            <o:extrusion v:ext="view" autorotationcenter="t"/>
            <v:textpath style="font-family:&amp;quot;Arial&amp;quot;;font-size:10pt;v-text-kern:t;mso-text-shadow:auto;font-weight:bold" string="CC"/>
            <w10:wrap type="none"/>
          </v:shape>
        </w:pict>
      </w:r>
      <w:r>
        <w:rPr/>
        <w:pict>
          <v:shape style="position:absolute;margin-left:352.533325pt;margin-top:24.773394pt;width:21.3pt;height:10.9pt;mso-position-horizontal-relative:page;mso-position-vertical-relative:paragraph;z-index:2440;rotation:316" type="#_x0000_t136" fillcolor="#000000" stroked="f">
            <o:extrusion v:ext="view" autorotationcenter="t"/>
            <v:textpath style="font-family:&amp;quot;Arial&amp;quot;;font-size:10pt;v-text-kern:t;mso-text-shadow:auto;font-weight:bold" string="CP5"/>
            <w10:wrap type="none"/>
          </v:shape>
        </w:pict>
      </w:r>
      <w:r>
        <w:rPr/>
        <w:pict>
          <v:shape style="position:absolute;margin-left:395.496582pt;margin-top:24.77339pt;width:21.3pt;height:10.9pt;mso-position-horizontal-relative:page;mso-position-vertical-relative:paragraph;z-index:2464;rotation:316" type="#_x0000_t136" fillcolor="#000000" stroked="f">
            <o:extrusion v:ext="view" autorotationcenter="t"/>
            <v:textpath style="font-family:&amp;quot;Arial&amp;quot;;font-size:10pt;v-text-kern:t;mso-text-shadow:auto;font-weight:bold" string="CP8"/>
            <w10:wrap type="none"/>
          </v:shape>
        </w:pict>
      </w:r>
      <w:r>
        <w:rPr>
          <w:b/>
          <w:w w:val="103"/>
          <w:sz w:val="21"/>
        </w:rPr>
        <w:t>0</w:t>
      </w:r>
    </w:p>
    <w:p>
      <w:pPr>
        <w:pStyle w:val="BodyText"/>
        <w:rPr>
          <w:b/>
          <w:sz w:val="20"/>
        </w:rPr>
      </w:pPr>
    </w:p>
    <w:p>
      <w:pPr>
        <w:pStyle w:val="BodyText"/>
        <w:rPr>
          <w:b/>
          <w:sz w:val="20"/>
        </w:rPr>
      </w:pPr>
    </w:p>
    <w:p>
      <w:pPr>
        <w:pStyle w:val="BodyText"/>
        <w:spacing w:before="1"/>
        <w:rPr>
          <w:b/>
          <w:sz w:val="18"/>
        </w:rPr>
      </w:pPr>
    </w:p>
    <w:p>
      <w:pPr>
        <w:spacing w:line="240" w:lineRule="auto" w:before="76"/>
        <w:ind w:left="544" w:right="1881" w:firstLine="0"/>
        <w:jc w:val="both"/>
        <w:rPr>
          <w:sz w:val="20"/>
        </w:rPr>
      </w:pPr>
      <w:r>
        <w:rPr>
          <w:b/>
          <w:sz w:val="20"/>
        </w:rPr>
        <w:t>Gráfica 7. </w:t>
      </w:r>
      <w:r>
        <w:rPr>
          <w:sz w:val="20"/>
        </w:rPr>
        <w:t>Evaluación de la apoptosis mediante Annexin V para la detección de fosfatidilserina</w:t>
      </w:r>
      <w:r>
        <w:rPr>
          <w:b/>
          <w:sz w:val="20"/>
        </w:rPr>
        <w:t>. </w:t>
      </w:r>
      <w:r>
        <w:rPr>
          <w:sz w:val="20"/>
        </w:rPr>
        <w:t>Proporción de neutrófilos bovinos apoptóticos inducidos por </w:t>
      </w:r>
      <w:r>
        <w:rPr>
          <w:i/>
          <w:sz w:val="20"/>
        </w:rPr>
        <w:t>S. aureus </w:t>
      </w:r>
      <w:r>
        <w:rPr>
          <w:sz w:val="20"/>
        </w:rPr>
        <w:t>después de una hora de incubación. Media y desviación estándar de los grupos controles y grupos experimentales observadas por microscopia de epifluorescencia. Control positivo CC(+) PMN incubados con ciclofosfamida (400μg/100µl); control negativo CC(-) neutrófilos; CP5 cepa capsular 5; CP cepa capsular 8 y CC cepa compacta. Diferencias  estadísticamente significativas entre los tratamientos</w:t>
      </w:r>
      <w:r>
        <w:rPr>
          <w:spacing w:val="39"/>
          <w:sz w:val="20"/>
        </w:rPr>
        <w:t> </w:t>
      </w:r>
      <w:r>
        <w:rPr>
          <w:sz w:val="20"/>
        </w:rPr>
        <w:t>P&lt;0.05.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0"/>
        </w:rPr>
      </w:pPr>
      <w:r>
        <w:rPr/>
        <w:drawing>
          <wp:anchor distT="0" distB="0" distL="0" distR="0" allowOverlap="1" layoutInCell="1" locked="0" behindDoc="0" simplePos="0" relativeHeight="2296">
            <wp:simplePos x="0" y="0"/>
            <wp:positionH relativeFrom="page">
              <wp:posOffset>1203960</wp:posOffset>
            </wp:positionH>
            <wp:positionV relativeFrom="paragraph">
              <wp:posOffset>98522</wp:posOffset>
            </wp:positionV>
            <wp:extent cx="5383424" cy="1439322"/>
            <wp:effectExtent l="0" t="0" r="0" b="0"/>
            <wp:wrapTopAndBottom/>
            <wp:docPr id="43" name="image28.jpeg" descr=""/>
            <wp:cNvGraphicFramePr>
              <a:graphicFrameLocks noChangeAspect="1"/>
            </wp:cNvGraphicFramePr>
            <a:graphic>
              <a:graphicData uri="http://schemas.openxmlformats.org/drawingml/2006/picture">
                <pic:pic>
                  <pic:nvPicPr>
                    <pic:cNvPr id="44" name="image28.jpeg"/>
                    <pic:cNvPicPr/>
                  </pic:nvPicPr>
                  <pic:blipFill>
                    <a:blip r:embed="rId41" cstate="print"/>
                    <a:stretch>
                      <a:fillRect/>
                    </a:stretch>
                  </pic:blipFill>
                  <pic:spPr>
                    <a:xfrm>
                      <a:off x="0" y="0"/>
                      <a:ext cx="5383424" cy="1439322"/>
                    </a:xfrm>
                    <a:prstGeom prst="rect">
                      <a:avLst/>
                    </a:prstGeom>
                  </pic:spPr>
                </pic:pic>
              </a:graphicData>
            </a:graphic>
          </wp:anchor>
        </w:drawing>
      </w:r>
    </w:p>
    <w:p>
      <w:pPr>
        <w:pStyle w:val="BodyText"/>
        <w:spacing w:before="9"/>
        <w:rPr>
          <w:sz w:val="9"/>
        </w:rPr>
      </w:pPr>
    </w:p>
    <w:p>
      <w:pPr>
        <w:spacing w:line="242" w:lineRule="auto" w:before="76"/>
        <w:ind w:left="371" w:right="1879" w:firstLine="0"/>
        <w:jc w:val="both"/>
        <w:rPr>
          <w:sz w:val="20"/>
        </w:rPr>
      </w:pPr>
      <w:r>
        <w:rPr>
          <w:b/>
          <w:sz w:val="20"/>
        </w:rPr>
        <w:t>Figura 14. </w:t>
      </w:r>
      <w:r>
        <w:rPr>
          <w:sz w:val="20"/>
        </w:rPr>
        <w:t>Apoptosis de neutrófilos inducida por </w:t>
      </w:r>
      <w:r>
        <w:rPr>
          <w:i/>
          <w:sz w:val="20"/>
        </w:rPr>
        <w:t>S. aureus </w:t>
      </w:r>
      <w:r>
        <w:rPr>
          <w:sz w:val="20"/>
        </w:rPr>
        <w:t>capsular y teñida con Annexin-V para la detección de fosfatifdilserina. Células viable A; células apoptóticas con circunferencia verde por la unión de Annexina-V a fosfatidilserina B Y C; célula con necrosis temprana D.</w:t>
      </w:r>
    </w:p>
    <w:p>
      <w:pPr>
        <w:spacing w:after="0" w:line="242" w:lineRule="auto"/>
        <w:jc w:val="both"/>
        <w:rPr>
          <w:sz w:val="20"/>
        </w:rPr>
        <w:sectPr>
          <w:pgSz w:w="12240" w:h="15840"/>
          <w:pgMar w:header="726" w:footer="1527" w:top="1200" w:bottom="1720" w:left="1540" w:right="0"/>
        </w:sectPr>
      </w:pPr>
    </w:p>
    <w:p>
      <w:pPr>
        <w:pStyle w:val="BodyText"/>
        <w:spacing w:before="1"/>
        <w:rPr>
          <w:rFonts w:ascii="Times New Roman"/>
          <w:sz w:val="22"/>
        </w:rPr>
      </w:pPr>
    </w:p>
    <w:p>
      <w:pPr>
        <w:pStyle w:val="BodyText"/>
        <w:ind w:left="159"/>
        <w:rPr>
          <w:rFonts w:ascii="Times New Roman"/>
          <w:sz w:val="20"/>
        </w:rPr>
      </w:pPr>
      <w:r>
        <w:rPr>
          <w:rFonts w:ascii="Times New Roman"/>
          <w:sz w:val="20"/>
        </w:rPr>
        <w:drawing>
          <wp:inline distT="0" distB="0" distL="0" distR="0">
            <wp:extent cx="5758401" cy="7571232"/>
            <wp:effectExtent l="0" t="0" r="0" b="0"/>
            <wp:docPr id="45" name="image29.jpeg" descr=""/>
            <wp:cNvGraphicFramePr>
              <a:graphicFrameLocks noChangeAspect="1"/>
            </wp:cNvGraphicFramePr>
            <a:graphic>
              <a:graphicData uri="http://schemas.openxmlformats.org/drawingml/2006/picture">
                <pic:pic>
                  <pic:nvPicPr>
                    <pic:cNvPr id="46" name="image29.jpeg"/>
                    <pic:cNvPicPr/>
                  </pic:nvPicPr>
                  <pic:blipFill>
                    <a:blip r:embed="rId42" cstate="print"/>
                    <a:stretch>
                      <a:fillRect/>
                    </a:stretch>
                  </pic:blipFill>
                  <pic:spPr>
                    <a:xfrm>
                      <a:off x="0" y="0"/>
                      <a:ext cx="5758401" cy="7571232"/>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6" w:footer="1527" w:top="1200" w:bottom="1720" w:left="1540" w:right="1360"/>
        </w:sectPr>
      </w:pPr>
    </w:p>
    <w:p>
      <w:pPr>
        <w:pStyle w:val="BodyText"/>
        <w:spacing w:before="3"/>
        <w:rPr>
          <w:rFonts w:ascii="Times New Roman"/>
          <w:sz w:val="15"/>
        </w:rPr>
      </w:pPr>
    </w:p>
    <w:p>
      <w:pPr>
        <w:spacing w:line="480" w:lineRule="auto" w:before="69"/>
        <w:ind w:left="159" w:right="689" w:firstLine="0"/>
        <w:jc w:val="both"/>
        <w:rPr>
          <w:b/>
          <w:sz w:val="24"/>
        </w:rPr>
      </w:pPr>
      <w:r>
        <w:rPr>
          <w:b/>
          <w:sz w:val="24"/>
        </w:rPr>
        <w:t>Actividad diferencial de fagocitosis e inducción de apoptosis </w:t>
      </w:r>
      <w:r>
        <w:rPr>
          <w:b/>
          <w:i/>
          <w:sz w:val="24"/>
        </w:rPr>
        <w:t>in vitro </w:t>
      </w:r>
      <w:r>
        <w:rPr>
          <w:b/>
          <w:sz w:val="24"/>
        </w:rPr>
        <w:t>por serotipos capsulares 5 y 8 de </w:t>
      </w:r>
      <w:r>
        <w:rPr>
          <w:b/>
          <w:i/>
          <w:sz w:val="24"/>
        </w:rPr>
        <w:t>Staphylococcus aureus </w:t>
      </w:r>
      <w:r>
        <w:rPr>
          <w:b/>
          <w:sz w:val="24"/>
        </w:rPr>
        <w:t>en neutrófilos de bovinos.</w:t>
      </w:r>
    </w:p>
    <w:p>
      <w:pPr>
        <w:pStyle w:val="BodyText"/>
        <w:spacing w:line="289" w:lineRule="exact"/>
        <w:ind w:left="159"/>
      </w:pPr>
      <w:r>
        <w:rPr/>
        <w:t>Nancy Montoya García</w:t>
      </w:r>
      <w:r>
        <w:rPr>
          <w:position w:val="11"/>
          <w:sz w:val="16"/>
        </w:rPr>
        <w:t>1</w:t>
      </w:r>
      <w:r>
        <w:rPr/>
        <w:t>, Claudia Giovanna Peñuela Rivas</w:t>
      </w:r>
      <w:r>
        <w:rPr>
          <w:position w:val="11"/>
          <w:sz w:val="16"/>
        </w:rPr>
        <w:t>2</w:t>
      </w:r>
      <w:r>
        <w:rPr/>
        <w:t>, Jorge Acosta</w:t>
      </w:r>
    </w:p>
    <w:p>
      <w:pPr>
        <w:pStyle w:val="BodyText"/>
        <w:spacing w:before="241"/>
        <w:ind w:left="159" w:right="3245"/>
        <w:rPr>
          <w:sz w:val="16"/>
        </w:rPr>
      </w:pPr>
      <w:r>
        <w:rPr/>
        <w:t>Dibarrat</w:t>
      </w:r>
      <w:r>
        <w:rPr>
          <w:position w:val="11"/>
          <w:sz w:val="16"/>
        </w:rPr>
        <w:t>1</w:t>
      </w:r>
      <w:r>
        <w:rPr/>
        <w:t>, Valente Velázquez Ordoñez</w:t>
      </w:r>
      <w:r>
        <w:rPr>
          <w:position w:val="11"/>
          <w:sz w:val="16"/>
        </w:rPr>
        <w:t>1</w:t>
      </w:r>
    </w:p>
    <w:p>
      <w:pPr>
        <w:pStyle w:val="BodyText"/>
        <w:spacing w:line="480" w:lineRule="auto" w:before="241"/>
        <w:ind w:left="159" w:right="731"/>
      </w:pPr>
      <w:r>
        <w:rPr>
          <w:position w:val="11"/>
          <w:sz w:val="16"/>
        </w:rPr>
        <w:t>1 </w:t>
      </w:r>
      <w:r>
        <w:rPr/>
        <w:t>Centro de investigación y Estudios Avanzados en Salud Animal, autopista Toluca-Atlacomulco Km 15.5. C.P. 50200. Facultad de Medicina Veterinaria y Zootecnia de la Universidad Autónoma del Estado de México.</w:t>
      </w:r>
    </w:p>
    <w:p>
      <w:pPr>
        <w:pStyle w:val="BodyText"/>
        <w:spacing w:line="284" w:lineRule="exact"/>
        <w:ind w:left="159"/>
      </w:pPr>
      <w:r>
        <w:rPr>
          <w:position w:val="11"/>
          <w:sz w:val="16"/>
        </w:rPr>
        <w:t>2 </w:t>
      </w:r>
      <w:r>
        <w:rPr/>
        <w:t>Facultad de Medicina Veterinaria y Zootecnia de la Universidad Autónoma del</w:t>
      </w:r>
    </w:p>
    <w:p>
      <w:pPr>
        <w:pStyle w:val="BodyText"/>
      </w:pPr>
    </w:p>
    <w:p>
      <w:pPr>
        <w:pStyle w:val="BodyText"/>
        <w:ind w:left="159" w:right="3245"/>
      </w:pPr>
      <w:r>
        <w:rPr/>
        <w:t>Estado de México.</w:t>
      </w:r>
    </w:p>
    <w:p>
      <w:pPr>
        <w:pStyle w:val="BodyText"/>
      </w:pPr>
    </w:p>
    <w:p>
      <w:pPr>
        <w:pStyle w:val="BodyText"/>
        <w:spacing w:line="480" w:lineRule="auto"/>
        <w:ind w:left="159" w:right="2525"/>
      </w:pPr>
      <w:r>
        <w:rPr/>
        <w:t>AUTOR CORRESPONDIENTE. Valente Velázquez Ordoñez </w:t>
      </w:r>
      <w:hyperlink r:id="rId43">
        <w:r>
          <w:rPr>
            <w:u w:val="single"/>
          </w:rPr>
          <w:t>vvo@uaemex.mx</w:t>
        </w:r>
      </w:hyperlink>
    </w:p>
    <w:p>
      <w:pPr>
        <w:spacing w:after="0" w:line="480" w:lineRule="auto"/>
        <w:sectPr>
          <w:pgSz w:w="12240" w:h="15840"/>
          <w:pgMar w:header="726" w:footer="1527" w:top="1200" w:bottom="1720" w:left="1540" w:right="1540"/>
        </w:sectPr>
      </w:pPr>
    </w:p>
    <w:p>
      <w:pPr>
        <w:pStyle w:val="BodyText"/>
        <w:spacing w:before="3"/>
        <w:rPr>
          <w:sz w:val="15"/>
        </w:rPr>
      </w:pPr>
    </w:p>
    <w:p>
      <w:pPr>
        <w:pStyle w:val="Heading3"/>
        <w:spacing w:before="69"/>
      </w:pPr>
      <w:r>
        <w:rPr/>
        <w:t>RESUMEN</w:t>
      </w:r>
    </w:p>
    <w:p>
      <w:pPr>
        <w:pStyle w:val="BodyText"/>
        <w:spacing w:before="4"/>
        <w:rPr>
          <w:b/>
        </w:rPr>
      </w:pPr>
    </w:p>
    <w:p>
      <w:pPr>
        <w:pStyle w:val="BodyText"/>
        <w:spacing w:line="480" w:lineRule="auto" w:before="1"/>
        <w:ind w:left="159" w:right="168"/>
      </w:pPr>
      <w:r>
        <w:rPr/>
        <w:t>Se evaluó la actividad de fagocitosis y apoptosis </w:t>
      </w:r>
      <w:r>
        <w:rPr>
          <w:i/>
        </w:rPr>
        <w:t>in vitro </w:t>
      </w:r>
      <w:r>
        <w:rPr/>
        <w:t>en leucocitos polimorfonucleares (PMN) de bovinos lecheros ante la presencia de </w:t>
      </w:r>
      <w:r>
        <w:rPr>
          <w:i/>
        </w:rPr>
        <w:t>Staphylococcus aureus </w:t>
      </w:r>
      <w:r>
        <w:rPr/>
        <w:t>tipos capsulares 5 (CP5) y 8 (CP8). Se obtuvieron muestras de sangre de tres vacas clínicamente sanas para aislar los neutrófilos</w:t>
      </w:r>
    </w:p>
    <w:p>
      <w:pPr>
        <w:pStyle w:val="BodyText"/>
        <w:tabs>
          <w:tab w:pos="2522" w:val="left" w:leader="none"/>
        </w:tabs>
        <w:spacing w:line="472" w:lineRule="auto" w:before="8"/>
        <w:ind w:left="159" w:right="267"/>
      </w:pPr>
      <w:r>
        <w:rPr/>
        <w:t>mediante el método de lisis hipotónica de eritrocitos (LHE). En el ensayo de fagocitosis </w:t>
      </w:r>
      <w:r>
        <w:rPr>
          <w:i/>
          <w:spacing w:val="-3"/>
        </w:rPr>
        <w:t>in </w:t>
      </w:r>
      <w:r>
        <w:rPr>
          <w:i/>
        </w:rPr>
        <w:t>vitro </w:t>
      </w:r>
      <w:r>
        <w:rPr/>
        <w:t>se emplearon </w:t>
      </w:r>
      <w:r>
        <w:rPr>
          <w:spacing w:val="-2"/>
        </w:rPr>
        <w:t>PMN </w:t>
      </w:r>
      <w:r>
        <w:rPr/>
        <w:t>2.5 x 10</w:t>
      </w:r>
      <w:r>
        <w:rPr>
          <w:position w:val="11"/>
          <w:sz w:val="16"/>
        </w:rPr>
        <w:t>6 </w:t>
      </w:r>
      <w:r>
        <w:rPr/>
        <w:t>células/ml y como sustrato de fagocitosis se utilizó </w:t>
      </w:r>
      <w:r>
        <w:rPr>
          <w:i/>
        </w:rPr>
        <w:t>S. aureus </w:t>
      </w:r>
      <w:r>
        <w:rPr/>
        <w:t>2 x 10</w:t>
      </w:r>
      <w:r>
        <w:rPr>
          <w:position w:val="11"/>
          <w:sz w:val="16"/>
        </w:rPr>
        <w:t>8 </w:t>
      </w:r>
      <w:r>
        <w:rPr/>
        <w:t>CFU/ml inactivadas por calor conjugados con fluoresceína. La proporción de PMN-bacterias fue de 1:1 en los ensayos de los</w:t>
      </w:r>
      <w:r>
        <w:rPr>
          <w:spacing w:val="-1"/>
        </w:rPr>
        <w:t> </w:t>
      </w:r>
      <w:r>
        <w:rPr/>
        <w:t>tratamientos.</w:t>
      </w:r>
      <w:r>
        <w:rPr>
          <w:spacing w:val="62"/>
        </w:rPr>
        <w:t> </w:t>
      </w:r>
      <w:r>
        <w:rPr/>
        <w:t>La</w:t>
        <w:tab/>
        <w:t>actividad de fagocitosis de </w:t>
      </w:r>
      <w:r>
        <w:rPr>
          <w:spacing w:val="-2"/>
        </w:rPr>
        <w:t>PMN </w:t>
      </w:r>
      <w:r>
        <w:rPr/>
        <w:t>se determinó a partir</w:t>
      </w:r>
      <w:r>
        <w:rPr>
          <w:spacing w:val="-14"/>
        </w:rPr>
        <w:t> </w:t>
      </w:r>
      <w:r>
        <w:rPr/>
        <w:t>de</w:t>
      </w:r>
      <w:r>
        <w:rPr>
          <w:spacing w:val="-5"/>
        </w:rPr>
        <w:t> </w:t>
      </w:r>
      <w:r>
        <w:rPr/>
        <w:t>la</w:t>
      </w:r>
      <w:r>
        <w:rPr>
          <w:w w:val="99"/>
        </w:rPr>
        <w:t> </w:t>
      </w:r>
      <w:r>
        <w:rPr/>
        <w:t>capacidad de fagocitosis (CFN) e índice de fagocitosis (IFN) en los ensayos </w:t>
      </w:r>
      <w:r>
        <w:rPr>
          <w:i/>
          <w:spacing w:val="-3"/>
        </w:rPr>
        <w:t>in </w:t>
      </w:r>
      <w:r>
        <w:rPr>
          <w:i/>
        </w:rPr>
        <w:t>vitro</w:t>
      </w:r>
      <w:r>
        <w:rPr/>
        <w:t>. La apoptosis </w:t>
      </w:r>
      <w:r>
        <w:rPr>
          <w:spacing w:val="-3"/>
        </w:rPr>
        <w:t>se </w:t>
      </w:r>
      <w:r>
        <w:rPr/>
        <w:t>determinó por microscopia de campo claro y epifluorescencia. Se observaron diferencias entre los tratamientos para el CFN CP5 74.98±2.44 y CP8 82.22±1.5; IFN  CP5 4.88±0.13 y CP8 5.22±0.10</w:t>
      </w:r>
      <w:r>
        <w:rPr>
          <w:spacing w:val="-24"/>
        </w:rPr>
        <w:t> </w:t>
      </w:r>
      <w:r>
        <w:rPr/>
        <w:t>(p&lt;0.05).</w:t>
      </w:r>
    </w:p>
    <w:p>
      <w:pPr>
        <w:pStyle w:val="BodyText"/>
        <w:spacing w:line="480" w:lineRule="auto" w:before="16"/>
        <w:ind w:left="159" w:right="188"/>
      </w:pPr>
      <w:r>
        <w:rPr/>
        <w:t>La actividad de fagocitosis mostrada en la técnica de epifluorescencia fue CFN CP5 62.52±3.26 y CP8 78.60±4.07; IFN CP5 4.67±0.29 y CP8 5.53±0.40 (p&lt;0.05).</w:t>
      </w:r>
    </w:p>
    <w:p>
      <w:pPr>
        <w:pStyle w:val="BodyText"/>
        <w:spacing w:line="480" w:lineRule="auto" w:before="8"/>
        <w:ind w:left="159" w:right="309"/>
      </w:pPr>
      <w:r>
        <w:rPr/>
        <w:t>El porcentaje de inducción de apoptosis para la técnica de microscopia de campo claro y epifluorescencia fueron: CP5 60.07±4.21, CP8 45.57±4.34 y CP5 52.78±3.29, CP8 41.33±2.32. respectivamente (p&lt;0.05). Se observaron diferencias en la actividad de fagocitosis </w:t>
      </w:r>
      <w:r>
        <w:rPr>
          <w:i/>
        </w:rPr>
        <w:t>in vitro </w:t>
      </w:r>
      <w:r>
        <w:rPr/>
        <w:t>de los PMN de bovinos lecheros entre los tipos capsulares 5 y 8 de </w:t>
      </w:r>
      <w:r>
        <w:rPr>
          <w:i/>
        </w:rPr>
        <w:t>S. aureus </w:t>
      </w:r>
      <w:r>
        <w:rPr/>
        <w:t>y su capacidad para inducir apoptosis en los neutrófilos.</w:t>
      </w:r>
    </w:p>
    <w:p>
      <w:pPr>
        <w:spacing w:after="0" w:line="480" w:lineRule="auto"/>
        <w:sectPr>
          <w:pgSz w:w="12240" w:h="15840"/>
          <w:pgMar w:header="726" w:footer="1527" w:top="1200" w:bottom="1720" w:left="1540" w:right="1540"/>
        </w:sectPr>
      </w:pPr>
    </w:p>
    <w:p>
      <w:pPr>
        <w:pStyle w:val="BodyText"/>
        <w:spacing w:before="8"/>
        <w:rPr>
          <w:sz w:val="15"/>
        </w:rPr>
      </w:pPr>
    </w:p>
    <w:p>
      <w:pPr>
        <w:spacing w:line="480" w:lineRule="auto" w:before="69"/>
        <w:ind w:left="159" w:right="1056" w:firstLine="0"/>
        <w:jc w:val="left"/>
        <w:rPr>
          <w:sz w:val="24"/>
        </w:rPr>
      </w:pPr>
      <w:r>
        <w:rPr>
          <w:sz w:val="24"/>
        </w:rPr>
        <w:t>Palabras clave: fagocitosis, apoptosis, neutrófilos, </w:t>
      </w:r>
      <w:r>
        <w:rPr>
          <w:i/>
          <w:sz w:val="24"/>
        </w:rPr>
        <w:t>Staphylococcus aureus</w:t>
      </w:r>
      <w:r>
        <w:rPr>
          <w:sz w:val="24"/>
        </w:rPr>
        <w:t>, serotipos capsulares.</w:t>
      </w:r>
    </w:p>
    <w:p>
      <w:pPr>
        <w:spacing w:line="482" w:lineRule="auto" w:before="3"/>
        <w:ind w:left="159" w:right="352" w:firstLine="0"/>
        <w:jc w:val="left"/>
        <w:rPr>
          <w:sz w:val="24"/>
        </w:rPr>
      </w:pPr>
      <w:r>
        <w:rPr>
          <w:b/>
          <w:color w:val="212121"/>
          <w:sz w:val="24"/>
        </w:rPr>
        <w:t>Phagocytosis differential activity and induction of apoptosis </w:t>
      </w:r>
      <w:r>
        <w:rPr>
          <w:b/>
          <w:i/>
          <w:color w:val="212121"/>
          <w:sz w:val="24"/>
        </w:rPr>
        <w:t>in vitro </w:t>
      </w:r>
      <w:r>
        <w:rPr>
          <w:b/>
          <w:color w:val="212121"/>
          <w:sz w:val="24"/>
        </w:rPr>
        <w:t>by capsular serotypes 5 and 8 of </w:t>
      </w:r>
      <w:r>
        <w:rPr>
          <w:b/>
          <w:i/>
          <w:color w:val="212121"/>
          <w:sz w:val="24"/>
        </w:rPr>
        <w:t>Staphylococcus aureus </w:t>
      </w:r>
      <w:r>
        <w:rPr>
          <w:b/>
          <w:color w:val="212121"/>
          <w:sz w:val="24"/>
        </w:rPr>
        <w:t>in bovine neutrophils </w:t>
      </w:r>
      <w:r>
        <w:rPr>
          <w:color w:val="212121"/>
          <w:sz w:val="24"/>
        </w:rPr>
        <w:t>ABSTRACT</w:t>
      </w:r>
    </w:p>
    <w:p>
      <w:pPr>
        <w:pStyle w:val="BodyText"/>
        <w:spacing w:line="480" w:lineRule="auto" w:before="5"/>
        <w:ind w:left="159" w:right="256"/>
      </w:pPr>
      <w:r>
        <w:rPr>
          <w:color w:val="212121"/>
        </w:rPr>
        <w:t>The phagocytosis and apoptosis activity </w:t>
      </w:r>
      <w:r>
        <w:rPr>
          <w:i/>
          <w:color w:val="212121"/>
        </w:rPr>
        <w:t>in vitro </w:t>
      </w:r>
      <w:r>
        <w:rPr>
          <w:color w:val="212121"/>
        </w:rPr>
        <w:t>was evaluated in polymorphonuclear leukocytes (PMN) of dairy cattle in the presence of </w:t>
      </w:r>
      <w:r>
        <w:rPr>
          <w:i/>
          <w:color w:val="212121"/>
        </w:rPr>
        <w:t>Staphylococcus aureus </w:t>
      </w:r>
      <w:r>
        <w:rPr>
          <w:color w:val="212121"/>
        </w:rPr>
        <w:t>capsular types 5 (CP5) and 8 (CP8). Blood samples were obtained from three clinically healthy cows, the neutrophils were isolated using the hypotonic erythrocyte lysis (LHE) method. The </w:t>
      </w:r>
      <w:r>
        <w:rPr>
          <w:i/>
          <w:color w:val="212121"/>
        </w:rPr>
        <w:t>in vitro </w:t>
      </w:r>
      <w:r>
        <w:rPr>
          <w:color w:val="212121"/>
        </w:rPr>
        <w:t>phagocytosis trials was conducted using PMN 2.5 x 106 cells / ml and phagocytosis as a substrate </w:t>
      </w:r>
      <w:r>
        <w:rPr>
          <w:i/>
          <w:color w:val="212121"/>
        </w:rPr>
        <w:t>S. </w:t>
      </w:r>
      <w:r>
        <w:rPr>
          <w:i/>
          <w:color w:val="212121"/>
        </w:rPr>
        <w:t>aureus </w:t>
      </w:r>
      <w:r>
        <w:rPr>
          <w:color w:val="212121"/>
        </w:rPr>
        <w:t>2 x 108 CFU / ml heat inactivated conjugated with fluorescein isothiocynate. The PMN ratio was 1:10 bacteria in trials of treatment. The phagocytic activity of PMN was determined from the capacity of phagocytosis (CFN) and the phagocytic index (IFN) during the </w:t>
      </w:r>
      <w:r>
        <w:rPr>
          <w:i/>
          <w:color w:val="212121"/>
        </w:rPr>
        <w:t>in vitro </w:t>
      </w:r>
      <w:r>
        <w:rPr>
          <w:color w:val="212121"/>
        </w:rPr>
        <w:t>trials. Apoptosis was determined by light microscopy and epifluorescence. Differences were observed between treatments for the CFN CP5 74.98±2.44 and CP8 82.22±1.50, IFN CP5 4.88±0.13 and CP8 5.22±0.10 (p&lt;0.05). The phagocytic activity shown in the epifluorescence technique was CFN CP5 62.52±3.26 and CP8 78.60±4.07; IFN CP5 4.67±0.29 and CP8 5.53±0.40 (p&lt;0.05). The percentage of apoptosis induction evaluated by light microscopy and epifluorescence was the following: CP5 60.07±4.21, CP8 45.57±4.34 and CP5 52.78±3.29, CP8 41.33±2.32</w:t>
      </w:r>
    </w:p>
    <w:p>
      <w:pPr>
        <w:pStyle w:val="BodyText"/>
        <w:spacing w:before="8"/>
        <w:ind w:left="159"/>
      </w:pPr>
      <w:r>
        <w:rPr>
          <w:color w:val="212121"/>
        </w:rPr>
        <w:t>respectively (p&lt;0.05). There were differences between capsular types 5 and 8 of</w:t>
      </w:r>
    </w:p>
    <w:p>
      <w:pPr>
        <w:spacing w:after="0"/>
        <w:sectPr>
          <w:pgSz w:w="12240" w:h="15840"/>
          <w:pgMar w:header="726" w:footer="1527" w:top="1200" w:bottom="1720" w:left="1540" w:right="1540"/>
        </w:sectPr>
      </w:pPr>
    </w:p>
    <w:p>
      <w:pPr>
        <w:pStyle w:val="BodyText"/>
        <w:spacing w:before="8"/>
        <w:rPr>
          <w:sz w:val="15"/>
        </w:rPr>
      </w:pPr>
    </w:p>
    <w:p>
      <w:pPr>
        <w:pStyle w:val="BodyText"/>
        <w:spacing w:line="480" w:lineRule="auto" w:before="69"/>
        <w:ind w:left="159" w:right="669"/>
      </w:pPr>
      <w:r>
        <w:rPr>
          <w:i/>
          <w:color w:val="212121"/>
        </w:rPr>
        <w:t>S. aureus </w:t>
      </w:r>
      <w:r>
        <w:rPr>
          <w:color w:val="212121"/>
        </w:rPr>
        <w:t>in the phagocytic activity and its ability to induce apoptosis </w:t>
      </w:r>
      <w:r>
        <w:rPr>
          <w:i/>
          <w:color w:val="212121"/>
        </w:rPr>
        <w:t>in vitro </w:t>
      </w:r>
      <w:r>
        <w:rPr>
          <w:color w:val="212121"/>
        </w:rPr>
        <w:t>in neutrophils of the dairy cows.</w:t>
      </w:r>
    </w:p>
    <w:p>
      <w:pPr>
        <w:spacing w:before="4"/>
        <w:ind w:left="159" w:right="0" w:firstLine="0"/>
        <w:jc w:val="left"/>
        <w:rPr>
          <w:i/>
          <w:sz w:val="27"/>
        </w:rPr>
      </w:pPr>
      <w:r>
        <w:rPr>
          <w:color w:val="212121"/>
          <w:sz w:val="27"/>
        </w:rPr>
        <w:t>Keywords: phagocytosis, apoptosis, neutrophils, </w:t>
      </w:r>
      <w:r>
        <w:rPr>
          <w:i/>
          <w:color w:val="212121"/>
          <w:sz w:val="27"/>
        </w:rPr>
        <w:t>Staphylococcus aureus</w:t>
      </w:r>
    </w:p>
    <w:p>
      <w:pPr>
        <w:pStyle w:val="BodyText"/>
        <w:spacing w:before="9"/>
        <w:rPr>
          <w:i/>
          <w:sz w:val="26"/>
        </w:rPr>
      </w:pPr>
    </w:p>
    <w:p>
      <w:pPr>
        <w:spacing w:before="0"/>
        <w:ind w:left="159" w:right="3245" w:firstLine="0"/>
        <w:jc w:val="left"/>
        <w:rPr>
          <w:sz w:val="27"/>
        </w:rPr>
      </w:pPr>
      <w:r>
        <w:rPr>
          <w:color w:val="212121"/>
          <w:sz w:val="27"/>
        </w:rPr>
        <w:t>capsular serotypes.</w:t>
      </w:r>
    </w:p>
    <w:p>
      <w:pPr>
        <w:pStyle w:val="BodyText"/>
        <w:spacing w:before="4"/>
        <w:rPr>
          <w:sz w:val="26"/>
        </w:rPr>
      </w:pPr>
    </w:p>
    <w:p>
      <w:pPr>
        <w:pStyle w:val="Heading3"/>
      </w:pPr>
      <w:r>
        <w:rPr/>
        <w:t>INTRODUCCIÓN</w:t>
      </w:r>
    </w:p>
    <w:p>
      <w:pPr>
        <w:pStyle w:val="BodyText"/>
        <w:spacing w:before="3"/>
        <w:rPr>
          <w:b/>
          <w:sz w:val="30"/>
        </w:rPr>
      </w:pPr>
    </w:p>
    <w:p>
      <w:pPr>
        <w:pStyle w:val="BodyText"/>
        <w:spacing w:line="465" w:lineRule="auto"/>
        <w:ind w:left="159" w:right="222"/>
        <w:rPr>
          <w:sz w:val="16"/>
        </w:rPr>
      </w:pPr>
      <w:r>
        <w:rPr/>
        <w:t>El </w:t>
      </w:r>
      <w:r>
        <w:rPr>
          <w:i/>
        </w:rPr>
        <w:t>Staphylococcus aureus </w:t>
      </w:r>
      <w:r>
        <w:rPr/>
        <w:t>es el principal patógeno causante de mastitis en las vacas lecheras </w:t>
      </w:r>
      <w:r>
        <w:rPr>
          <w:position w:val="11"/>
          <w:sz w:val="16"/>
        </w:rPr>
        <w:t>(1)</w:t>
      </w:r>
      <w:r>
        <w:rPr/>
        <w:t>. La persistencia de la infección por </w:t>
      </w:r>
      <w:r>
        <w:rPr>
          <w:i/>
        </w:rPr>
        <w:t>S.aureus </w:t>
      </w:r>
      <w:r>
        <w:rPr/>
        <w:t>en la glándula mamaria (GM) se asocia a los factores de virulencia que contribuyen a acentuar la inflamación y la respuesta leucocitaria local </w:t>
      </w:r>
      <w:r>
        <w:rPr>
          <w:position w:val="11"/>
          <w:sz w:val="16"/>
        </w:rPr>
        <w:t>(2)</w:t>
      </w:r>
      <w:r>
        <w:rPr/>
        <w:t>. Un gran número de cepas de </w:t>
      </w:r>
      <w:r>
        <w:rPr>
          <w:i/>
        </w:rPr>
        <w:t>S. </w:t>
      </w:r>
      <w:r>
        <w:rPr>
          <w:i/>
        </w:rPr>
        <w:t>aureu</w:t>
      </w:r>
      <w:r>
        <w:rPr/>
        <w:t>s aisladas del ganado lechero con mastitis expresan el exopolisacárido capsular, en las que predominan los serotipos capsulares 5 y 8 considerados los más patógenos.</w:t>
      </w:r>
      <w:r>
        <w:rPr>
          <w:position w:val="11"/>
          <w:sz w:val="16"/>
        </w:rPr>
        <w:t>(3) </w:t>
      </w:r>
      <w:r>
        <w:rPr/>
        <w:t>El exopolisacárido capsular del </w:t>
      </w:r>
      <w:r>
        <w:rPr>
          <w:i/>
        </w:rPr>
        <w:t>S. aureus </w:t>
      </w:r>
      <w:r>
        <w:rPr/>
        <w:t>al recubrir la pared bacterina, contribuye a evadir la respuesta inmune innata al afectar la opsonización a través del complemento y la fagocitosis, afectando la resistencia de la glándula mamaria a la infección.</w:t>
      </w:r>
      <w:r>
        <w:rPr>
          <w:position w:val="11"/>
          <w:sz w:val="16"/>
        </w:rPr>
        <w:t>(4)</w:t>
      </w:r>
    </w:p>
    <w:p>
      <w:pPr>
        <w:pStyle w:val="BodyText"/>
        <w:spacing w:line="468" w:lineRule="auto"/>
        <w:ind w:left="159" w:right="350"/>
      </w:pPr>
      <w:r>
        <w:rPr/>
        <w:t>En la glándula mamaria los leucocitos polimorfonucleares (PMN), constituyen la primera línea de defensa celular frente a infección en la GM a través de la fagocitosis</w:t>
      </w:r>
      <w:r>
        <w:rPr>
          <w:position w:val="11"/>
          <w:sz w:val="16"/>
        </w:rPr>
        <w:t>(5)</w:t>
      </w:r>
      <w:r>
        <w:rPr/>
        <w:t>. La migración endotelial de los PMN, ocurre en respuesta a los estímulos quimiotácticos durante desarrollo de la a infección bacteriana tejido mamario, este mecanismo de defensa es crucial en la resistencia y resolución de la infección glandular</w:t>
      </w:r>
      <w:r>
        <w:rPr>
          <w:position w:val="11"/>
          <w:sz w:val="16"/>
        </w:rPr>
        <w:t>(6)</w:t>
      </w:r>
      <w:r>
        <w:rPr/>
        <w:t>.</w:t>
      </w:r>
    </w:p>
    <w:p>
      <w:pPr>
        <w:spacing w:after="0" w:line="468" w:lineRule="auto"/>
        <w:sectPr>
          <w:pgSz w:w="12240" w:h="15840"/>
          <w:pgMar w:header="726" w:footer="1527" w:top="1200" w:bottom="1720" w:left="1540" w:right="1540"/>
        </w:sectPr>
      </w:pPr>
    </w:p>
    <w:p>
      <w:pPr>
        <w:pStyle w:val="BodyText"/>
        <w:spacing w:before="8"/>
        <w:rPr>
          <w:sz w:val="15"/>
        </w:rPr>
      </w:pPr>
    </w:p>
    <w:p>
      <w:pPr>
        <w:pStyle w:val="BodyText"/>
        <w:spacing w:line="465" w:lineRule="auto" w:before="69"/>
        <w:ind w:left="159" w:right="188"/>
      </w:pPr>
      <w:r>
        <w:rPr/>
        <w:t>Durante la migración vascular y transepitelial en la glándula ocurre la degranulación de los PMN</w:t>
      </w:r>
      <w:r>
        <w:rPr>
          <w:position w:val="11"/>
          <w:sz w:val="16"/>
        </w:rPr>
        <w:t>(7, 8)</w:t>
      </w:r>
      <w:r>
        <w:rPr/>
        <w:t>. En tanto que la diapédesis de los PMN disminuyen las reservas de glucógeno, resultando en la disminución de la fagocitosis y la explosión oxidativa. </w:t>
      </w:r>
      <w:r>
        <w:rPr>
          <w:position w:val="11"/>
          <w:sz w:val="16"/>
        </w:rPr>
        <w:t>(9) </w:t>
      </w:r>
      <w:r>
        <w:rPr/>
        <w:t>Adicionalmente la migración transepitelial de los PMN acentúa de manera precoz la apoptosis de las células </w:t>
      </w:r>
      <w:r>
        <w:rPr>
          <w:position w:val="11"/>
          <w:sz w:val="16"/>
        </w:rPr>
        <w:t>(10, 11)</w:t>
      </w:r>
      <w:r>
        <w:rPr/>
        <w:t>. Así mismo los componentes de la leche en la glándula mamaria, la presencia de glóbulos de grasa y las micelas de caseína, afectan la actividad de fagocitosis de los PMN </w:t>
      </w:r>
      <w:r>
        <w:rPr>
          <w:position w:val="11"/>
          <w:sz w:val="16"/>
        </w:rPr>
        <w:t>(12)</w:t>
      </w:r>
      <w:r>
        <w:rPr/>
        <w:t>. Durante la infección de la glándula mamaria, se incrementa la apoptosis de neutrófilos, al ser activada la cascada de caspasas, por la vía intrínseca o extrínseca; resultando en la fragmentación del DNA y formación de cuerpos apoptóticos </w:t>
      </w:r>
      <w:r>
        <w:rPr>
          <w:position w:val="11"/>
          <w:sz w:val="16"/>
        </w:rPr>
        <w:t>(13)</w:t>
      </w:r>
      <w:r>
        <w:rPr/>
        <w:t>. La apoptosis de los PMN se ve acompañada de una reducción de la capacidad de respuesta a estímulos quimiotácticos y disminución de la intensidad de fagocitosis, producto de la degranulación de la célula y la activación de la explosión respiratoria </w:t>
      </w:r>
      <w:r>
        <w:rPr>
          <w:position w:val="11"/>
          <w:sz w:val="16"/>
        </w:rPr>
        <w:t>(14)</w:t>
      </w:r>
      <w:r>
        <w:rPr/>
        <w:t>.</w:t>
      </w:r>
    </w:p>
    <w:p>
      <w:pPr>
        <w:pStyle w:val="BodyText"/>
        <w:spacing w:line="480" w:lineRule="auto"/>
        <w:ind w:left="159" w:right="189"/>
      </w:pPr>
      <w:r>
        <w:rPr/>
        <w:t>Actualmente es poco conocida la influencia del </w:t>
      </w:r>
      <w:r>
        <w:rPr>
          <w:i/>
        </w:rPr>
        <w:t>S. aureus </w:t>
      </w:r>
      <w:r>
        <w:rPr/>
        <w:t>de los tipos capsulares 5 y 8 sobre la apoptosis de los neutrófilos de vacas lecheras. El objetivo del estudio fue evaluar la actividad de fagocitosis y apoptosis </w:t>
      </w:r>
      <w:r>
        <w:rPr>
          <w:i/>
        </w:rPr>
        <w:t>in vitro </w:t>
      </w:r>
      <w:r>
        <w:rPr/>
        <w:t>de los neutrófilos de vacas inducida por el </w:t>
      </w:r>
      <w:r>
        <w:rPr>
          <w:i/>
        </w:rPr>
        <w:t>S. aureus </w:t>
      </w:r>
      <w:r>
        <w:rPr/>
        <w:t>de tipo capsular 5 y 8.</w:t>
      </w:r>
    </w:p>
    <w:p>
      <w:pPr>
        <w:pStyle w:val="Heading3"/>
        <w:spacing w:before="3"/>
      </w:pPr>
      <w:r>
        <w:rPr/>
        <w:t>MATERIAL Y MÉTODO</w:t>
      </w:r>
    </w:p>
    <w:p>
      <w:pPr>
        <w:pStyle w:val="BodyText"/>
        <w:rPr>
          <w:b/>
        </w:rPr>
      </w:pPr>
    </w:p>
    <w:p>
      <w:pPr>
        <w:spacing w:before="0"/>
        <w:ind w:left="159" w:right="3245" w:firstLine="0"/>
        <w:jc w:val="left"/>
        <w:rPr>
          <w:b/>
          <w:sz w:val="24"/>
        </w:rPr>
      </w:pPr>
      <w:r>
        <w:rPr>
          <w:b/>
          <w:sz w:val="24"/>
        </w:rPr>
        <w:t>Grupo de animales</w:t>
      </w:r>
    </w:p>
    <w:p>
      <w:pPr>
        <w:pStyle w:val="BodyText"/>
        <w:spacing w:line="550" w:lineRule="atLeast" w:before="7"/>
        <w:ind w:left="159" w:right="282"/>
      </w:pPr>
      <w:r>
        <w:rPr/>
        <w:t>El grupo de animales donadores de neutrófilos se integró con tres vacas multíparas, clínicamente sanas con un período </w:t>
      </w:r>
      <w:r>
        <w:rPr>
          <w:i/>
        </w:rPr>
        <w:t>pos partum </w:t>
      </w:r>
      <w:r>
        <w:rPr/>
        <w:t>promedio de 121 días. Los criterios de inclusión de los vacas al grupo de estudio fueron: serología</w:t>
      </w:r>
    </w:p>
    <w:p>
      <w:pPr>
        <w:spacing w:after="0" w:line="550" w:lineRule="atLeast"/>
        <w:sectPr>
          <w:pgSz w:w="12240" w:h="15840"/>
          <w:pgMar w:header="726" w:footer="1527" w:top="1200" w:bottom="1720" w:left="1540" w:right="1540"/>
        </w:sectPr>
      </w:pPr>
    </w:p>
    <w:p>
      <w:pPr>
        <w:pStyle w:val="BodyText"/>
        <w:spacing w:before="9"/>
        <w:rPr>
          <w:sz w:val="11"/>
        </w:rPr>
      </w:pPr>
    </w:p>
    <w:p>
      <w:pPr>
        <w:pStyle w:val="BodyText"/>
        <w:spacing w:line="470" w:lineRule="auto" w:before="79"/>
        <w:ind w:left="159" w:right="341"/>
      </w:pPr>
      <w:r>
        <w:rPr/>
        <w:t>negativa a anticuerpos anti </w:t>
      </w:r>
      <w:r>
        <w:rPr>
          <w:i/>
        </w:rPr>
        <w:t>S. aureus </w:t>
      </w:r>
      <w:r>
        <w:rPr/>
        <w:t>tipo capsular 5 y 8</w:t>
      </w:r>
      <w:r>
        <w:rPr>
          <w:position w:val="11"/>
          <w:sz w:val="16"/>
        </w:rPr>
        <w:t>(15)</w:t>
      </w:r>
      <w:r>
        <w:rPr/>
        <w:t>, un conteo de células somáticas en leche ˂ de 200 x 10</w:t>
      </w:r>
      <w:r>
        <w:rPr>
          <w:position w:val="11"/>
          <w:sz w:val="16"/>
        </w:rPr>
        <w:t>3 </w:t>
      </w:r>
      <w:r>
        <w:rPr/>
        <w:t>células/ml </w:t>
      </w:r>
      <w:r>
        <w:rPr>
          <w:position w:val="11"/>
          <w:sz w:val="16"/>
        </w:rPr>
        <w:t>(16) </w:t>
      </w:r>
      <w:r>
        <w:rPr/>
        <w:t>y bacteriológicamente negativas en tres muestreos consecutivos a </w:t>
      </w:r>
      <w:r>
        <w:rPr>
          <w:i/>
        </w:rPr>
        <w:t>S. aureus </w:t>
      </w:r>
      <w:r>
        <w:rPr>
          <w:position w:val="11"/>
          <w:sz w:val="16"/>
        </w:rPr>
        <w:t>(17)</w:t>
      </w:r>
      <w:r>
        <w:rPr/>
        <w:t>. El cuidado de las vacas en estudio se realizó por personal calificado del área de producción animal especificado en la NOM 056-ZOO-1999, siguiendo los lineamientos de la NOM 062-ZOO-1999, bajo la supervisión del comité de bioética institucional de la Facultad de Medicina Veterinaria y Zootecnia de la Universidad Autónoma del Estado de México.</w:t>
      </w:r>
    </w:p>
    <w:p>
      <w:pPr>
        <w:pStyle w:val="Heading3"/>
        <w:spacing w:before="14"/>
      </w:pPr>
      <w:bookmarkStart w:name="_bookmark36" w:id="56"/>
      <w:bookmarkEnd w:id="56"/>
      <w:r>
        <w:rPr>
          <w:b w:val="0"/>
        </w:rPr>
      </w:r>
      <w:r>
        <w:rPr/>
        <w:t>Diseño del experimento</w:t>
      </w:r>
    </w:p>
    <w:p>
      <w:pPr>
        <w:pStyle w:val="BodyText"/>
        <w:spacing w:before="4"/>
        <w:rPr>
          <w:b/>
        </w:rPr>
      </w:pPr>
    </w:p>
    <w:p>
      <w:pPr>
        <w:pStyle w:val="BodyText"/>
        <w:tabs>
          <w:tab w:pos="3669" w:val="left" w:leader="none"/>
        </w:tabs>
        <w:spacing w:line="480" w:lineRule="auto" w:before="1"/>
        <w:ind w:left="159" w:right="285"/>
      </w:pPr>
      <w:r>
        <w:rPr/>
        <w:t>Para evaluar la capacidad de fagocitosis (CFN) e índice de fagocitosis (IFN) </w:t>
      </w:r>
      <w:r>
        <w:rPr>
          <w:spacing w:val="6"/>
        </w:rPr>
        <w:t>se </w:t>
      </w:r>
      <w:r>
        <w:rPr/>
        <w:t>emplearon dos grupos experimentales y un grupo control denominados: CP5, neutrófilos + cepa de </w:t>
      </w:r>
      <w:r>
        <w:rPr>
          <w:i/>
        </w:rPr>
        <w:t>S. aureus </w:t>
      </w:r>
      <w:r>
        <w:rPr/>
        <w:t>tipo capsular 5; CP8, neutrófilos + cepas capsulares 8 y de</w:t>
      </w:r>
      <w:r>
        <w:rPr>
          <w:spacing w:val="-9"/>
        </w:rPr>
        <w:t> </w:t>
      </w:r>
      <w:r>
        <w:rPr/>
        <w:t>control</w:t>
      </w:r>
      <w:r>
        <w:rPr>
          <w:spacing w:val="-2"/>
        </w:rPr>
        <w:t> </w:t>
      </w:r>
      <w:r>
        <w:rPr/>
        <w:t>(CC),</w:t>
        <w:tab/>
        <w:t>neutrófilos + cepa compacta. Se</w:t>
      </w:r>
      <w:r>
        <w:rPr>
          <w:spacing w:val="-20"/>
        </w:rPr>
        <w:t> </w:t>
      </w:r>
      <w:r>
        <w:rPr/>
        <w:t>empleó</w:t>
      </w:r>
      <w:r>
        <w:rPr>
          <w:spacing w:val="-3"/>
        </w:rPr>
        <w:t> </w:t>
      </w:r>
      <w:r>
        <w:rPr/>
        <w:t>además para evaluar la inducción de la apoptosis un grupo control positivo C(+), un grupo control negativo C(-).El C(+) fueron neutrófilos incubados con ciclofosfamida (400μg/100µl) y el C(-) se integró sólo por neutrófilos sobre el </w:t>
      </w:r>
      <w:r>
        <w:rPr>
          <w:spacing w:val="-3"/>
        </w:rPr>
        <w:t>mismo </w:t>
      </w:r>
      <w:r>
        <w:rPr/>
        <w:t>medio de cultivo.</w:t>
      </w:r>
    </w:p>
    <w:p>
      <w:pPr>
        <w:pStyle w:val="BodyText"/>
        <w:spacing w:line="480" w:lineRule="auto" w:before="8"/>
        <w:ind w:left="159" w:right="323"/>
      </w:pPr>
      <w:r>
        <w:rPr/>
        <w:t>Los ensayos </w:t>
      </w:r>
      <w:r>
        <w:rPr>
          <w:i/>
        </w:rPr>
        <w:t>in vitro </w:t>
      </w:r>
      <w:r>
        <w:rPr/>
        <w:t>se realizaron por triplicado a partir de los grupos de tratamiento. Para evaluar el índice de fagocitosis, capacidad de fagocitosis y apoptosis; como controles de los ensayos </w:t>
      </w:r>
      <w:r>
        <w:rPr>
          <w:i/>
        </w:rPr>
        <w:t>in vitro </w:t>
      </w:r>
      <w:r>
        <w:rPr/>
        <w:t>se emplearon la cepa </w:t>
      </w:r>
      <w:r>
        <w:rPr>
          <w:i/>
        </w:rPr>
        <w:t>Staphylococcus aureus </w:t>
      </w:r>
      <w:r>
        <w:rPr/>
        <w:t>ATCC 12598 (Cowan1) tipo compacto y las cepas de tipo capsular 5 ATCC 25904 y tipo capsular   8 ATCC 49525.</w:t>
      </w:r>
    </w:p>
    <w:p>
      <w:pPr>
        <w:spacing w:after="0" w:line="480" w:lineRule="auto"/>
        <w:sectPr>
          <w:pgSz w:w="12240" w:h="15840"/>
          <w:pgMar w:header="726" w:footer="1527" w:top="1200" w:bottom="1720" w:left="1540" w:right="1540"/>
        </w:sectPr>
      </w:pPr>
    </w:p>
    <w:p>
      <w:pPr>
        <w:pStyle w:val="BodyText"/>
        <w:spacing w:before="3"/>
        <w:rPr>
          <w:sz w:val="15"/>
        </w:rPr>
      </w:pPr>
    </w:p>
    <w:p>
      <w:pPr>
        <w:pStyle w:val="Heading3"/>
        <w:spacing w:before="69"/>
      </w:pPr>
      <w:r>
        <w:rPr/>
        <w:t>Aislamiento de neutrófilos de bovinos</w:t>
      </w:r>
    </w:p>
    <w:p>
      <w:pPr>
        <w:pStyle w:val="BodyText"/>
        <w:spacing w:before="4"/>
        <w:rPr>
          <w:b/>
        </w:rPr>
      </w:pPr>
    </w:p>
    <w:p>
      <w:pPr>
        <w:pStyle w:val="BodyText"/>
        <w:spacing w:line="472" w:lineRule="auto" w:before="1"/>
        <w:ind w:left="159" w:right="291"/>
      </w:pPr>
      <w:r>
        <w:rPr/>
        <w:t>La muestra de sangre se obtuvo por venopunción de la vena yugular, previa asepsia con una torunda impregnada con alcohol etílico al 70% v/v; la muestra se depositó en tubos de recolección al vacío (Vacutainer, Becton Dickinson, USA), con solución de ácido cítrico dextrosa 1:9 como anticoagulante </w:t>
      </w:r>
      <w:r>
        <w:rPr>
          <w:position w:val="11"/>
          <w:sz w:val="16"/>
        </w:rPr>
        <w:t>(18)</w:t>
      </w:r>
      <w:r>
        <w:rPr/>
        <w:t>. El conteo total y diferencial de leucocitos se realizó por el método hematológico empleando un</w:t>
      </w:r>
    </w:p>
    <w:p>
      <w:pPr>
        <w:pStyle w:val="BodyText"/>
        <w:spacing w:line="475" w:lineRule="auto" w:before="16"/>
        <w:ind w:left="159" w:right="229"/>
      </w:pPr>
      <w:r>
        <w:rPr/>
        <w:t>hemocitómetro y la tinción del frotis sanguíneo con Giemsa. Los neutrófilos de la sangre se aislaron a partir de las muestras sanguíneas recién obtenidas utilizando el método de la lisis hipotónica de eritrocitos </w:t>
      </w:r>
      <w:r>
        <w:rPr>
          <w:position w:val="11"/>
          <w:sz w:val="16"/>
        </w:rPr>
        <w:t>(19)</w:t>
      </w:r>
      <w:r>
        <w:rPr/>
        <w:t>. Para lo cual se centrifugaron las muestras de sangre a 1000g a 4°C por 20 minutos en tubos cónicos de propileno, posteriormente se descartó el plasma. La lisis de eritrocitos se realizó en tubos cónicos de plástico de 15 ml durante 30 segundos 8ml de solución A a 4ºC (NaCl,</w:t>
      </w:r>
    </w:p>
    <w:p>
      <w:pPr>
        <w:pStyle w:val="BodyText"/>
        <w:spacing w:line="480" w:lineRule="auto" w:before="13"/>
        <w:ind w:left="159" w:right="336"/>
      </w:pPr>
      <w:r>
        <w:rPr/>
        <w:t>0.020 M), y 4 ml, de sangre; se agregaron  2 ml de solución B a 4ºC a 0.164 M. Se centrifugaron los tubos a 300g durante tres minutos. Se recuperó el paquete celular, se lavó dos veces en solución balanceada Hank’s para resuspenderlo finalmente en medio de cultivo RPMI 1640. La concentración de PMN de ajustó a</w:t>
      </w:r>
    </w:p>
    <w:p>
      <w:pPr>
        <w:pStyle w:val="BodyText"/>
        <w:spacing w:line="284" w:lineRule="exact"/>
        <w:ind w:left="159"/>
      </w:pPr>
      <w:r>
        <w:rPr/>
        <w:t>2.5 x 10</w:t>
      </w:r>
      <w:r>
        <w:rPr>
          <w:position w:val="11"/>
          <w:sz w:val="16"/>
        </w:rPr>
        <w:t>6  </w:t>
      </w:r>
      <w:r>
        <w:rPr/>
        <w:t>células viables/ml. La pureza y viabilidad de las células se estimó en</w:t>
      </w:r>
    </w:p>
    <w:p>
      <w:pPr>
        <w:pStyle w:val="BodyText"/>
      </w:pPr>
    </w:p>
    <w:p>
      <w:pPr>
        <w:pStyle w:val="BodyText"/>
        <w:spacing w:line="465" w:lineRule="auto"/>
        <w:ind w:left="159" w:right="256"/>
        <w:rPr>
          <w:sz w:val="16"/>
        </w:rPr>
      </w:pPr>
      <w:r>
        <w:rPr/>
        <w:t>95%. La pureza de neutrófilos maduros se observó en un frotis celular sanguíneo teñido con May Grünwald-Giemsa. La viabilidad se determinó mediante el método de exclusión de azul de tripán al 4%.</w:t>
      </w:r>
      <w:r>
        <w:rPr>
          <w:position w:val="11"/>
          <w:sz w:val="16"/>
        </w:rPr>
        <w:t>(20)</w:t>
      </w:r>
    </w:p>
    <w:p>
      <w:pPr>
        <w:spacing w:line="260" w:lineRule="exact" w:before="0"/>
        <w:ind w:left="159" w:right="3245" w:firstLine="0"/>
        <w:jc w:val="left"/>
        <w:rPr>
          <w:b/>
          <w:sz w:val="24"/>
        </w:rPr>
      </w:pPr>
      <w:r>
        <w:rPr>
          <w:b/>
          <w:sz w:val="24"/>
        </w:rPr>
        <w:t>Ensayo de fagocitosis </w:t>
      </w:r>
      <w:r>
        <w:rPr>
          <w:b/>
          <w:i/>
          <w:sz w:val="24"/>
        </w:rPr>
        <w:t>in vitro</w:t>
      </w:r>
      <w:r>
        <w:rPr>
          <w:b/>
          <w:sz w:val="24"/>
        </w:rPr>
        <w:t>.</w:t>
      </w:r>
    </w:p>
    <w:p>
      <w:pPr>
        <w:pStyle w:val="BodyText"/>
        <w:rPr>
          <w:b/>
        </w:rPr>
      </w:pPr>
    </w:p>
    <w:p>
      <w:pPr>
        <w:pStyle w:val="Heading3"/>
      </w:pPr>
      <w:r>
        <w:rPr/>
        <w:t>Microscopia de campo claro y epifluorescencia</w:t>
      </w:r>
    </w:p>
    <w:p>
      <w:pPr>
        <w:spacing w:after="0"/>
        <w:sectPr>
          <w:pgSz w:w="12240" w:h="15840"/>
          <w:pgMar w:header="726" w:footer="1527" w:top="1200" w:bottom="1720" w:left="1540" w:right="1540"/>
        </w:sectPr>
      </w:pPr>
    </w:p>
    <w:p>
      <w:pPr>
        <w:pStyle w:val="BodyText"/>
        <w:spacing w:before="8"/>
        <w:rPr>
          <w:b/>
          <w:sz w:val="15"/>
        </w:rPr>
      </w:pPr>
    </w:p>
    <w:p>
      <w:pPr>
        <w:pStyle w:val="BodyText"/>
        <w:spacing w:line="472" w:lineRule="auto" w:before="69"/>
        <w:ind w:left="159" w:right="169"/>
        <w:rPr>
          <w:i/>
        </w:rPr>
      </w:pPr>
      <w:r>
        <w:rPr/>
        <w:t>Para determinar la actividad de fagocitosis </w:t>
      </w:r>
      <w:r>
        <w:rPr>
          <w:i/>
          <w:spacing w:val="-3"/>
        </w:rPr>
        <w:t>in </w:t>
      </w:r>
      <w:r>
        <w:rPr>
          <w:i/>
        </w:rPr>
        <w:t>vitro </w:t>
      </w:r>
      <w:r>
        <w:rPr/>
        <w:t>se empleó como sustrato una suspensión de </w:t>
      </w:r>
      <w:r>
        <w:rPr>
          <w:i/>
        </w:rPr>
        <w:t>S. aureus </w:t>
      </w:r>
      <w:r>
        <w:rPr/>
        <w:t>inactivada a 120°C durante 20 minutos,  ajustada a 2 x 10</w:t>
      </w:r>
      <w:r>
        <w:rPr>
          <w:position w:val="11"/>
          <w:sz w:val="16"/>
        </w:rPr>
        <w:t>8 </w:t>
      </w:r>
      <w:r>
        <w:rPr/>
        <w:t>CFU/ml conservada a 4°C hasta el momento de su uso, en el ensayo </w:t>
      </w:r>
      <w:r>
        <w:rPr>
          <w:i/>
          <w:spacing w:val="-3"/>
        </w:rPr>
        <w:t>in </w:t>
      </w:r>
      <w:r>
        <w:rPr>
          <w:i/>
        </w:rPr>
        <w:t>vitro </w:t>
      </w:r>
      <w:r>
        <w:rPr/>
        <w:t>se estableció una proporción neutrófilo: bacteria de 1:10 </w:t>
      </w:r>
      <w:r>
        <w:rPr>
          <w:position w:val="11"/>
          <w:sz w:val="16"/>
        </w:rPr>
        <w:t>(21)</w:t>
      </w:r>
      <w:r>
        <w:rPr/>
        <w:t>. Con un micro-tubo se adicionó 0.1ml de la suspensión bacteriana, </w:t>
      </w:r>
      <w:r>
        <w:rPr>
          <w:spacing w:val="-3"/>
        </w:rPr>
        <w:t>0.1mL </w:t>
      </w:r>
      <w:r>
        <w:rPr/>
        <w:t>de suero autólogo inactivado a 56°C y 0.8ml de suspensión de neutrófilos. La muestras se incubaron a 37°C durante una hora, posteriormente se aplico lisostafina (1µg/ml, lysostaphin SIGMA, USA), a cada uno de los tratamientos y </w:t>
      </w:r>
      <w:r>
        <w:rPr>
          <w:spacing w:val="-3"/>
        </w:rPr>
        <w:t>se </w:t>
      </w:r>
      <w:r>
        <w:rPr/>
        <w:t>reincubaron por 30 minutos; la muestra se resuspendió para realizar un frotis teñido con May Grünwald-Giemsa para su estudio bajo el microscopio óptico de </w:t>
      </w:r>
      <w:r>
        <w:rPr>
          <w:spacing w:val="-3"/>
        </w:rPr>
        <w:t>campo </w:t>
      </w:r>
      <w:r>
        <w:rPr>
          <w:spacing w:val="2"/>
        </w:rPr>
        <w:t>claro. </w:t>
      </w:r>
      <w:r>
        <w:rPr/>
        <w:t>La actividad de fagocitosis</w:t>
      </w:r>
      <w:r>
        <w:rPr>
          <w:spacing w:val="-18"/>
        </w:rPr>
        <w:t> </w:t>
      </w:r>
      <w:r>
        <w:rPr>
          <w:i/>
          <w:spacing w:val="-3"/>
        </w:rPr>
        <w:t>in</w:t>
      </w:r>
    </w:p>
    <w:p>
      <w:pPr>
        <w:pStyle w:val="BodyText"/>
        <w:spacing w:line="480" w:lineRule="auto" w:before="16"/>
        <w:ind w:left="159" w:right="222"/>
      </w:pPr>
      <w:r>
        <w:rPr>
          <w:i/>
        </w:rPr>
        <w:t>vitro </w:t>
      </w:r>
      <w:r>
        <w:rPr/>
        <w:t>se evaluó a partir del índice de fagocitosis determinado por el número promedio de bacterias fagocitadas por neutrófilo, después de observar y contar 200 células en diferentes campos microscópicos. La CFN se estimó a partir del porcentaje de células que fagocitaron, apreciadas en el campo microscópico 100x de observación contando 200 PMN en diferentes campos. En la evaluación del ensayo de fagocitosis </w:t>
      </w:r>
      <w:r>
        <w:rPr>
          <w:i/>
        </w:rPr>
        <w:t>in vitro </w:t>
      </w:r>
      <w:r>
        <w:rPr/>
        <w:t>realizada con el microscopio de epifluorescencia, se empleó como sustrato para el ensayo de fagocitosis </w:t>
      </w:r>
      <w:r>
        <w:rPr>
          <w:i/>
        </w:rPr>
        <w:t>in vitro </w:t>
      </w:r>
      <w:r>
        <w:rPr/>
        <w:t>para estimar el IFN y</w:t>
      </w:r>
    </w:p>
    <w:p>
      <w:pPr>
        <w:pStyle w:val="BodyText"/>
        <w:spacing w:line="284" w:lineRule="exact"/>
        <w:ind w:left="159"/>
        <w:rPr>
          <w:sz w:val="16"/>
        </w:rPr>
      </w:pPr>
      <w:r>
        <w:rPr/>
        <w:t>CFN, se empleo una suspensión de </w:t>
      </w:r>
      <w:r>
        <w:rPr>
          <w:i/>
        </w:rPr>
        <w:t>S. aureus </w:t>
      </w:r>
      <w:r>
        <w:rPr/>
        <w:t>a una  concentración 2 x 10</w:t>
      </w:r>
      <w:r>
        <w:rPr>
          <w:position w:val="11"/>
          <w:sz w:val="16"/>
        </w:rPr>
        <w:t>8</w:t>
      </w:r>
    </w:p>
    <w:p>
      <w:pPr>
        <w:pStyle w:val="BodyText"/>
      </w:pPr>
    </w:p>
    <w:p>
      <w:pPr>
        <w:spacing w:line="477" w:lineRule="auto" w:before="0"/>
        <w:ind w:left="159" w:right="1963" w:firstLine="0"/>
        <w:jc w:val="left"/>
        <w:rPr>
          <w:b/>
          <w:sz w:val="24"/>
        </w:rPr>
      </w:pPr>
      <w:r>
        <w:rPr>
          <w:sz w:val="24"/>
        </w:rPr>
        <w:t>CFU/ml, inactivada y conjugada con isotiocianato de fluoresceína</w:t>
      </w:r>
      <w:r>
        <w:rPr>
          <w:i/>
          <w:sz w:val="24"/>
        </w:rPr>
        <w:t>. </w:t>
      </w:r>
      <w:r>
        <w:rPr>
          <w:b/>
          <w:sz w:val="24"/>
        </w:rPr>
        <w:t>Evaluación de la de apoptosis </w:t>
      </w:r>
      <w:r>
        <w:rPr>
          <w:b/>
          <w:i/>
          <w:sz w:val="24"/>
        </w:rPr>
        <w:t>in vitro </w:t>
      </w:r>
      <w:r>
        <w:rPr>
          <w:b/>
          <w:sz w:val="24"/>
        </w:rPr>
        <w:t>de neutrófilos Microscopía de campo claro y epifluorescencia</w:t>
      </w:r>
    </w:p>
    <w:p>
      <w:pPr>
        <w:pStyle w:val="BodyText"/>
        <w:spacing w:before="15"/>
        <w:ind w:left="159"/>
      </w:pPr>
      <w:r>
        <w:rPr/>
        <w:t>El ensayo de la actividad de fagocitosis </w:t>
      </w:r>
      <w:r>
        <w:rPr>
          <w:i/>
        </w:rPr>
        <w:t>in vitro </w:t>
      </w:r>
      <w:r>
        <w:rPr/>
        <w:t>se realizó de acuerdo al</w:t>
      </w:r>
    </w:p>
    <w:p>
      <w:pPr>
        <w:pStyle w:val="BodyText"/>
      </w:pPr>
    </w:p>
    <w:p>
      <w:pPr>
        <w:pStyle w:val="BodyText"/>
        <w:ind w:left="159"/>
      </w:pPr>
      <w:r>
        <w:rPr/>
        <w:t>procedimiento descrito anteriormente. La evaluación de la apoptosis </w:t>
      </w:r>
      <w:r>
        <w:rPr>
          <w:i/>
        </w:rPr>
        <w:t>in vitro </w:t>
      </w:r>
      <w:r>
        <w:rPr/>
        <w:t>de los</w:t>
      </w:r>
    </w:p>
    <w:p>
      <w:pPr>
        <w:spacing w:after="0"/>
        <w:sectPr>
          <w:pgSz w:w="12240" w:h="15840"/>
          <w:pgMar w:header="726" w:footer="1527" w:top="1200" w:bottom="1720" w:left="1540" w:right="1540"/>
        </w:sectPr>
      </w:pPr>
    </w:p>
    <w:p>
      <w:pPr>
        <w:pStyle w:val="BodyText"/>
        <w:spacing w:before="8"/>
        <w:rPr>
          <w:sz w:val="15"/>
        </w:rPr>
      </w:pPr>
    </w:p>
    <w:p>
      <w:pPr>
        <w:pStyle w:val="BodyText"/>
        <w:spacing w:line="472" w:lineRule="auto" w:before="69"/>
        <w:ind w:left="159" w:right="109"/>
      </w:pPr>
      <w:r>
        <w:rPr/>
        <w:t>neutrófilos aislados de vacas lecheras, se realizó a partir de un frotis teñido con May Grünwald-Giemsa, observadas las muestras se observaron en el microscopio de campo claro 100 x analizando diferentes campos para enumerar 200 neutrófilos por muestra de acuerdo a las características morfológicas descritas </w:t>
      </w:r>
      <w:r>
        <w:rPr>
          <w:position w:val="11"/>
          <w:sz w:val="16"/>
        </w:rPr>
        <w:t>(22)</w:t>
      </w:r>
      <w:r>
        <w:rPr/>
        <w:t>. La observación para determinar la apoptosis se realizó bajo el microscopio de</w:t>
      </w:r>
    </w:p>
    <w:p>
      <w:pPr>
        <w:pStyle w:val="BodyText"/>
        <w:spacing w:line="480" w:lineRule="auto" w:before="16"/>
        <w:ind w:left="159" w:right="222"/>
      </w:pPr>
      <w:r>
        <w:rPr/>
        <w:t>epifluorescencia, a partir de una solución de bromuro de etidio (100 µg/ml) (PROMEGA, Madison USA) y naranja de acridina (100 µg/ml); a 100µl de la muestra de estudio se adicionaron 8µl de las soluciones de contraste fluorescente para apreciar los neutrófilos viables con una fluorescencia verde y los neutrófilos apoptóticos  con una fluorescencia rojo-naranja  debido al bromuro de etidio se une al DNA nuclear fragmentado en los leucocitos.</w:t>
      </w:r>
    </w:p>
    <w:p>
      <w:pPr>
        <w:pStyle w:val="Heading3"/>
        <w:spacing w:before="3"/>
      </w:pPr>
      <w:r>
        <w:rPr/>
        <w:t>Análisis de resultados</w:t>
      </w:r>
    </w:p>
    <w:p>
      <w:pPr>
        <w:pStyle w:val="BodyText"/>
        <w:spacing w:before="4"/>
        <w:rPr>
          <w:b/>
        </w:rPr>
      </w:pPr>
    </w:p>
    <w:p>
      <w:pPr>
        <w:pStyle w:val="BodyText"/>
        <w:spacing w:line="472" w:lineRule="auto" w:before="1"/>
        <w:ind w:left="159" w:right="296"/>
      </w:pPr>
      <w:r>
        <w:rPr/>
        <w:t>El análisis de los resultados se realizó a partir del IFN y CFN de los tratamientos, comparados con el grupo control. Se determinó la media y el error estándar. Para evaluar las diferencias de la actividad de fagocitosis e inducción de apoptosis entre los tratamientos y el grupo control se realizó un análisis de varianza </w:t>
      </w:r>
      <w:r>
        <w:rPr>
          <w:position w:val="11"/>
          <w:sz w:val="16"/>
        </w:rPr>
        <w:t>(23)</w:t>
      </w:r>
      <w:r>
        <w:rPr/>
        <w:t>, la comparación de medias de los tratamientos se realizó la prueba de Tukey,</w:t>
      </w:r>
    </w:p>
    <w:p>
      <w:pPr>
        <w:pStyle w:val="BodyText"/>
        <w:spacing w:before="16"/>
        <w:ind w:left="159"/>
      </w:pPr>
      <w:r>
        <w:rPr/>
        <w:t>utilizando el programa GraphPad Prism 5.01 (GraphPad Sofware Inc. USA).</w:t>
      </w:r>
    </w:p>
    <w:p>
      <w:pPr>
        <w:pStyle w:val="BodyText"/>
        <w:spacing w:before="6"/>
        <w:rPr>
          <w:sz w:val="23"/>
        </w:rPr>
      </w:pPr>
    </w:p>
    <w:p>
      <w:pPr>
        <w:pStyle w:val="Heading3"/>
      </w:pPr>
      <w:r>
        <w:rPr/>
        <w:t>RESULTADOS</w:t>
      </w:r>
    </w:p>
    <w:p>
      <w:pPr>
        <w:pStyle w:val="BodyText"/>
        <w:spacing w:before="4"/>
        <w:rPr>
          <w:b/>
        </w:rPr>
      </w:pPr>
    </w:p>
    <w:p>
      <w:pPr>
        <w:pStyle w:val="BodyText"/>
        <w:spacing w:line="480" w:lineRule="auto" w:before="1"/>
        <w:ind w:left="159" w:right="973"/>
        <w:jc w:val="both"/>
      </w:pPr>
      <w:r>
        <w:rPr/>
        <w:t>El aislamiento de los </w:t>
      </w:r>
      <w:r>
        <w:rPr>
          <w:spacing w:val="-2"/>
        </w:rPr>
        <w:t>PMN </w:t>
      </w:r>
      <w:r>
        <w:rPr/>
        <w:t>en las muestras de sangre por el método de lisis hipotónica mostró una viabilidad de 94% y pureza de 95%. En el estudio</w:t>
      </w:r>
      <w:r>
        <w:rPr>
          <w:spacing w:val="-33"/>
        </w:rPr>
        <w:t> </w:t>
      </w:r>
      <w:r>
        <w:rPr/>
        <w:t>de fagocitosis </w:t>
      </w:r>
      <w:r>
        <w:rPr>
          <w:i/>
          <w:spacing w:val="-3"/>
        </w:rPr>
        <w:t>in </w:t>
      </w:r>
      <w:r>
        <w:rPr>
          <w:i/>
        </w:rPr>
        <w:t>vitro </w:t>
      </w:r>
      <w:r>
        <w:rPr/>
        <w:t>en los neutrófilos de bovinos lecheros, </w:t>
      </w:r>
      <w:r>
        <w:rPr>
          <w:spacing w:val="-3"/>
        </w:rPr>
        <w:t>se</w:t>
      </w:r>
      <w:r>
        <w:rPr>
          <w:spacing w:val="-9"/>
        </w:rPr>
        <w:t> </w:t>
      </w:r>
      <w:r>
        <w:rPr/>
        <w:t>observaron</w:t>
      </w:r>
    </w:p>
    <w:p>
      <w:pPr>
        <w:spacing w:after="0" w:line="480" w:lineRule="auto"/>
        <w:jc w:val="both"/>
        <w:sectPr>
          <w:pgSz w:w="12240" w:h="15840"/>
          <w:pgMar w:header="726" w:footer="1527" w:top="1200" w:bottom="1720" w:left="1540" w:right="1540"/>
        </w:sectPr>
      </w:pPr>
    </w:p>
    <w:p>
      <w:pPr>
        <w:pStyle w:val="BodyText"/>
        <w:spacing w:before="8"/>
        <w:rPr>
          <w:sz w:val="15"/>
        </w:rPr>
      </w:pPr>
    </w:p>
    <w:p>
      <w:pPr>
        <w:pStyle w:val="BodyText"/>
        <w:spacing w:line="480" w:lineRule="auto" w:before="69"/>
        <w:ind w:left="159"/>
        <w:rPr>
          <w:i/>
        </w:rPr>
      </w:pPr>
      <w:r>
        <w:rPr/>
        <w:t>diferencias en la actividad de fagocitosis y en la inducción la apoptosis entre los tratamientos con cepas capsulares de </w:t>
      </w:r>
      <w:r>
        <w:rPr>
          <w:i/>
        </w:rPr>
        <w:t>S. aureus.</w:t>
      </w:r>
    </w:p>
    <w:p>
      <w:pPr>
        <w:pStyle w:val="BodyText"/>
        <w:spacing w:line="480" w:lineRule="auto" w:before="8"/>
        <w:ind w:left="159" w:right="242"/>
      </w:pPr>
      <w:r>
        <w:rPr/>
        <w:t>Los valores obtenidos en el ensayo </w:t>
      </w:r>
      <w:r>
        <w:rPr>
          <w:i/>
        </w:rPr>
        <w:t>in vitro </w:t>
      </w:r>
      <w:r>
        <w:rPr/>
        <w:t>para evaluar la actividad de fagocitosis de los PMN observada por la técnica de microscopía de campo claro para la CFN fueron CP5 74.98±2.44, CP8 8.22±1.50 y cepa compacta (CC) 86.50±2.93. En la observación con microscopía de epifluorescencia la CFN para CP5 62.52±3.26, CP8 78.60±4.07 y para el tipo compacto fue 86.77±2.60 (P&lt;0.05) (Cuadro 1).</w:t>
      </w:r>
    </w:p>
    <w:p>
      <w:pPr>
        <w:pStyle w:val="BodyText"/>
        <w:spacing w:line="480" w:lineRule="auto" w:before="8"/>
        <w:ind w:left="159" w:right="250"/>
      </w:pPr>
      <w:r>
        <w:rPr/>
        <w:t>El IFN observado mediante la técnica de microscopía de campo claro en los diferentes tratamientos fueron, para, CP5 4.88±0.13, CP8 5.22±0.1 y CC 6.13±0.31 (P&lt;0.05). Mediante la observación con microscopia de epifluorescencia el IFN por la técnica de epifluorescencia fueron: CP5 4.67±0.29, CP8 5.53±0.4 y CC 7.62±0.55 (p&lt;0.05) (Cuadro 1). Al evaluar los métodos de observación microscópica para el IFN estos mostraron diferencias entre los tratamientos con respecto al grupo control (p&lt;0.05).</w:t>
      </w:r>
    </w:p>
    <w:p>
      <w:pPr>
        <w:pStyle w:val="BodyText"/>
        <w:spacing w:line="480" w:lineRule="auto" w:before="8"/>
        <w:ind w:left="159" w:right="189"/>
      </w:pPr>
      <w:r>
        <w:rPr/>
        <w:t>La inducción de la apoptosis por los tipos capsulares de </w:t>
      </w:r>
      <w:r>
        <w:rPr>
          <w:i/>
        </w:rPr>
        <w:t>S. aureus</w:t>
      </w:r>
      <w:r>
        <w:rPr/>
        <w:t>, evaluada mediante las características morfológicas del núcleo y el citoplasma apreciadas en los frotis teñidos con May Grünwald-Giemsa fueron: CP5 60.07±4.21, CP8 45.57±4.34 y CC 35.44±2.56 (p&lt;0.05). En microscopia de epifluorescencia en los frotis húmedos teñidos con bromuro de etidio y naranja de acridina se observaron células viables de color verde y células apoptóticas de color anaranjado. Las células apoptóticas presentaron zeiosis, fragmentación nuclear y en algunas se apreció la formación de cuerpos apoptóticos. Los valores  de inducción de</w:t>
      </w:r>
    </w:p>
    <w:p>
      <w:pPr>
        <w:pStyle w:val="BodyText"/>
        <w:spacing w:before="8"/>
        <w:ind w:left="159"/>
      </w:pPr>
      <w:r>
        <w:rPr/>
        <w:t>apoptosis fueron, CP5 52.78±3.29, CP8 41.33±2.32 y CC 26.5±1.65</w:t>
      </w:r>
    </w:p>
    <w:p>
      <w:pPr>
        <w:spacing w:after="0"/>
        <w:sectPr>
          <w:pgSz w:w="12240" w:h="15840"/>
          <w:pgMar w:header="726" w:footer="1527" w:top="1200" w:bottom="1720" w:left="1540" w:right="1540"/>
        </w:sectPr>
      </w:pPr>
    </w:p>
    <w:p>
      <w:pPr>
        <w:pStyle w:val="BodyText"/>
        <w:spacing w:before="8"/>
        <w:rPr>
          <w:sz w:val="15"/>
        </w:rPr>
      </w:pPr>
    </w:p>
    <w:p>
      <w:pPr>
        <w:pStyle w:val="BodyText"/>
        <w:spacing w:line="480" w:lineRule="auto" w:before="69"/>
        <w:ind w:left="159" w:right="168"/>
      </w:pPr>
      <w:r>
        <w:rPr/>
        <w:t>respectivamente (p&lt;0.05) (Figura 2). En las técnicas de microscopia de campo claro y epifluorescencia se observaron diferencias entre los tratamientos con respecto al grupo de control (p&lt;0.05).</w:t>
      </w:r>
    </w:p>
    <w:p>
      <w:pPr>
        <w:pStyle w:val="Heading3"/>
        <w:spacing w:before="3"/>
      </w:pPr>
      <w:r>
        <w:rPr/>
        <w:t>DISCUSIÓN</w:t>
      </w:r>
    </w:p>
    <w:p>
      <w:pPr>
        <w:pStyle w:val="BodyText"/>
        <w:spacing w:before="4"/>
        <w:rPr>
          <w:b/>
        </w:rPr>
      </w:pPr>
    </w:p>
    <w:p>
      <w:pPr>
        <w:pStyle w:val="BodyText"/>
        <w:spacing w:line="480" w:lineRule="auto" w:before="1"/>
        <w:ind w:left="159" w:right="194"/>
      </w:pPr>
      <w:r>
        <w:rPr/>
        <w:t>Mediante las técnicas de los ensayos </w:t>
      </w:r>
      <w:r>
        <w:rPr>
          <w:i/>
          <w:spacing w:val="-3"/>
        </w:rPr>
        <w:t>in </w:t>
      </w:r>
      <w:r>
        <w:rPr>
          <w:i/>
        </w:rPr>
        <w:t>vitro </w:t>
      </w:r>
      <w:r>
        <w:rPr/>
        <w:t>con neutrófilos obtenidos de sangre en las vacas lecheras estudiadas fue posible evaluar la actividad </w:t>
      </w:r>
      <w:r>
        <w:rPr>
          <w:i/>
          <w:spacing w:val="-3"/>
        </w:rPr>
        <w:t>in </w:t>
      </w:r>
      <w:r>
        <w:rPr>
          <w:i/>
        </w:rPr>
        <w:t>vitro </w:t>
      </w:r>
      <w:r>
        <w:rPr/>
        <w:t>de fagocitosis e inducción de apoptosis ante la presencia de </w:t>
      </w:r>
      <w:r>
        <w:rPr>
          <w:i/>
        </w:rPr>
        <w:t>S. aureus </w:t>
      </w:r>
      <w:r>
        <w:rPr/>
        <w:t>CP5 y CP8. En estudios realizados con </w:t>
      </w:r>
      <w:r>
        <w:rPr>
          <w:spacing w:val="-2"/>
        </w:rPr>
        <w:t>PMN </w:t>
      </w:r>
      <w:r>
        <w:rPr/>
        <w:t>aislados de sangre de vacas en el </w:t>
      </w:r>
      <w:r>
        <w:rPr>
          <w:spacing w:val="-3"/>
        </w:rPr>
        <w:t>mismo </w:t>
      </w:r>
      <w:r>
        <w:rPr/>
        <w:t>periodo de lactación, al empleado en este estudio; fue posible obtener alta viabilidad</w:t>
      </w:r>
      <w:r>
        <w:rPr>
          <w:spacing w:val="-22"/>
        </w:rPr>
        <w:t> </w:t>
      </w:r>
      <w:r>
        <w:rPr/>
        <w:t>y</w:t>
      </w:r>
    </w:p>
    <w:p>
      <w:pPr>
        <w:pStyle w:val="BodyText"/>
        <w:spacing w:line="448" w:lineRule="auto" w:before="8"/>
        <w:ind w:left="159" w:right="194"/>
      </w:pPr>
      <w:r>
        <w:rPr/>
        <w:t>pureza de los </w:t>
      </w:r>
      <w:r>
        <w:rPr>
          <w:spacing w:val="-2"/>
        </w:rPr>
        <w:t>PMN </w:t>
      </w:r>
      <w:r>
        <w:rPr/>
        <w:t>para realizar los estudios </w:t>
      </w:r>
      <w:r>
        <w:rPr>
          <w:i/>
          <w:spacing w:val="-3"/>
        </w:rPr>
        <w:t>in </w:t>
      </w:r>
      <w:r>
        <w:rPr>
          <w:i/>
        </w:rPr>
        <w:t>vitro </w:t>
      </w:r>
      <w:r>
        <w:rPr/>
        <w:t>de apoptosis inducida por CP5 Y CP8. A diferencia de los estudios de Piepers et al, </w:t>
      </w:r>
      <w:r>
        <w:rPr>
          <w:position w:val="11"/>
          <w:sz w:val="16"/>
        </w:rPr>
        <w:t>(24) </w:t>
      </w:r>
      <w:r>
        <w:rPr/>
        <w:t>y Van Oostveldt et</w:t>
      </w:r>
      <w:r>
        <w:rPr>
          <w:spacing w:val="6"/>
        </w:rPr>
        <w:t> </w:t>
      </w:r>
      <w:r>
        <w:rPr/>
        <w:t>al,</w:t>
      </w:r>
    </w:p>
    <w:p>
      <w:pPr>
        <w:pStyle w:val="BodyText"/>
        <w:spacing w:line="286" w:lineRule="exact"/>
        <w:ind w:left="159"/>
      </w:pPr>
      <w:r>
        <w:rPr>
          <w:position w:val="11"/>
          <w:sz w:val="16"/>
        </w:rPr>
        <w:t>(25) </w:t>
      </w:r>
      <w:r>
        <w:rPr/>
        <w:t>quienes estudiaron la apoptosis de PMN y  su relación con el periodo de</w:t>
      </w:r>
    </w:p>
    <w:p>
      <w:pPr>
        <w:pStyle w:val="BodyText"/>
      </w:pPr>
    </w:p>
    <w:p>
      <w:pPr>
        <w:pStyle w:val="BodyText"/>
        <w:ind w:left="159" w:right="3245"/>
      </w:pPr>
      <w:r>
        <w:rPr/>
        <w:t>lactación y etapa de producción en vacas lecheras.</w:t>
      </w:r>
    </w:p>
    <w:p>
      <w:pPr>
        <w:pStyle w:val="BodyText"/>
      </w:pPr>
    </w:p>
    <w:p>
      <w:pPr>
        <w:pStyle w:val="BodyText"/>
        <w:spacing w:line="480" w:lineRule="auto"/>
        <w:ind w:left="159" w:right="843"/>
        <w:jc w:val="both"/>
      </w:pPr>
      <w:r>
        <w:rPr/>
        <w:t>Mediante la técnica de microscopia de campo claro y de epifluorescencia se determinó la viabilidad de los PMN en el ensayo </w:t>
      </w:r>
      <w:r>
        <w:rPr>
          <w:i/>
        </w:rPr>
        <w:t>in vitro </w:t>
      </w:r>
      <w:r>
        <w:rPr/>
        <w:t>y la presencia de las células y los cambios relacionados con la apoptosis temprana y tardía.</w:t>
      </w:r>
    </w:p>
    <w:p>
      <w:pPr>
        <w:pStyle w:val="BodyText"/>
        <w:spacing w:line="480" w:lineRule="auto" w:before="8"/>
        <w:ind w:left="159" w:right="175"/>
      </w:pPr>
      <w:r>
        <w:rPr/>
        <w:t>En el grupo control C(+) se observaron células apoptóticas identificadas por la condensación nuclear, algunas otras presentaban fragmentación nuclear y en otras ya había formación de cuerpos apoptóticos. En los grupos experimentales CP5 y CP8 se identificaron </w:t>
      </w:r>
      <w:r>
        <w:rPr>
          <w:spacing w:val="-2"/>
        </w:rPr>
        <w:t>PMN </w:t>
      </w:r>
      <w:r>
        <w:rPr/>
        <w:t>que presentaban características morfológicas de células apoptóticas; zeiosis, cariopicnosis, fragmentación nuclear, formación de cuerpos apoptóticos. Las diferencias observadas entre los tratamientos CP5 y</w:t>
      </w:r>
      <w:r>
        <w:rPr>
          <w:spacing w:val="-39"/>
        </w:rPr>
        <w:t> </w:t>
      </w:r>
      <w:r>
        <w:rPr/>
        <w:t>CP8</w:t>
      </w:r>
    </w:p>
    <w:p>
      <w:pPr>
        <w:pStyle w:val="BodyText"/>
        <w:spacing w:before="8"/>
        <w:ind w:left="159"/>
      </w:pPr>
      <w:r>
        <w:rPr/>
        <w:t>son importantes para explicar el desarrollo de la infección por </w:t>
      </w:r>
      <w:r>
        <w:rPr>
          <w:i/>
        </w:rPr>
        <w:t>S. aureus</w:t>
      </w:r>
      <w:r>
        <w:rPr/>
        <w:t>, al mostrar</w:t>
      </w:r>
    </w:p>
    <w:p>
      <w:pPr>
        <w:spacing w:after="0"/>
        <w:sectPr>
          <w:pgSz w:w="12240" w:h="15840"/>
          <w:pgMar w:header="726" w:footer="1527" w:top="1200" w:bottom="1720" w:left="1540" w:right="1540"/>
        </w:sectPr>
      </w:pPr>
    </w:p>
    <w:p>
      <w:pPr>
        <w:pStyle w:val="BodyText"/>
        <w:spacing w:before="8"/>
        <w:rPr>
          <w:sz w:val="15"/>
        </w:rPr>
      </w:pPr>
    </w:p>
    <w:p>
      <w:pPr>
        <w:pStyle w:val="BodyText"/>
        <w:spacing w:line="480" w:lineRule="auto" w:before="69"/>
        <w:ind w:left="159" w:right="168"/>
      </w:pPr>
      <w:r>
        <w:rPr/>
        <w:t>que CP5 induce una mayor apoptosis que caracteriza a la CP5 de mayor patogenicidad en las vacas lecheras estudiadas. Las diferencias observadas entre la actividad de fagocitosis en los neutrófilos bovinos sobre CP5 y CP8, influyen sobre la inducción de la apoptosis, es posible que estas diferencias observadas en la actividad de fagocitosis PMN, sean menores al ser estimuladas por la</w:t>
      </w:r>
    </w:p>
    <w:p>
      <w:pPr>
        <w:pStyle w:val="BodyText"/>
        <w:spacing w:line="284" w:lineRule="exact"/>
        <w:ind w:left="159"/>
      </w:pPr>
      <w:r>
        <w:rPr/>
        <w:t>opsonización en presencia de anticuerpos y complemento </w:t>
      </w:r>
      <w:r>
        <w:rPr>
          <w:position w:val="11"/>
          <w:sz w:val="16"/>
        </w:rPr>
        <w:t>(26,27)</w:t>
      </w:r>
      <w:r>
        <w:rPr/>
        <w:t>. En el estudio se</w:t>
      </w:r>
    </w:p>
    <w:p>
      <w:pPr>
        <w:pStyle w:val="BodyText"/>
      </w:pPr>
    </w:p>
    <w:p>
      <w:pPr>
        <w:pStyle w:val="BodyText"/>
        <w:spacing w:line="480" w:lineRule="auto"/>
        <w:ind w:left="159" w:right="455"/>
      </w:pPr>
      <w:r>
        <w:rPr/>
        <w:t>demostró que CP5 de </w:t>
      </w:r>
      <w:r>
        <w:rPr>
          <w:i/>
        </w:rPr>
        <w:t>S. aureus </w:t>
      </w:r>
      <w:r>
        <w:rPr/>
        <w:t>indujo un porcentaje mayor de apoptosis en los PMN aislados de sangre en vacas lecheras en comparación con el CP8.</w:t>
      </w:r>
    </w:p>
    <w:p>
      <w:pPr>
        <w:pStyle w:val="BodyText"/>
        <w:spacing w:line="472" w:lineRule="auto" w:before="8"/>
        <w:ind w:left="159" w:right="154"/>
        <w:jc w:val="both"/>
      </w:pPr>
      <w:r>
        <w:rPr/>
        <w:t>Lo anterior permite considerar al CP5 como el serotipo capsular de mayor virulencia en los bovinos lecheros, de acuerdo a los estudios realizados por Kampen et al</w:t>
      </w:r>
      <w:r>
        <w:rPr>
          <w:i/>
        </w:rPr>
        <w:t>. </w:t>
      </w:r>
      <w:r>
        <w:rPr>
          <w:position w:val="11"/>
          <w:sz w:val="16"/>
        </w:rPr>
        <w:t>(28)</w:t>
      </w:r>
      <w:r>
        <w:rPr/>
        <w:t>, quienes demostraron que cepas no capsuladas de </w:t>
      </w:r>
      <w:r>
        <w:rPr>
          <w:i/>
        </w:rPr>
        <w:t>S. aureus </w:t>
      </w:r>
      <w:r>
        <w:rPr/>
        <w:t>estimulan la actividad del estallido respiratorio en neutrófilos bovinos, mientras que las cepas capsuladas estimulan pobremente la actividad.</w:t>
      </w:r>
    </w:p>
    <w:p>
      <w:pPr>
        <w:pStyle w:val="BodyText"/>
        <w:spacing w:line="292" w:lineRule="exact"/>
        <w:ind w:left="159"/>
      </w:pPr>
      <w:r>
        <w:rPr/>
        <w:t>Asimismo Watts et al. </w:t>
      </w:r>
      <w:r>
        <w:rPr>
          <w:position w:val="11"/>
          <w:sz w:val="16"/>
        </w:rPr>
        <w:t>(29)  </w:t>
      </w:r>
      <w:r>
        <w:rPr/>
        <w:t>observaron que la cepa de </w:t>
      </w:r>
      <w:r>
        <w:rPr>
          <w:i/>
        </w:rPr>
        <w:t>S. aureus </w:t>
      </w:r>
      <w:r>
        <w:rPr/>
        <w:t>CP5 a   diferencias</w:t>
      </w:r>
    </w:p>
    <w:p>
      <w:pPr>
        <w:pStyle w:val="BodyText"/>
      </w:pPr>
    </w:p>
    <w:p>
      <w:pPr>
        <w:pStyle w:val="BodyText"/>
        <w:spacing w:line="480" w:lineRule="auto"/>
        <w:ind w:left="159"/>
      </w:pPr>
      <w:r>
        <w:rPr/>
        <w:t>de la cepas con el tipo capsulares 8, tienen mayor sobrevivencia en neutrófilos obtenidos de sangre de ratón.</w:t>
      </w:r>
    </w:p>
    <w:p>
      <w:pPr>
        <w:pStyle w:val="BodyText"/>
        <w:spacing w:line="472" w:lineRule="auto" w:before="8"/>
        <w:ind w:left="159" w:right="168"/>
      </w:pPr>
      <w:r>
        <w:rPr/>
        <w:t>La activación de la NADPH oxidasa y la generación de oxidantes en el fagosoma del neutrófilo humano y murino frente a </w:t>
      </w:r>
      <w:r>
        <w:rPr>
          <w:i/>
        </w:rPr>
        <w:t>S. aureus</w:t>
      </w:r>
      <w:r>
        <w:rPr/>
        <w:t>, previene la activación de la cascada de caspasas citoplasmáticas que induce la apoptosis vías intracelular y extracelular</w:t>
      </w:r>
      <w:r>
        <w:rPr>
          <w:position w:val="11"/>
          <w:sz w:val="16"/>
        </w:rPr>
        <w:t>(30)</w:t>
      </w:r>
      <w:r>
        <w:rPr/>
        <w:t>. Nilsdotter-Augustinsson et al. </w:t>
      </w:r>
      <w:r>
        <w:rPr>
          <w:position w:val="11"/>
          <w:sz w:val="16"/>
        </w:rPr>
        <w:t>(31)</w:t>
      </w:r>
      <w:r>
        <w:rPr/>
        <w:t>, consideran una característica importante de la virulencia de </w:t>
      </w:r>
      <w:r>
        <w:rPr>
          <w:i/>
        </w:rPr>
        <w:t>S. aureus </w:t>
      </w:r>
      <w:r>
        <w:rPr/>
        <w:t>la modulación de la apoptosis de los</w:t>
      </w:r>
    </w:p>
    <w:p>
      <w:pPr>
        <w:pStyle w:val="BodyText"/>
        <w:spacing w:before="16"/>
        <w:ind w:left="159" w:right="3245"/>
      </w:pPr>
      <w:r>
        <w:rPr/>
        <w:t>neutrófilos aislados de sangre humana.</w:t>
      </w:r>
    </w:p>
    <w:p>
      <w:pPr>
        <w:spacing w:after="0"/>
        <w:sectPr>
          <w:pgSz w:w="12240" w:h="15840"/>
          <w:pgMar w:header="726" w:footer="1527" w:top="1200" w:bottom="1720" w:left="1540" w:right="1540"/>
        </w:sectPr>
      </w:pPr>
    </w:p>
    <w:p>
      <w:pPr>
        <w:pStyle w:val="BodyText"/>
        <w:spacing w:before="8"/>
        <w:rPr>
          <w:sz w:val="15"/>
        </w:rPr>
      </w:pPr>
    </w:p>
    <w:p>
      <w:pPr>
        <w:pStyle w:val="BodyText"/>
        <w:spacing w:line="475" w:lineRule="auto" w:before="69"/>
        <w:ind w:left="159" w:right="135"/>
      </w:pPr>
      <w:r>
        <w:rPr/>
        <w:t>En PMN con cambios típicos de la apoptosis se presentan  a las 24hr después de la estimulación con un análogo sintético del péptido de muramil dentro del tejido mamario en las vacas jóvenes </w:t>
      </w:r>
      <w:r>
        <w:rPr>
          <w:position w:val="11"/>
          <w:sz w:val="16"/>
        </w:rPr>
        <w:t>(32)</w:t>
      </w:r>
      <w:r>
        <w:rPr/>
        <w:t>. Así mismo, después de 24 hrs de la administración de una solución PBS (Phosphate Buffered Saline) y lipopolisacáridos (LPS) administrada en la glándula mamaria, se observaron alteraciones típicas de la apoptosis en los PMN aunque el pico más alto se produjo</w:t>
      </w:r>
    </w:p>
    <w:p>
      <w:pPr>
        <w:pStyle w:val="BodyText"/>
        <w:spacing w:line="480" w:lineRule="auto" w:before="13"/>
        <w:ind w:left="159"/>
      </w:pPr>
      <w:r>
        <w:rPr/>
        <w:t>a las 48 hrs postratamiento. En nuestro caso los cambios típicos se presentaron a partir de una hora de incubación </w:t>
      </w:r>
      <w:r>
        <w:rPr>
          <w:i/>
        </w:rPr>
        <w:t>in vitro </w:t>
      </w:r>
      <w:r>
        <w:rPr/>
        <w:t>con las cepas de trabajo.</w:t>
      </w:r>
    </w:p>
    <w:p>
      <w:pPr>
        <w:pStyle w:val="Heading3"/>
        <w:spacing w:before="3"/>
      </w:pPr>
      <w:r>
        <w:rPr/>
        <w:t>CONCLUSIONES E IMPLICACIONES</w:t>
      </w:r>
    </w:p>
    <w:p>
      <w:pPr>
        <w:pStyle w:val="BodyText"/>
        <w:spacing w:before="4"/>
        <w:rPr>
          <w:b/>
        </w:rPr>
      </w:pPr>
    </w:p>
    <w:p>
      <w:pPr>
        <w:pStyle w:val="BodyText"/>
        <w:spacing w:line="480" w:lineRule="auto" w:before="1"/>
        <w:ind w:left="159"/>
      </w:pPr>
      <w:r>
        <w:rPr/>
        <w:t>Los resultados obtenidos en este estudio confirman que la cápsula es un factor de virulencia del </w:t>
      </w:r>
      <w:r>
        <w:rPr>
          <w:i/>
        </w:rPr>
        <w:t>S. aureus </w:t>
      </w:r>
      <w:r>
        <w:rPr/>
        <w:t>que afecta la actividad de fagocitosis, al reducir el IFN e inducir el proceso de apoptosis en los PMN de bovinos.</w:t>
      </w:r>
    </w:p>
    <w:p>
      <w:pPr>
        <w:pStyle w:val="BodyText"/>
        <w:spacing w:line="480" w:lineRule="auto" w:before="8"/>
        <w:ind w:left="159" w:right="211"/>
      </w:pPr>
      <w:r>
        <w:rPr/>
        <w:t>El índice de fagocitosis de los neutrófilos bovinos fue mayor en cepas compactas comparado con cepas capsulares. Las cepas tipo capsular 8 son fagocitadas por los neutrófilos de bovinos lecheros en mayor proporción que las cepas tipo capsular 5. La cepas tipo compacta mostraron menor inducción de apoptosis que las cepas tipo capsular. Las cepas capsulares 5 mostraron una mayor inducción de apoptosis con respecto a las cepas capsulares 8. Existen diferencias entre las cepas compactas y cepas capsulares en su capacidad para inducir apoptosis </w:t>
      </w:r>
      <w:r>
        <w:rPr>
          <w:i/>
          <w:spacing w:val="-3"/>
        </w:rPr>
        <w:t>in </w:t>
      </w:r>
      <w:r>
        <w:rPr>
          <w:i/>
        </w:rPr>
        <w:t>vitro </w:t>
      </w:r>
      <w:r>
        <w:rPr/>
        <w:t>de neutrófilos. Lo cual podría estar relacionado con su capacidad para</w:t>
      </w:r>
      <w:r>
        <w:rPr>
          <w:spacing w:val="-28"/>
        </w:rPr>
        <w:t> </w:t>
      </w:r>
      <w:r>
        <w:rPr/>
        <w:t>causar daño en la glándula</w:t>
      </w:r>
      <w:r>
        <w:rPr>
          <w:spacing w:val="-8"/>
        </w:rPr>
        <w:t> </w:t>
      </w:r>
      <w:r>
        <w:rPr/>
        <w:t>mamaria</w:t>
      </w:r>
      <w:r>
        <w:rPr>
          <w:color w:val="FF0000"/>
        </w:rPr>
        <w:t>.</w:t>
      </w:r>
    </w:p>
    <w:p>
      <w:pPr>
        <w:spacing w:after="0" w:line="480" w:lineRule="auto"/>
        <w:sectPr>
          <w:pgSz w:w="12240" w:h="15840"/>
          <w:pgMar w:header="726" w:footer="1527" w:top="1200" w:bottom="1720" w:left="1540" w:right="15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3"/>
        <w:spacing w:before="200"/>
      </w:pPr>
      <w:r>
        <w:rPr/>
        <w:t>AGRADECIMIENTOS</w:t>
      </w:r>
    </w:p>
    <w:p>
      <w:pPr>
        <w:pStyle w:val="BodyText"/>
        <w:spacing w:before="4"/>
        <w:rPr>
          <w:b/>
        </w:rPr>
      </w:pPr>
    </w:p>
    <w:p>
      <w:pPr>
        <w:pStyle w:val="BodyText"/>
        <w:spacing w:line="480" w:lineRule="auto" w:before="1"/>
        <w:ind w:left="159" w:right="209"/>
      </w:pPr>
      <w:r>
        <w:rPr/>
        <w:t>Al Consejo Nacional de Ciencia y Tecnología CONACYT por la beca otorgada para cursar los estudios de Posgrado en el Programa de Ciencia Agropecuarias y Recursos Naturales de la Universidad Autónoma del Estado de México (PCARN- UAEM). Al PROMEP-Secretaría de Educación Pública (SEP) por el financiamiento otorgado al proyecto de investigación de fortalecimiento de Cuerpos Académicos "Caracterización genotípica de </w:t>
      </w:r>
      <w:r>
        <w:rPr>
          <w:i/>
        </w:rPr>
        <w:t>Staphylococcus aureus </w:t>
      </w:r>
      <w:r>
        <w:rPr/>
        <w:t>de tipo capsular en aislamientos obtenidos de hatos lecheros de producción familiar del valle de Toluca" y a la Secretaría de Investigación de la UAEM en el proyecto "Variación genético de aislamientos de </w:t>
      </w:r>
      <w:r>
        <w:rPr>
          <w:i/>
        </w:rPr>
        <w:t>S. aureus </w:t>
      </w:r>
      <w:r>
        <w:rPr/>
        <w:t>MRSA obtenidos de vacas lecheras en unidades de producción familiar conclave 2582.</w:t>
      </w:r>
    </w:p>
    <w:p>
      <w:pPr>
        <w:spacing w:after="0" w:line="480" w:lineRule="auto"/>
        <w:sectPr>
          <w:pgSz w:w="12240" w:h="15840"/>
          <w:pgMar w:header="726" w:footer="1527" w:top="1200" w:bottom="1720" w:left="1540" w:right="1540"/>
        </w:sectPr>
      </w:pPr>
    </w:p>
    <w:p>
      <w:pPr>
        <w:pStyle w:val="BodyText"/>
        <w:spacing w:before="3"/>
        <w:rPr>
          <w:sz w:val="15"/>
        </w:rPr>
      </w:pPr>
    </w:p>
    <w:p>
      <w:pPr>
        <w:pStyle w:val="Heading3"/>
        <w:spacing w:before="69"/>
        <w:ind w:left="139" w:right="0"/>
      </w:pPr>
      <w:r>
        <w:rPr/>
        <w:t>LITERATURA CITADA</w:t>
      </w:r>
    </w:p>
    <w:p>
      <w:pPr>
        <w:pStyle w:val="BodyText"/>
        <w:spacing w:before="4"/>
        <w:rPr>
          <w:b/>
        </w:rPr>
      </w:pPr>
    </w:p>
    <w:p>
      <w:pPr>
        <w:pStyle w:val="ListParagraph"/>
        <w:numPr>
          <w:ilvl w:val="0"/>
          <w:numId w:val="9"/>
        </w:numPr>
        <w:tabs>
          <w:tab w:pos="408" w:val="left" w:leader="none"/>
        </w:tabs>
        <w:spacing w:line="480" w:lineRule="auto" w:before="1" w:after="0"/>
        <w:ind w:left="139" w:right="508" w:firstLine="0"/>
        <w:jc w:val="left"/>
        <w:rPr>
          <w:sz w:val="24"/>
        </w:rPr>
      </w:pPr>
      <w:r>
        <w:rPr>
          <w:sz w:val="24"/>
        </w:rPr>
        <w:t>Hogan JS, Smith KL, Weiss </w:t>
      </w:r>
      <w:r>
        <w:rPr>
          <w:spacing w:val="2"/>
          <w:sz w:val="24"/>
        </w:rPr>
        <w:t>WP, </w:t>
      </w:r>
      <w:r>
        <w:rPr>
          <w:sz w:val="24"/>
        </w:rPr>
        <w:t>Todhunter DA, Schockey </w:t>
      </w:r>
      <w:r>
        <w:rPr>
          <w:spacing w:val="2"/>
          <w:sz w:val="24"/>
        </w:rPr>
        <w:t>WL.</w:t>
      </w:r>
      <w:r>
        <w:rPr>
          <w:spacing w:val="-40"/>
          <w:sz w:val="24"/>
        </w:rPr>
        <w:t> </w:t>
      </w:r>
      <w:r>
        <w:rPr>
          <w:sz w:val="24"/>
        </w:rPr>
        <w:t>Relationships among vitamin E, selenium, and bovine blood neutrophils. J Dairy </w:t>
      </w:r>
      <w:r>
        <w:rPr>
          <w:spacing w:val="-3"/>
          <w:sz w:val="24"/>
        </w:rPr>
        <w:t>Sci </w:t>
      </w:r>
      <w:r>
        <w:rPr>
          <w:sz w:val="24"/>
        </w:rPr>
        <w:t>1990;73(9):2372-2378.</w:t>
      </w:r>
    </w:p>
    <w:p>
      <w:pPr>
        <w:pStyle w:val="ListParagraph"/>
        <w:numPr>
          <w:ilvl w:val="0"/>
          <w:numId w:val="9"/>
        </w:numPr>
        <w:tabs>
          <w:tab w:pos="408" w:val="left" w:leader="none"/>
        </w:tabs>
        <w:spacing w:line="480" w:lineRule="auto" w:before="8" w:after="0"/>
        <w:ind w:left="139" w:right="699" w:firstLine="0"/>
        <w:jc w:val="left"/>
        <w:rPr>
          <w:sz w:val="24"/>
        </w:rPr>
      </w:pPr>
      <w:r>
        <w:rPr>
          <w:sz w:val="24"/>
        </w:rPr>
        <w:t>Sutra L, Poutrel B. Virulence factors involved in the pathogenesis of bovine intramammary infections due to </w:t>
      </w:r>
      <w:r>
        <w:rPr>
          <w:i/>
          <w:sz w:val="24"/>
        </w:rPr>
        <w:t>Staphylococcus aureus. </w:t>
      </w:r>
      <w:r>
        <w:rPr>
          <w:sz w:val="24"/>
        </w:rPr>
        <w:t>J Med Microbiol 1994;40:79-89</w:t>
      </w:r>
    </w:p>
    <w:p>
      <w:pPr>
        <w:pStyle w:val="ListParagraph"/>
        <w:numPr>
          <w:ilvl w:val="0"/>
          <w:numId w:val="9"/>
        </w:numPr>
        <w:tabs>
          <w:tab w:pos="409" w:val="left" w:leader="none"/>
        </w:tabs>
        <w:spacing w:line="480" w:lineRule="auto" w:before="8" w:after="0"/>
        <w:ind w:left="139" w:right="183" w:firstLine="0"/>
        <w:jc w:val="left"/>
        <w:rPr>
          <w:sz w:val="24"/>
        </w:rPr>
      </w:pPr>
      <w:r>
        <w:rPr>
          <w:sz w:val="24"/>
        </w:rPr>
        <w:t>Verdier I, Durand G, Bes M, Taylor KL, Lina G, Vandenesch F, Fattom AI y Etienne J. Identification of the Capsular Polysaccharides in </w:t>
      </w:r>
      <w:r>
        <w:rPr>
          <w:i/>
          <w:sz w:val="24"/>
        </w:rPr>
        <w:t>Staphylococcus aureus </w:t>
      </w:r>
      <w:r>
        <w:rPr>
          <w:sz w:val="24"/>
        </w:rPr>
        <w:t>Clinical Isolates by PCR and Agglutination Tests. J Clin Microbiol 2007;45(3):725– 729.5.</w:t>
      </w:r>
    </w:p>
    <w:p>
      <w:pPr>
        <w:pStyle w:val="ListParagraph"/>
        <w:numPr>
          <w:ilvl w:val="0"/>
          <w:numId w:val="9"/>
        </w:numPr>
        <w:tabs>
          <w:tab w:pos="409" w:val="left" w:leader="none"/>
        </w:tabs>
        <w:spacing w:line="480" w:lineRule="auto" w:before="8" w:after="0"/>
        <w:ind w:left="139" w:right="382" w:firstLine="0"/>
        <w:jc w:val="left"/>
        <w:rPr>
          <w:sz w:val="24"/>
        </w:rPr>
      </w:pPr>
      <w:r>
        <w:rPr>
          <w:sz w:val="24"/>
        </w:rPr>
        <w:t>O'Riordan K, Lee JC. </w:t>
      </w:r>
      <w:r>
        <w:rPr>
          <w:i/>
          <w:sz w:val="24"/>
        </w:rPr>
        <w:t>Staphylococcus aureus </w:t>
      </w:r>
      <w:r>
        <w:rPr>
          <w:sz w:val="24"/>
        </w:rPr>
        <w:t>Capsular Polysaccharides. Clin Microbiol Rev</w:t>
      </w:r>
      <w:r>
        <w:rPr>
          <w:spacing w:val="-11"/>
          <w:sz w:val="24"/>
        </w:rPr>
        <w:t> </w:t>
      </w:r>
      <w:r>
        <w:rPr>
          <w:sz w:val="24"/>
        </w:rPr>
        <w:t>2004;17(1):218–234</w:t>
      </w:r>
    </w:p>
    <w:p>
      <w:pPr>
        <w:pStyle w:val="ListParagraph"/>
        <w:numPr>
          <w:ilvl w:val="0"/>
          <w:numId w:val="9"/>
        </w:numPr>
        <w:tabs>
          <w:tab w:pos="408" w:val="left" w:leader="none"/>
        </w:tabs>
        <w:spacing w:line="480" w:lineRule="auto" w:before="8" w:after="0"/>
        <w:ind w:left="139" w:right="278" w:firstLine="0"/>
        <w:jc w:val="left"/>
        <w:rPr>
          <w:sz w:val="24"/>
        </w:rPr>
      </w:pPr>
      <w:r>
        <w:rPr>
          <w:sz w:val="24"/>
        </w:rPr>
        <w:t>Rinaldi M, Moroni P, Leino L, Laihia J, Paape MJ, Bannerman DD. Effect of</w:t>
      </w:r>
      <w:r>
        <w:rPr>
          <w:spacing w:val="-38"/>
          <w:sz w:val="24"/>
        </w:rPr>
        <w:t> </w:t>
      </w:r>
      <w:r>
        <w:rPr>
          <w:spacing w:val="3"/>
          <w:sz w:val="24"/>
        </w:rPr>
        <w:t>cis- </w:t>
      </w:r>
      <w:r>
        <w:rPr>
          <w:sz w:val="24"/>
        </w:rPr>
        <w:t>urocanic acid on bovine neutrophil generation of reactive oxygen species. J Dairy Sci</w:t>
      </w:r>
      <w:r>
        <w:rPr>
          <w:spacing w:val="-7"/>
          <w:sz w:val="24"/>
        </w:rPr>
        <w:t> </w:t>
      </w:r>
      <w:r>
        <w:rPr>
          <w:sz w:val="24"/>
        </w:rPr>
        <w:t>2006;89(11):4188-4201.</w:t>
      </w:r>
    </w:p>
    <w:p>
      <w:pPr>
        <w:pStyle w:val="ListParagraph"/>
        <w:numPr>
          <w:ilvl w:val="0"/>
          <w:numId w:val="9"/>
        </w:numPr>
        <w:tabs>
          <w:tab w:pos="408" w:val="left" w:leader="none"/>
        </w:tabs>
        <w:spacing w:line="480" w:lineRule="auto" w:before="8" w:after="0"/>
        <w:ind w:left="139" w:right="845" w:firstLine="0"/>
        <w:jc w:val="left"/>
        <w:rPr>
          <w:sz w:val="24"/>
        </w:rPr>
      </w:pPr>
      <w:r>
        <w:rPr>
          <w:sz w:val="24"/>
        </w:rPr>
        <w:t>Bannerman DD, Paape MJ, Lee JW, Zhao X, Hope JC, Rainard P. </w:t>
      </w:r>
      <w:r>
        <w:rPr>
          <w:i/>
          <w:sz w:val="24"/>
        </w:rPr>
        <w:t>Escherichia coli </w:t>
      </w:r>
      <w:r>
        <w:rPr>
          <w:sz w:val="24"/>
        </w:rPr>
        <w:t>and </w:t>
      </w:r>
      <w:r>
        <w:rPr>
          <w:i/>
          <w:sz w:val="24"/>
        </w:rPr>
        <w:t>Staphylococcus aureus </w:t>
      </w:r>
      <w:r>
        <w:rPr>
          <w:sz w:val="24"/>
        </w:rPr>
        <w:t>Elicit Differential Innate </w:t>
      </w:r>
      <w:r>
        <w:rPr>
          <w:spacing w:val="-2"/>
          <w:sz w:val="24"/>
        </w:rPr>
        <w:t>Immune </w:t>
      </w:r>
      <w:r>
        <w:rPr>
          <w:sz w:val="24"/>
        </w:rPr>
        <w:t>Responses following Intramammary Infection. Clin Diagn Lab Immunol 2004;11:463-472</w:t>
      </w:r>
    </w:p>
    <w:p>
      <w:pPr>
        <w:pStyle w:val="ListParagraph"/>
        <w:numPr>
          <w:ilvl w:val="0"/>
          <w:numId w:val="9"/>
        </w:numPr>
        <w:tabs>
          <w:tab w:pos="408" w:val="left" w:leader="none"/>
        </w:tabs>
        <w:spacing w:line="480" w:lineRule="auto" w:before="8" w:after="0"/>
        <w:ind w:left="139" w:right="261" w:firstLine="0"/>
        <w:jc w:val="left"/>
        <w:rPr>
          <w:sz w:val="24"/>
        </w:rPr>
      </w:pPr>
      <w:r>
        <w:rPr>
          <w:sz w:val="24"/>
        </w:rPr>
        <w:t>Rysanek D, Sediva I, Sladek Z, Babak V. Intramammary infections of</w:t>
      </w:r>
      <w:r>
        <w:rPr>
          <w:spacing w:val="-34"/>
          <w:sz w:val="24"/>
        </w:rPr>
        <w:t> </w:t>
      </w:r>
      <w:r>
        <w:rPr>
          <w:sz w:val="24"/>
        </w:rPr>
        <w:t>mammary glands in unbred heifers: absolute and differential somatic cell counts. Veterinarni Medicina</w:t>
      </w:r>
      <w:r>
        <w:rPr>
          <w:spacing w:val="-9"/>
          <w:sz w:val="24"/>
        </w:rPr>
        <w:t> </w:t>
      </w:r>
      <w:r>
        <w:rPr>
          <w:sz w:val="24"/>
        </w:rPr>
        <w:t>1999;44:199-203</w:t>
      </w:r>
    </w:p>
    <w:p>
      <w:pPr>
        <w:spacing w:after="0" w:line="480" w:lineRule="auto"/>
        <w:jc w:val="left"/>
        <w:rPr>
          <w:sz w:val="24"/>
        </w:rPr>
        <w:sectPr>
          <w:footerReference w:type="default" r:id="rId44"/>
          <w:pgSz w:w="12240" w:h="15840"/>
          <w:pgMar w:footer="1487" w:header="726" w:top="1200" w:bottom="1680" w:left="1560" w:right="1560"/>
          <w:pgNumType w:start="51"/>
        </w:sectPr>
      </w:pPr>
    </w:p>
    <w:p>
      <w:pPr>
        <w:pStyle w:val="BodyText"/>
        <w:spacing w:before="8"/>
        <w:rPr>
          <w:sz w:val="15"/>
        </w:rPr>
      </w:pPr>
    </w:p>
    <w:p>
      <w:pPr>
        <w:pStyle w:val="ListParagraph"/>
        <w:numPr>
          <w:ilvl w:val="0"/>
          <w:numId w:val="9"/>
        </w:numPr>
        <w:tabs>
          <w:tab w:pos="428" w:val="left" w:leader="none"/>
        </w:tabs>
        <w:spacing w:line="480" w:lineRule="auto" w:before="69" w:after="0"/>
        <w:ind w:left="159" w:right="219" w:firstLine="0"/>
        <w:jc w:val="left"/>
        <w:rPr>
          <w:sz w:val="24"/>
        </w:rPr>
      </w:pPr>
      <w:r>
        <w:rPr>
          <w:sz w:val="24"/>
        </w:rPr>
        <w:t>Paape MJ, Bannerman DD, Zhao X, Lee J. The bovine neutrophil: Structure</w:t>
      </w:r>
      <w:r>
        <w:rPr>
          <w:spacing w:val="-29"/>
          <w:sz w:val="24"/>
        </w:rPr>
        <w:t> </w:t>
      </w:r>
      <w:r>
        <w:rPr>
          <w:sz w:val="24"/>
        </w:rPr>
        <w:t>and function </w:t>
      </w:r>
      <w:r>
        <w:rPr>
          <w:spacing w:val="3"/>
          <w:sz w:val="24"/>
        </w:rPr>
        <w:t>in </w:t>
      </w:r>
      <w:r>
        <w:rPr>
          <w:sz w:val="24"/>
        </w:rPr>
        <w:t>blood and milk. Vet Res</w:t>
      </w:r>
      <w:r>
        <w:rPr>
          <w:spacing w:val="44"/>
          <w:sz w:val="24"/>
        </w:rPr>
        <w:t> </w:t>
      </w:r>
      <w:r>
        <w:rPr>
          <w:sz w:val="24"/>
        </w:rPr>
        <w:t>2003;34:597–627</w:t>
      </w:r>
    </w:p>
    <w:p>
      <w:pPr>
        <w:pStyle w:val="ListParagraph"/>
        <w:numPr>
          <w:ilvl w:val="0"/>
          <w:numId w:val="9"/>
        </w:numPr>
        <w:tabs>
          <w:tab w:pos="410" w:val="left" w:leader="none"/>
        </w:tabs>
        <w:spacing w:line="480" w:lineRule="auto" w:before="8" w:after="0"/>
        <w:ind w:left="159" w:right="611" w:firstLine="0"/>
        <w:jc w:val="left"/>
        <w:rPr>
          <w:sz w:val="22"/>
        </w:rPr>
      </w:pPr>
      <w:hyperlink r:id="rId18">
        <w:r>
          <w:rPr>
            <w:sz w:val="24"/>
          </w:rPr>
          <w:t>Smits E</w:t>
        </w:r>
      </w:hyperlink>
      <w:r>
        <w:rPr>
          <w:sz w:val="24"/>
        </w:rPr>
        <w:t>, </w:t>
      </w:r>
      <w:hyperlink r:id="rId46">
        <w:r>
          <w:rPr>
            <w:sz w:val="24"/>
          </w:rPr>
          <w:t>Burvenich C</w:t>
        </w:r>
      </w:hyperlink>
      <w:r>
        <w:rPr>
          <w:sz w:val="24"/>
        </w:rPr>
        <w:t>, </w:t>
      </w:r>
      <w:hyperlink r:id="rId47">
        <w:r>
          <w:rPr>
            <w:sz w:val="24"/>
          </w:rPr>
          <w:t>Guidry AJ</w:t>
        </w:r>
      </w:hyperlink>
      <w:r>
        <w:rPr>
          <w:sz w:val="24"/>
        </w:rPr>
        <w:t>, </w:t>
      </w:r>
      <w:hyperlink r:id="rId48">
        <w:r>
          <w:rPr>
            <w:sz w:val="24"/>
          </w:rPr>
          <w:t>Heyneman R</w:t>
        </w:r>
      </w:hyperlink>
      <w:r>
        <w:rPr>
          <w:sz w:val="24"/>
        </w:rPr>
        <w:t>, </w:t>
      </w:r>
      <w:hyperlink r:id="rId49">
        <w:r>
          <w:rPr>
            <w:sz w:val="24"/>
          </w:rPr>
          <w:t>Massart-Leën A</w:t>
        </w:r>
      </w:hyperlink>
      <w:r>
        <w:rPr>
          <w:sz w:val="24"/>
        </w:rPr>
        <w:t>. Diapedesis across mammary epithelium reduces phagocytic and oxidative burst of bovine neutrophils. Vet Immunol Immunopathol</w:t>
      </w:r>
      <w:r>
        <w:rPr>
          <w:spacing w:val="-18"/>
          <w:sz w:val="24"/>
        </w:rPr>
        <w:t> </w:t>
      </w:r>
      <w:r>
        <w:rPr>
          <w:sz w:val="24"/>
        </w:rPr>
        <w:t>1999;68(2-4):169-76.</w:t>
      </w:r>
    </w:p>
    <w:p>
      <w:pPr>
        <w:pStyle w:val="ListParagraph"/>
        <w:numPr>
          <w:ilvl w:val="0"/>
          <w:numId w:val="9"/>
        </w:numPr>
        <w:tabs>
          <w:tab w:pos="563" w:val="left" w:leader="none"/>
        </w:tabs>
        <w:spacing w:line="480" w:lineRule="auto" w:before="8" w:after="0"/>
        <w:ind w:left="159" w:right="232" w:firstLine="0"/>
        <w:jc w:val="left"/>
        <w:rPr>
          <w:sz w:val="24"/>
        </w:rPr>
      </w:pPr>
      <w:r>
        <w:rPr>
          <w:sz w:val="24"/>
        </w:rPr>
        <w:t>Van Oostveldt K, Paape JM, Burvenich C. Apoptosis of Bovine Neutrophils Following Diapedesis Through a Monolayer of Endothelial and Mammary</w:t>
      </w:r>
      <w:r>
        <w:rPr>
          <w:spacing w:val="-37"/>
          <w:sz w:val="24"/>
        </w:rPr>
        <w:t> </w:t>
      </w:r>
      <w:r>
        <w:rPr>
          <w:sz w:val="24"/>
        </w:rPr>
        <w:t>Epithelial Cells J Dairy Sci</w:t>
      </w:r>
      <w:r>
        <w:rPr>
          <w:spacing w:val="-6"/>
          <w:sz w:val="24"/>
        </w:rPr>
        <w:t> </w:t>
      </w:r>
      <w:r>
        <w:rPr>
          <w:sz w:val="24"/>
        </w:rPr>
        <w:t>2002;85:139–147.</w:t>
      </w:r>
    </w:p>
    <w:p>
      <w:pPr>
        <w:pStyle w:val="ListParagraph"/>
        <w:numPr>
          <w:ilvl w:val="0"/>
          <w:numId w:val="9"/>
        </w:numPr>
        <w:tabs>
          <w:tab w:pos="563" w:val="left" w:leader="none"/>
        </w:tabs>
        <w:spacing w:line="480" w:lineRule="auto" w:before="8" w:after="0"/>
        <w:ind w:left="159" w:right="345" w:firstLine="0"/>
        <w:jc w:val="left"/>
        <w:rPr>
          <w:sz w:val="24"/>
        </w:rPr>
      </w:pPr>
      <w:r>
        <w:rPr>
          <w:sz w:val="24"/>
        </w:rPr>
        <w:t>Rysanek D, Sladek Z, Vasicková D, Faldyna M. Effects of certain inducers of leukocytes migration into the bovine mammary gland on neutrophil apoptosis manifestation in a subsequent </w:t>
      </w:r>
      <w:r>
        <w:rPr>
          <w:i/>
          <w:spacing w:val="-3"/>
          <w:sz w:val="24"/>
        </w:rPr>
        <w:t>in </w:t>
      </w:r>
      <w:r>
        <w:rPr>
          <w:i/>
          <w:sz w:val="24"/>
        </w:rPr>
        <w:t>vitro </w:t>
      </w:r>
      <w:r>
        <w:rPr>
          <w:sz w:val="24"/>
        </w:rPr>
        <w:t>cultivation.  Physiol  Res</w:t>
      </w:r>
      <w:r>
        <w:rPr>
          <w:spacing w:val="-14"/>
          <w:sz w:val="24"/>
        </w:rPr>
        <w:t> </w:t>
      </w:r>
      <w:r>
        <w:rPr>
          <w:sz w:val="24"/>
        </w:rPr>
        <w:t>2005;54:305-312</w:t>
      </w:r>
    </w:p>
    <w:p>
      <w:pPr>
        <w:pStyle w:val="ListParagraph"/>
        <w:numPr>
          <w:ilvl w:val="0"/>
          <w:numId w:val="9"/>
        </w:numPr>
        <w:tabs>
          <w:tab w:pos="563" w:val="left" w:leader="none"/>
        </w:tabs>
        <w:spacing w:line="480" w:lineRule="auto" w:before="8" w:after="0"/>
        <w:ind w:left="159" w:right="242" w:firstLine="0"/>
        <w:jc w:val="left"/>
        <w:rPr>
          <w:sz w:val="24"/>
        </w:rPr>
      </w:pPr>
      <w:r>
        <w:rPr>
          <w:sz w:val="24"/>
        </w:rPr>
        <w:t>Reinitz DM, Paape MJ, Mather IH. Effect of Phagocytosed Fat and Casein on the lntraphagosomal pH in Bovine Polymorphonuclear Leukocytes. Proceedings of the society for experimental biology and medicine</w:t>
      </w:r>
      <w:r>
        <w:rPr>
          <w:spacing w:val="-24"/>
          <w:sz w:val="24"/>
        </w:rPr>
        <w:t> </w:t>
      </w:r>
      <w:r>
        <w:rPr>
          <w:sz w:val="24"/>
        </w:rPr>
        <w:t>1982;170:281-285</w:t>
      </w:r>
    </w:p>
    <w:p>
      <w:pPr>
        <w:pStyle w:val="ListParagraph"/>
        <w:numPr>
          <w:ilvl w:val="0"/>
          <w:numId w:val="9"/>
        </w:numPr>
        <w:tabs>
          <w:tab w:pos="563" w:val="left" w:leader="none"/>
        </w:tabs>
        <w:spacing w:line="480" w:lineRule="auto" w:before="8" w:after="0"/>
        <w:ind w:left="159" w:right="774" w:firstLine="0"/>
        <w:jc w:val="left"/>
        <w:rPr>
          <w:sz w:val="24"/>
        </w:rPr>
      </w:pPr>
      <w:r>
        <w:rPr>
          <w:sz w:val="24"/>
        </w:rPr>
        <w:t>Schulze-Osthoff K, Ferrari D, Los M, Wesselborg S, Peter ME. Apoptosis signaling by death receptors. Eur J Biochem</w:t>
      </w:r>
      <w:r>
        <w:rPr>
          <w:spacing w:val="-16"/>
          <w:sz w:val="24"/>
        </w:rPr>
        <w:t> </w:t>
      </w:r>
      <w:r>
        <w:rPr>
          <w:sz w:val="24"/>
        </w:rPr>
        <w:t>1998;254,:439-59.</w:t>
      </w:r>
    </w:p>
    <w:p>
      <w:pPr>
        <w:pStyle w:val="ListParagraph"/>
        <w:numPr>
          <w:ilvl w:val="0"/>
          <w:numId w:val="9"/>
        </w:numPr>
        <w:tabs>
          <w:tab w:pos="563" w:val="left" w:leader="none"/>
        </w:tabs>
        <w:spacing w:line="480" w:lineRule="auto" w:before="8" w:after="0"/>
        <w:ind w:left="159" w:right="516" w:firstLine="0"/>
        <w:jc w:val="left"/>
        <w:rPr>
          <w:sz w:val="24"/>
        </w:rPr>
      </w:pPr>
      <w:r>
        <w:rPr>
          <w:sz w:val="24"/>
        </w:rPr>
        <w:t>Sladek Z, Rysanek D, Ryznarova H, Faldyna M. Neutrophil apoptosis</w:t>
      </w:r>
      <w:r>
        <w:rPr>
          <w:spacing w:val="-29"/>
          <w:sz w:val="24"/>
        </w:rPr>
        <w:t> </w:t>
      </w:r>
      <w:r>
        <w:rPr>
          <w:sz w:val="24"/>
        </w:rPr>
        <w:t>during experimentally induced </w:t>
      </w:r>
      <w:r>
        <w:rPr>
          <w:i/>
          <w:sz w:val="24"/>
        </w:rPr>
        <w:t>Staphylococcus aureus </w:t>
      </w:r>
      <w:r>
        <w:rPr>
          <w:sz w:val="24"/>
        </w:rPr>
        <w:t>mastitis. Vet Res 2005;36:629– 643.</w:t>
      </w:r>
    </w:p>
    <w:p>
      <w:pPr>
        <w:pStyle w:val="ListParagraph"/>
        <w:numPr>
          <w:ilvl w:val="0"/>
          <w:numId w:val="9"/>
        </w:numPr>
        <w:tabs>
          <w:tab w:pos="563" w:val="left" w:leader="none"/>
        </w:tabs>
        <w:spacing w:line="480" w:lineRule="auto" w:before="8" w:after="0"/>
        <w:ind w:left="159" w:right="218" w:firstLine="0"/>
        <w:jc w:val="left"/>
        <w:rPr>
          <w:sz w:val="24"/>
        </w:rPr>
      </w:pPr>
      <w:r>
        <w:rPr>
          <w:sz w:val="24"/>
        </w:rPr>
        <w:t>Karakawa </w:t>
      </w:r>
      <w:r>
        <w:rPr>
          <w:spacing w:val="3"/>
          <w:sz w:val="24"/>
        </w:rPr>
        <w:t>WW, </w:t>
      </w:r>
      <w:r>
        <w:rPr>
          <w:sz w:val="24"/>
        </w:rPr>
        <w:t>Fournier JM, Vann WF, Arbeit R, Schneerson RS, Robbins</w:t>
      </w:r>
      <w:r>
        <w:rPr>
          <w:spacing w:val="-37"/>
          <w:sz w:val="24"/>
        </w:rPr>
        <w:t> </w:t>
      </w:r>
      <w:r>
        <w:rPr>
          <w:sz w:val="24"/>
        </w:rPr>
        <w:t>JB. Method for the Serological Typing of the Capsular Polysaccharides of Staphylococcus aureus. J Clin Microbiol</w:t>
      </w:r>
      <w:r>
        <w:rPr>
          <w:spacing w:val="-15"/>
          <w:sz w:val="24"/>
        </w:rPr>
        <w:t> </w:t>
      </w:r>
      <w:r>
        <w:rPr>
          <w:sz w:val="24"/>
        </w:rPr>
        <w:t>1985;22(3):445-447</w:t>
      </w:r>
    </w:p>
    <w:p>
      <w:pPr>
        <w:spacing w:after="0" w:line="480" w:lineRule="auto"/>
        <w:jc w:val="left"/>
        <w:rPr>
          <w:sz w:val="24"/>
        </w:rPr>
        <w:sectPr>
          <w:footerReference w:type="default" r:id="rId45"/>
          <w:pgSz w:w="12240" w:h="15840"/>
          <w:pgMar w:footer="1527" w:header="726" w:top="1200" w:bottom="1720" w:left="1540" w:right="1540"/>
          <w:pgNumType w:start="52"/>
        </w:sectPr>
      </w:pPr>
    </w:p>
    <w:p>
      <w:pPr>
        <w:pStyle w:val="BodyText"/>
        <w:spacing w:before="8"/>
        <w:rPr>
          <w:sz w:val="15"/>
        </w:rPr>
      </w:pPr>
    </w:p>
    <w:p>
      <w:pPr>
        <w:pStyle w:val="ListParagraph"/>
        <w:numPr>
          <w:ilvl w:val="0"/>
          <w:numId w:val="9"/>
        </w:numPr>
        <w:tabs>
          <w:tab w:pos="564" w:val="left" w:leader="none"/>
        </w:tabs>
        <w:spacing w:line="480" w:lineRule="auto" w:before="69" w:after="0"/>
        <w:ind w:left="159" w:right="378" w:firstLine="0"/>
        <w:jc w:val="left"/>
        <w:rPr>
          <w:sz w:val="24"/>
        </w:rPr>
      </w:pPr>
      <w:r>
        <w:rPr>
          <w:sz w:val="24"/>
        </w:rPr>
        <w:t>Echeverri JJZ, Jaramillo MG, Restrepo LFB. Evaluación comparativa de dos metodologías de diagnóstico de mastitis en un hato lechero </w:t>
      </w:r>
      <w:r>
        <w:rPr>
          <w:spacing w:val="-3"/>
          <w:sz w:val="24"/>
        </w:rPr>
        <w:t>del </w:t>
      </w:r>
      <w:r>
        <w:rPr>
          <w:sz w:val="24"/>
        </w:rPr>
        <w:t>Departamento de Antioquia. Rev Lasallista  Investig</w:t>
      </w:r>
      <w:r>
        <w:rPr>
          <w:spacing w:val="-18"/>
          <w:sz w:val="24"/>
        </w:rPr>
        <w:t> </w:t>
      </w:r>
      <w:r>
        <w:rPr>
          <w:sz w:val="24"/>
        </w:rPr>
        <w:t>2010;7:49-57.</w:t>
      </w:r>
    </w:p>
    <w:p>
      <w:pPr>
        <w:pStyle w:val="ListParagraph"/>
        <w:numPr>
          <w:ilvl w:val="0"/>
          <w:numId w:val="9"/>
        </w:numPr>
        <w:tabs>
          <w:tab w:pos="564" w:val="left" w:leader="none"/>
        </w:tabs>
        <w:spacing w:line="480" w:lineRule="auto" w:before="8" w:after="0"/>
        <w:ind w:left="159" w:right="702" w:firstLine="0"/>
        <w:jc w:val="left"/>
        <w:rPr>
          <w:color w:val="221F1F"/>
          <w:sz w:val="24"/>
        </w:rPr>
      </w:pPr>
      <w:r>
        <w:rPr>
          <w:color w:val="221F1F"/>
          <w:sz w:val="24"/>
        </w:rPr>
        <w:t>Capuco AV, Paape MJ, Nickerson SC. </w:t>
      </w:r>
      <w:r>
        <w:rPr>
          <w:i/>
          <w:color w:val="221F1F"/>
          <w:sz w:val="24"/>
        </w:rPr>
        <w:t>In vitro </w:t>
      </w:r>
      <w:r>
        <w:rPr>
          <w:color w:val="221F1F"/>
          <w:sz w:val="24"/>
        </w:rPr>
        <w:t>study of</w:t>
      </w:r>
      <w:r>
        <w:rPr>
          <w:color w:val="221F1F"/>
          <w:spacing w:val="-28"/>
          <w:sz w:val="24"/>
        </w:rPr>
        <w:t> </w:t>
      </w:r>
      <w:r>
        <w:rPr>
          <w:color w:val="221F1F"/>
          <w:sz w:val="24"/>
        </w:rPr>
        <w:t>polymorphonuclear leukocyte damage to mammary tissue of lactating cows. Am J Vet Res 1986;47:663-668.</w:t>
      </w:r>
    </w:p>
    <w:p>
      <w:pPr>
        <w:pStyle w:val="ListParagraph"/>
        <w:numPr>
          <w:ilvl w:val="0"/>
          <w:numId w:val="9"/>
        </w:numPr>
        <w:tabs>
          <w:tab w:pos="559" w:val="left" w:leader="none"/>
        </w:tabs>
        <w:spacing w:line="480" w:lineRule="auto" w:before="8" w:after="0"/>
        <w:ind w:left="159" w:right="385" w:firstLine="0"/>
        <w:jc w:val="left"/>
        <w:rPr>
          <w:sz w:val="24"/>
        </w:rPr>
      </w:pPr>
      <w:r>
        <w:rPr>
          <w:sz w:val="24"/>
        </w:rPr>
        <w:t>Worku M, Paape MJ, Marquardt </w:t>
      </w:r>
      <w:r>
        <w:rPr>
          <w:spacing w:val="3"/>
          <w:sz w:val="24"/>
        </w:rPr>
        <w:t>WW. </w:t>
      </w:r>
      <w:r>
        <w:rPr>
          <w:sz w:val="24"/>
        </w:rPr>
        <w:t>Modulation of Fc receptors for IgG on bovine polymorphonuclear neutrophils by interferon </w:t>
      </w:r>
      <w:r>
        <w:rPr>
          <w:spacing w:val="-3"/>
          <w:sz w:val="24"/>
        </w:rPr>
        <w:t>gamma </w:t>
      </w:r>
      <w:r>
        <w:rPr>
          <w:sz w:val="24"/>
        </w:rPr>
        <w:t>though de novo RNA transcription and protein synthesis. Am J Vet Res</w:t>
      </w:r>
      <w:r>
        <w:rPr>
          <w:spacing w:val="-18"/>
          <w:sz w:val="24"/>
        </w:rPr>
        <w:t> </w:t>
      </w:r>
      <w:r>
        <w:rPr>
          <w:sz w:val="24"/>
        </w:rPr>
        <w:t>1994;55:234-238.</w:t>
      </w:r>
    </w:p>
    <w:p>
      <w:pPr>
        <w:pStyle w:val="ListParagraph"/>
        <w:numPr>
          <w:ilvl w:val="0"/>
          <w:numId w:val="9"/>
        </w:numPr>
        <w:tabs>
          <w:tab w:pos="564" w:val="left" w:leader="none"/>
        </w:tabs>
        <w:spacing w:line="480" w:lineRule="auto" w:before="8" w:after="0"/>
        <w:ind w:left="159" w:right="623" w:firstLine="0"/>
        <w:jc w:val="left"/>
        <w:rPr>
          <w:sz w:val="24"/>
        </w:rPr>
      </w:pPr>
      <w:r>
        <w:rPr>
          <w:sz w:val="24"/>
        </w:rPr>
        <w:t>Velázquez V, Pescador N, Gorodezky C, Saltijera J. In vitro differencial neutrophil phagocytosis activity on Staphylococcus aureus when obtained</w:t>
      </w:r>
      <w:r>
        <w:rPr>
          <w:spacing w:val="-29"/>
          <w:sz w:val="24"/>
        </w:rPr>
        <w:t> </w:t>
      </w:r>
      <w:r>
        <w:rPr>
          <w:sz w:val="24"/>
        </w:rPr>
        <w:t>from blood and milk of dairy cows in early lactation period. Rev Latinoam Microbiol 2008;50(3,4):66-71.</w:t>
      </w:r>
    </w:p>
    <w:p>
      <w:pPr>
        <w:pStyle w:val="ListParagraph"/>
        <w:numPr>
          <w:ilvl w:val="0"/>
          <w:numId w:val="9"/>
        </w:numPr>
        <w:tabs>
          <w:tab w:pos="564" w:val="left" w:leader="none"/>
        </w:tabs>
        <w:spacing w:line="480" w:lineRule="auto" w:before="8" w:after="0"/>
        <w:ind w:left="159" w:right="263" w:firstLine="0"/>
        <w:jc w:val="left"/>
        <w:rPr>
          <w:sz w:val="24"/>
        </w:rPr>
      </w:pPr>
      <w:r>
        <w:rPr>
          <w:sz w:val="24"/>
        </w:rPr>
        <w:t>Salgar SK, Papee MJ, Alston-Mills B, Miller RH. Flow cytometric study of oxidative burts activity in bovine neutrophils. Am J Vet Res</w:t>
      </w:r>
      <w:r>
        <w:rPr>
          <w:spacing w:val="-24"/>
          <w:sz w:val="24"/>
        </w:rPr>
        <w:t> </w:t>
      </w:r>
      <w:r>
        <w:rPr>
          <w:sz w:val="24"/>
        </w:rPr>
        <w:t>1991;52(8):1201-1207.</w:t>
      </w:r>
    </w:p>
    <w:p>
      <w:pPr>
        <w:pStyle w:val="ListParagraph"/>
        <w:numPr>
          <w:ilvl w:val="0"/>
          <w:numId w:val="9"/>
        </w:numPr>
        <w:tabs>
          <w:tab w:pos="564" w:val="left" w:leader="none"/>
        </w:tabs>
        <w:spacing w:line="480" w:lineRule="auto" w:before="8" w:after="0"/>
        <w:ind w:left="159" w:right="302" w:firstLine="0"/>
        <w:jc w:val="left"/>
        <w:rPr>
          <w:sz w:val="24"/>
        </w:rPr>
      </w:pPr>
      <w:r>
        <w:rPr>
          <w:sz w:val="24"/>
        </w:rPr>
        <w:t>Sutra L, Mendiola C, Rainard P, Poutrel B. Encapsulation of </w:t>
      </w:r>
      <w:r>
        <w:rPr>
          <w:i/>
          <w:sz w:val="24"/>
        </w:rPr>
        <w:t>Staphylococcus </w:t>
      </w:r>
      <w:r>
        <w:rPr>
          <w:i/>
          <w:sz w:val="24"/>
        </w:rPr>
        <w:t>aureus </w:t>
      </w:r>
      <w:r>
        <w:rPr>
          <w:sz w:val="24"/>
        </w:rPr>
        <w:t>Isolates from Mastitic Milk: Relationship between Capsular</w:t>
      </w:r>
      <w:r>
        <w:rPr>
          <w:spacing w:val="-28"/>
          <w:sz w:val="24"/>
        </w:rPr>
        <w:t> </w:t>
      </w:r>
      <w:r>
        <w:rPr>
          <w:sz w:val="24"/>
        </w:rPr>
        <w:t>Polysaccharide Types 5 and 8 and Colony Morphology in Serum-Soft Agar, Clumping Factor,Teichoic Acid, and Protein A. J Clin Microbiol</w:t>
      </w:r>
      <w:r>
        <w:rPr>
          <w:spacing w:val="-24"/>
          <w:sz w:val="24"/>
        </w:rPr>
        <w:t> </w:t>
      </w:r>
      <w:r>
        <w:rPr>
          <w:sz w:val="24"/>
        </w:rPr>
        <w:t>1990;28(3):447-451.</w:t>
      </w:r>
    </w:p>
    <w:p>
      <w:pPr>
        <w:pStyle w:val="ListParagraph"/>
        <w:numPr>
          <w:ilvl w:val="0"/>
          <w:numId w:val="9"/>
        </w:numPr>
        <w:tabs>
          <w:tab w:pos="564" w:val="left" w:leader="none"/>
        </w:tabs>
        <w:spacing w:line="480" w:lineRule="auto" w:before="8" w:after="0"/>
        <w:ind w:left="159" w:right="870" w:firstLine="0"/>
        <w:jc w:val="left"/>
        <w:rPr>
          <w:sz w:val="24"/>
        </w:rPr>
      </w:pPr>
      <w:r>
        <w:rPr>
          <w:sz w:val="24"/>
        </w:rPr>
        <w:t>Sladek Z, Rysanek D. Morphology of apoptosis of polymorphonuclear leukocytes isolated from mammary glands of unbred heifers. Vet Med Czech 2000;45(3):71–81.</w:t>
      </w:r>
    </w:p>
    <w:p>
      <w:pPr>
        <w:spacing w:after="0" w:line="480" w:lineRule="auto"/>
        <w:jc w:val="left"/>
        <w:rPr>
          <w:sz w:val="24"/>
        </w:rPr>
        <w:sectPr>
          <w:pgSz w:w="12240" w:h="15840"/>
          <w:pgMar w:header="726" w:footer="1527" w:top="1200" w:bottom="1720" w:left="1540" w:right="1540"/>
        </w:sectPr>
      </w:pPr>
    </w:p>
    <w:p>
      <w:pPr>
        <w:pStyle w:val="BodyText"/>
        <w:spacing w:before="8"/>
        <w:rPr>
          <w:sz w:val="15"/>
        </w:rPr>
      </w:pPr>
    </w:p>
    <w:p>
      <w:pPr>
        <w:pStyle w:val="ListParagraph"/>
        <w:numPr>
          <w:ilvl w:val="0"/>
          <w:numId w:val="9"/>
        </w:numPr>
        <w:tabs>
          <w:tab w:pos="564" w:val="left" w:leader="none"/>
        </w:tabs>
        <w:spacing w:line="480" w:lineRule="auto" w:before="69" w:after="0"/>
        <w:ind w:left="159" w:right="398" w:firstLine="0"/>
        <w:jc w:val="left"/>
        <w:rPr>
          <w:sz w:val="24"/>
        </w:rPr>
      </w:pPr>
      <w:r>
        <w:rPr>
          <w:sz w:val="24"/>
        </w:rPr>
        <w:t>Lee JW, O’Brien CN, Guidry AJ, Paape MJ, Shafer-Weaver KA, Zhao X. Effect of a trivalent vaccine against </w:t>
      </w:r>
      <w:r>
        <w:rPr>
          <w:i/>
          <w:sz w:val="24"/>
        </w:rPr>
        <w:t>Staphylococcus aureus </w:t>
      </w:r>
      <w:r>
        <w:rPr>
          <w:sz w:val="24"/>
        </w:rPr>
        <w:t>mastitis lymphocyte subpopulations, antibody production, and neutrophil phagocytosis. The</w:t>
      </w:r>
      <w:r>
        <w:rPr>
          <w:spacing w:val="-37"/>
          <w:sz w:val="24"/>
        </w:rPr>
        <w:t> </w:t>
      </w:r>
      <w:r>
        <w:rPr>
          <w:sz w:val="24"/>
        </w:rPr>
        <w:t>Canadian Journal of Veterinary Research</w:t>
      </w:r>
      <w:r>
        <w:rPr>
          <w:spacing w:val="-15"/>
          <w:sz w:val="24"/>
        </w:rPr>
        <w:t> </w:t>
      </w:r>
      <w:r>
        <w:rPr>
          <w:sz w:val="24"/>
        </w:rPr>
        <w:t>2005;69:11–18.</w:t>
      </w:r>
    </w:p>
    <w:p>
      <w:pPr>
        <w:pStyle w:val="ListParagraph"/>
        <w:numPr>
          <w:ilvl w:val="0"/>
          <w:numId w:val="9"/>
        </w:numPr>
        <w:tabs>
          <w:tab w:pos="564" w:val="left" w:leader="none"/>
        </w:tabs>
        <w:spacing w:line="480" w:lineRule="auto" w:before="8" w:after="0"/>
        <w:ind w:left="159" w:right="206" w:firstLine="0"/>
        <w:jc w:val="left"/>
        <w:rPr>
          <w:sz w:val="24"/>
        </w:rPr>
      </w:pPr>
      <w:r>
        <w:rPr>
          <w:sz w:val="24"/>
        </w:rPr>
        <w:t>Piepers S, Opsomer G, Meyer E, Demeyere K, Barkema </w:t>
      </w:r>
      <w:r>
        <w:rPr>
          <w:spacing w:val="2"/>
          <w:sz w:val="24"/>
        </w:rPr>
        <w:t>HW, </w:t>
      </w:r>
      <w:r>
        <w:rPr>
          <w:sz w:val="24"/>
        </w:rPr>
        <w:t>Kruif AD, Vliegher SD. Heifer and quarter characteristics associated with periparturient blood and milk neutrophil apoptosis in healthy heifers and in heifers with subclinical mastitis. J Dairy </w:t>
      </w:r>
      <w:r>
        <w:rPr>
          <w:spacing w:val="-3"/>
          <w:sz w:val="24"/>
        </w:rPr>
        <w:t>Sci </w:t>
      </w:r>
      <w:r>
        <w:rPr>
          <w:sz w:val="24"/>
        </w:rPr>
        <w:t>2009; 92 (9):</w:t>
      </w:r>
      <w:r>
        <w:rPr>
          <w:spacing w:val="-2"/>
          <w:sz w:val="24"/>
        </w:rPr>
        <w:t> </w:t>
      </w:r>
      <w:r>
        <w:rPr>
          <w:sz w:val="24"/>
        </w:rPr>
        <w:t>4330-4339</w:t>
      </w:r>
    </w:p>
    <w:p>
      <w:pPr>
        <w:pStyle w:val="ListParagraph"/>
        <w:numPr>
          <w:ilvl w:val="0"/>
          <w:numId w:val="9"/>
        </w:numPr>
        <w:tabs>
          <w:tab w:pos="564" w:val="left" w:leader="none"/>
        </w:tabs>
        <w:spacing w:line="480" w:lineRule="auto" w:before="8" w:after="0"/>
        <w:ind w:left="159" w:right="265" w:firstLine="0"/>
        <w:jc w:val="both"/>
        <w:rPr>
          <w:sz w:val="24"/>
        </w:rPr>
      </w:pPr>
      <w:r>
        <w:rPr>
          <w:sz w:val="24"/>
        </w:rPr>
        <w:t>Van Oostveldt K, Vangroenweghe F, Dosogne H, Burvenich F. Apoptosis and necrosis of blood and milk polymorphonuclear leukocytes in early and</w:t>
      </w:r>
      <w:r>
        <w:rPr>
          <w:spacing w:val="-33"/>
          <w:sz w:val="24"/>
        </w:rPr>
        <w:t> </w:t>
      </w:r>
      <w:r>
        <w:rPr>
          <w:sz w:val="24"/>
        </w:rPr>
        <w:t>midlactating healthy cows. Vet Res</w:t>
      </w:r>
      <w:r>
        <w:rPr>
          <w:spacing w:val="-9"/>
          <w:sz w:val="24"/>
        </w:rPr>
        <w:t> </w:t>
      </w:r>
      <w:r>
        <w:rPr>
          <w:sz w:val="24"/>
        </w:rPr>
        <w:t>2001;32:617–622.</w:t>
      </w:r>
    </w:p>
    <w:p>
      <w:pPr>
        <w:pStyle w:val="ListParagraph"/>
        <w:numPr>
          <w:ilvl w:val="0"/>
          <w:numId w:val="9"/>
        </w:numPr>
        <w:tabs>
          <w:tab w:pos="564" w:val="left" w:leader="none"/>
        </w:tabs>
        <w:spacing w:line="480" w:lineRule="auto" w:before="8" w:after="0"/>
        <w:ind w:left="159" w:right="831" w:firstLine="0"/>
        <w:jc w:val="left"/>
        <w:rPr>
          <w:sz w:val="24"/>
        </w:rPr>
      </w:pPr>
      <w:r>
        <w:rPr>
          <w:sz w:val="24"/>
        </w:rPr>
        <w:t>Cunnion </w:t>
      </w:r>
      <w:r>
        <w:rPr>
          <w:spacing w:val="-2"/>
          <w:sz w:val="24"/>
        </w:rPr>
        <w:t>KM, </w:t>
      </w:r>
      <w:r>
        <w:rPr>
          <w:sz w:val="24"/>
        </w:rPr>
        <w:t>Lee JC, Frank </w:t>
      </w:r>
      <w:r>
        <w:rPr>
          <w:spacing w:val="-3"/>
          <w:sz w:val="24"/>
        </w:rPr>
        <w:t>MM. </w:t>
      </w:r>
      <w:r>
        <w:rPr>
          <w:sz w:val="24"/>
        </w:rPr>
        <w:t>Capsule Production and Growth Phase Influence Binding of Complement to </w:t>
      </w:r>
      <w:r>
        <w:rPr>
          <w:i/>
          <w:sz w:val="24"/>
        </w:rPr>
        <w:t>Staphylococcus aureus. </w:t>
      </w:r>
      <w:r>
        <w:rPr>
          <w:sz w:val="24"/>
        </w:rPr>
        <w:t>Infect </w:t>
      </w:r>
      <w:r>
        <w:rPr>
          <w:spacing w:val="-3"/>
          <w:sz w:val="24"/>
        </w:rPr>
        <w:t>Immun </w:t>
      </w:r>
      <w:r>
        <w:rPr>
          <w:sz w:val="24"/>
        </w:rPr>
        <w:t>2001;69(11):6796–6803.</w:t>
      </w:r>
    </w:p>
    <w:p>
      <w:pPr>
        <w:pStyle w:val="ListParagraph"/>
        <w:numPr>
          <w:ilvl w:val="0"/>
          <w:numId w:val="9"/>
        </w:numPr>
        <w:tabs>
          <w:tab w:pos="564" w:val="left" w:leader="none"/>
        </w:tabs>
        <w:spacing w:line="480" w:lineRule="auto" w:before="8" w:after="0"/>
        <w:ind w:left="159" w:right="827" w:firstLine="0"/>
        <w:jc w:val="left"/>
        <w:rPr>
          <w:sz w:val="24"/>
        </w:rPr>
      </w:pPr>
      <w:r>
        <w:rPr>
          <w:sz w:val="24"/>
        </w:rPr>
        <w:t>Cunnion </w:t>
      </w:r>
      <w:r>
        <w:rPr>
          <w:spacing w:val="-2"/>
          <w:sz w:val="24"/>
        </w:rPr>
        <w:t>KM, </w:t>
      </w:r>
      <w:r>
        <w:rPr>
          <w:sz w:val="24"/>
        </w:rPr>
        <w:t>Zhang HM, Frank </w:t>
      </w:r>
      <w:r>
        <w:rPr>
          <w:spacing w:val="-3"/>
          <w:sz w:val="24"/>
        </w:rPr>
        <w:t>MM. </w:t>
      </w:r>
      <w:r>
        <w:rPr>
          <w:sz w:val="24"/>
        </w:rPr>
        <w:t>Availability of Complement Bound to Staphylococcus aureus To Interac with Membrane Complement Receptors Influences Efficiency of Phagocytosis. Infect </w:t>
      </w:r>
      <w:r>
        <w:rPr>
          <w:spacing w:val="-3"/>
          <w:sz w:val="24"/>
        </w:rPr>
        <w:t>Immun</w:t>
      </w:r>
      <w:r>
        <w:rPr>
          <w:spacing w:val="-8"/>
          <w:sz w:val="24"/>
        </w:rPr>
        <w:t> </w:t>
      </w:r>
      <w:r>
        <w:rPr>
          <w:sz w:val="24"/>
        </w:rPr>
        <w:t>2003;71(2):656-662</w:t>
      </w:r>
    </w:p>
    <w:p>
      <w:pPr>
        <w:pStyle w:val="ListParagraph"/>
        <w:numPr>
          <w:ilvl w:val="0"/>
          <w:numId w:val="9"/>
        </w:numPr>
        <w:tabs>
          <w:tab w:pos="564" w:val="left" w:leader="none"/>
        </w:tabs>
        <w:spacing w:line="480" w:lineRule="auto" w:before="8" w:after="0"/>
        <w:ind w:left="159" w:right="226" w:firstLine="0"/>
        <w:jc w:val="left"/>
        <w:rPr>
          <w:sz w:val="24"/>
        </w:rPr>
      </w:pPr>
      <w:r>
        <w:rPr>
          <w:sz w:val="24"/>
        </w:rPr>
        <w:t>Kampen HA, Tollersrud T, Lund A. </w:t>
      </w:r>
      <w:r>
        <w:rPr>
          <w:i/>
          <w:sz w:val="24"/>
        </w:rPr>
        <w:t>Staphylococcus aureus </w:t>
      </w:r>
      <w:r>
        <w:rPr>
          <w:sz w:val="24"/>
        </w:rPr>
        <w:t>Capsular Polysaccharide Types 5 and 8 Reduce Killing by Bovine Neutrophils </w:t>
      </w:r>
      <w:r>
        <w:rPr>
          <w:i/>
          <w:sz w:val="24"/>
        </w:rPr>
        <w:t>In Vitro</w:t>
      </w:r>
      <w:r>
        <w:rPr>
          <w:sz w:val="24"/>
        </w:rPr>
        <w:t>. Infect Immun 2005;73(3):</w:t>
      </w:r>
      <w:r>
        <w:rPr>
          <w:spacing w:val="-10"/>
          <w:sz w:val="24"/>
        </w:rPr>
        <w:t> </w:t>
      </w:r>
      <w:r>
        <w:rPr>
          <w:sz w:val="24"/>
        </w:rPr>
        <w:t>1578-1583.</w:t>
      </w:r>
    </w:p>
    <w:p>
      <w:pPr>
        <w:pStyle w:val="ListParagraph"/>
        <w:numPr>
          <w:ilvl w:val="0"/>
          <w:numId w:val="9"/>
        </w:numPr>
        <w:tabs>
          <w:tab w:pos="559" w:val="left" w:leader="none"/>
        </w:tabs>
        <w:spacing w:line="480" w:lineRule="auto" w:before="8" w:after="0"/>
        <w:ind w:left="159" w:right="196" w:firstLine="0"/>
        <w:jc w:val="left"/>
        <w:rPr>
          <w:sz w:val="24"/>
        </w:rPr>
      </w:pPr>
      <w:r>
        <w:rPr>
          <w:sz w:val="24"/>
        </w:rPr>
        <w:t>Watts A, Ke D, Wang Q, Pillay A, Nicholson-Weller A, Lee JC. Staphylococcus aureus Strains That Express Serotype 5 or Serotype 8 Capsular</w:t>
      </w:r>
      <w:r>
        <w:rPr>
          <w:spacing w:val="-31"/>
          <w:sz w:val="24"/>
        </w:rPr>
        <w:t> </w:t>
      </w:r>
      <w:r>
        <w:rPr>
          <w:sz w:val="24"/>
        </w:rPr>
        <w:t>Polysaccharides</w:t>
      </w:r>
    </w:p>
    <w:p>
      <w:pPr>
        <w:pStyle w:val="BodyText"/>
        <w:spacing w:before="8"/>
        <w:ind w:left="159"/>
      </w:pPr>
      <w:r>
        <w:rPr/>
        <w:t>Differ in Virulence. Infect Immun 2005;73(6):3502-3511.</w:t>
      </w:r>
    </w:p>
    <w:p>
      <w:pPr>
        <w:spacing w:after="0"/>
        <w:sectPr>
          <w:pgSz w:w="12240" w:h="15840"/>
          <w:pgMar w:header="726" w:footer="1527" w:top="1200" w:bottom="1720" w:left="1540" w:right="1540"/>
        </w:sectPr>
      </w:pPr>
    </w:p>
    <w:p>
      <w:pPr>
        <w:pStyle w:val="BodyText"/>
        <w:spacing w:before="8"/>
        <w:rPr>
          <w:sz w:val="15"/>
        </w:rPr>
      </w:pPr>
    </w:p>
    <w:p>
      <w:pPr>
        <w:pStyle w:val="ListParagraph"/>
        <w:numPr>
          <w:ilvl w:val="0"/>
          <w:numId w:val="9"/>
        </w:numPr>
        <w:tabs>
          <w:tab w:pos="559" w:val="left" w:leader="none"/>
        </w:tabs>
        <w:spacing w:line="480" w:lineRule="auto" w:before="69" w:after="0"/>
        <w:ind w:left="159" w:right="596" w:firstLine="0"/>
        <w:jc w:val="left"/>
        <w:rPr>
          <w:sz w:val="24"/>
        </w:rPr>
      </w:pPr>
      <w:r>
        <w:rPr>
          <w:sz w:val="24"/>
        </w:rPr>
        <w:t>Wilkie RP, Vissers MCM, Dragunow M, Hampton MB. A Functional NADPH Oxidase Prevents Caspase Involvement in the Clearance of Phagocytic Neutrophils. Infect </w:t>
      </w:r>
      <w:r>
        <w:rPr>
          <w:spacing w:val="-3"/>
          <w:sz w:val="24"/>
        </w:rPr>
        <w:t>Immun</w:t>
      </w:r>
      <w:r>
        <w:rPr>
          <w:spacing w:val="-1"/>
          <w:sz w:val="24"/>
        </w:rPr>
        <w:t> </w:t>
      </w:r>
      <w:r>
        <w:rPr>
          <w:sz w:val="24"/>
        </w:rPr>
        <w:t>2007;75(7):3256–3263.</w:t>
      </w:r>
    </w:p>
    <w:p>
      <w:pPr>
        <w:pStyle w:val="ListParagraph"/>
        <w:numPr>
          <w:ilvl w:val="0"/>
          <w:numId w:val="9"/>
        </w:numPr>
        <w:tabs>
          <w:tab w:pos="564" w:val="left" w:leader="none"/>
        </w:tabs>
        <w:spacing w:line="480" w:lineRule="auto" w:before="8" w:after="0"/>
        <w:ind w:left="159" w:right="569" w:firstLine="0"/>
        <w:jc w:val="left"/>
        <w:rPr>
          <w:sz w:val="24"/>
        </w:rPr>
      </w:pPr>
      <w:r>
        <w:rPr>
          <w:sz w:val="24"/>
        </w:rPr>
        <w:t>Nilsdotter-Augustinsson A, Wilsson A, Larsson J, Stendahl O, Ohman L, Lundqvist-Gustafsson H. </w:t>
      </w:r>
      <w:r>
        <w:rPr>
          <w:i/>
          <w:sz w:val="24"/>
        </w:rPr>
        <w:t>Staphylococcus aureus</w:t>
      </w:r>
      <w:r>
        <w:rPr>
          <w:sz w:val="24"/>
        </w:rPr>
        <w:t>, but not </w:t>
      </w:r>
      <w:r>
        <w:rPr>
          <w:i/>
          <w:sz w:val="24"/>
        </w:rPr>
        <w:t>taphylococcus </w:t>
      </w:r>
      <w:r>
        <w:rPr>
          <w:i/>
          <w:sz w:val="24"/>
        </w:rPr>
        <w:t>epidermidis</w:t>
      </w:r>
      <w:r>
        <w:rPr>
          <w:sz w:val="24"/>
        </w:rPr>
        <w:t>, modulates the oxidative response and induces apoptosis in</w:t>
      </w:r>
      <w:r>
        <w:rPr>
          <w:spacing w:val="-30"/>
          <w:sz w:val="24"/>
        </w:rPr>
        <w:t> </w:t>
      </w:r>
      <w:r>
        <w:rPr>
          <w:spacing w:val="-3"/>
          <w:sz w:val="24"/>
        </w:rPr>
        <w:t>human </w:t>
      </w:r>
      <w:r>
        <w:rPr>
          <w:sz w:val="24"/>
        </w:rPr>
        <w:t>neutrophils. APMIS 2004;</w:t>
      </w:r>
      <w:r>
        <w:rPr>
          <w:spacing w:val="-12"/>
          <w:sz w:val="24"/>
        </w:rPr>
        <w:t> </w:t>
      </w:r>
      <w:r>
        <w:rPr>
          <w:color w:val="292425"/>
          <w:sz w:val="24"/>
        </w:rPr>
        <w:t>112:109–18</w:t>
      </w:r>
    </w:p>
    <w:p>
      <w:pPr>
        <w:pStyle w:val="ListParagraph"/>
        <w:numPr>
          <w:ilvl w:val="0"/>
          <w:numId w:val="9"/>
        </w:numPr>
        <w:tabs>
          <w:tab w:pos="564" w:val="left" w:leader="none"/>
        </w:tabs>
        <w:spacing w:line="480" w:lineRule="auto" w:before="8" w:after="0"/>
        <w:ind w:left="159" w:right="360" w:firstLine="0"/>
        <w:jc w:val="left"/>
        <w:rPr>
          <w:sz w:val="24"/>
        </w:rPr>
      </w:pPr>
      <w:r>
        <w:rPr>
          <w:sz w:val="24"/>
        </w:rPr>
        <w:t>Sládek Z, Rysánek D. Apoptosis of polymorphonuclear leukocytes of the juvenile bovine mammary gland during induced influx. Vet Res</w:t>
      </w:r>
      <w:r>
        <w:rPr>
          <w:spacing w:val="-23"/>
          <w:sz w:val="24"/>
        </w:rPr>
        <w:t> </w:t>
      </w:r>
      <w:r>
        <w:rPr>
          <w:sz w:val="24"/>
        </w:rPr>
        <w:t>2000;31:553–563.</w:t>
      </w:r>
    </w:p>
    <w:p>
      <w:pPr>
        <w:spacing w:after="0" w:line="480" w:lineRule="auto"/>
        <w:jc w:val="left"/>
        <w:rPr>
          <w:sz w:val="24"/>
        </w:rPr>
        <w:sectPr>
          <w:pgSz w:w="12240" w:h="15840"/>
          <w:pgMar w:header="726" w:footer="1527" w:top="1200" w:bottom="1720" w:left="1540" w:right="1540"/>
        </w:sectPr>
      </w:pPr>
    </w:p>
    <w:p>
      <w:pPr>
        <w:pStyle w:val="BodyText"/>
        <w:spacing w:before="8"/>
        <w:rPr>
          <w:sz w:val="15"/>
        </w:rPr>
      </w:pPr>
    </w:p>
    <w:p>
      <w:pPr>
        <w:pStyle w:val="BodyText"/>
        <w:spacing w:before="69"/>
        <w:ind w:left="600" w:right="281"/>
      </w:pPr>
      <w:r>
        <w:rPr/>
        <w:t>CUADRO 1. Actividad de Fagocitosis </w:t>
      </w:r>
      <w:r>
        <w:rPr>
          <w:i/>
        </w:rPr>
        <w:t>in vitro </w:t>
      </w:r>
      <w:r>
        <w:rPr/>
        <w:t>de neutrófilos de vacas lecheras.</w:t>
      </w:r>
    </w:p>
    <w:p>
      <w:pPr>
        <w:pStyle w:val="BodyText"/>
        <w:spacing w:before="4"/>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00"/>
        <w:gridCol w:w="1187"/>
        <w:gridCol w:w="1208"/>
        <w:gridCol w:w="1152"/>
        <w:gridCol w:w="1263"/>
        <w:gridCol w:w="1263"/>
        <w:gridCol w:w="1289"/>
      </w:tblGrid>
      <w:tr>
        <w:trPr>
          <w:trHeight w:val="470" w:hRule="exact"/>
        </w:trPr>
        <w:tc>
          <w:tcPr>
            <w:tcW w:w="1700" w:type="dxa"/>
            <w:tcBorders>
              <w:left w:val="nil"/>
              <w:bottom w:val="nil"/>
              <w:right w:val="nil"/>
            </w:tcBorders>
          </w:tcPr>
          <w:p>
            <w:pPr>
              <w:pStyle w:val="TableParagraph"/>
              <w:spacing w:line="225" w:lineRule="exact"/>
              <w:ind w:left="124"/>
              <w:rPr>
                <w:sz w:val="20"/>
              </w:rPr>
            </w:pPr>
            <w:r>
              <w:rPr>
                <w:sz w:val="20"/>
              </w:rPr>
              <w:t>Microscopia</w:t>
            </w:r>
          </w:p>
        </w:tc>
        <w:tc>
          <w:tcPr>
            <w:tcW w:w="2394" w:type="dxa"/>
            <w:gridSpan w:val="2"/>
            <w:tcBorders>
              <w:left w:val="nil"/>
              <w:right w:val="nil"/>
            </w:tcBorders>
          </w:tcPr>
          <w:p>
            <w:pPr>
              <w:pStyle w:val="TableParagraph"/>
              <w:spacing w:line="225" w:lineRule="exact"/>
              <w:ind w:left="110"/>
              <w:rPr>
                <w:sz w:val="20"/>
              </w:rPr>
            </w:pPr>
            <w:r>
              <w:rPr>
                <w:sz w:val="20"/>
              </w:rPr>
              <w:t>Índice de fagocitosis</w:t>
            </w:r>
          </w:p>
        </w:tc>
        <w:tc>
          <w:tcPr>
            <w:tcW w:w="1152" w:type="dxa"/>
            <w:tcBorders>
              <w:left w:val="nil"/>
              <w:right w:val="nil"/>
            </w:tcBorders>
          </w:tcPr>
          <w:p>
            <w:pPr/>
          </w:p>
        </w:tc>
        <w:tc>
          <w:tcPr>
            <w:tcW w:w="2526" w:type="dxa"/>
            <w:gridSpan w:val="2"/>
            <w:tcBorders>
              <w:left w:val="nil"/>
              <w:right w:val="nil"/>
            </w:tcBorders>
          </w:tcPr>
          <w:p>
            <w:pPr>
              <w:pStyle w:val="TableParagraph"/>
              <w:spacing w:line="225" w:lineRule="exact"/>
              <w:ind w:left="131"/>
              <w:rPr>
                <w:sz w:val="20"/>
              </w:rPr>
            </w:pPr>
            <w:r>
              <w:rPr>
                <w:sz w:val="20"/>
              </w:rPr>
              <w:t>Capacidad de fagocitosis</w:t>
            </w:r>
          </w:p>
        </w:tc>
        <w:tc>
          <w:tcPr>
            <w:tcW w:w="1289" w:type="dxa"/>
            <w:tcBorders>
              <w:left w:val="nil"/>
              <w:right w:val="nil"/>
            </w:tcBorders>
          </w:tcPr>
          <w:p>
            <w:pPr/>
          </w:p>
        </w:tc>
      </w:tr>
      <w:tr>
        <w:trPr>
          <w:trHeight w:val="471" w:hRule="exact"/>
        </w:trPr>
        <w:tc>
          <w:tcPr>
            <w:tcW w:w="1700" w:type="dxa"/>
            <w:tcBorders>
              <w:top w:val="nil"/>
              <w:left w:val="nil"/>
              <w:right w:val="nil"/>
            </w:tcBorders>
          </w:tcPr>
          <w:p>
            <w:pPr/>
          </w:p>
        </w:tc>
        <w:tc>
          <w:tcPr>
            <w:tcW w:w="1187" w:type="dxa"/>
            <w:tcBorders>
              <w:left w:val="nil"/>
              <w:right w:val="nil"/>
            </w:tcBorders>
          </w:tcPr>
          <w:p>
            <w:pPr>
              <w:pStyle w:val="TableParagraph"/>
              <w:spacing w:line="225" w:lineRule="exact"/>
              <w:ind w:left="110"/>
              <w:rPr>
                <w:sz w:val="20"/>
              </w:rPr>
            </w:pPr>
            <w:r>
              <w:rPr>
                <w:sz w:val="20"/>
              </w:rPr>
              <w:t>CC</w:t>
            </w:r>
          </w:p>
        </w:tc>
        <w:tc>
          <w:tcPr>
            <w:tcW w:w="1208" w:type="dxa"/>
            <w:tcBorders>
              <w:left w:val="nil"/>
              <w:right w:val="nil"/>
            </w:tcBorders>
          </w:tcPr>
          <w:p>
            <w:pPr>
              <w:pStyle w:val="TableParagraph"/>
              <w:spacing w:line="225" w:lineRule="exact"/>
              <w:ind w:left="186"/>
              <w:rPr>
                <w:sz w:val="20"/>
              </w:rPr>
            </w:pPr>
            <w:r>
              <w:rPr>
                <w:sz w:val="20"/>
              </w:rPr>
              <w:t>CP5</w:t>
            </w:r>
          </w:p>
        </w:tc>
        <w:tc>
          <w:tcPr>
            <w:tcW w:w="1152" w:type="dxa"/>
            <w:tcBorders>
              <w:left w:val="nil"/>
              <w:right w:val="nil"/>
            </w:tcBorders>
          </w:tcPr>
          <w:p>
            <w:pPr>
              <w:pStyle w:val="TableParagraph"/>
              <w:spacing w:line="225" w:lineRule="exact"/>
              <w:ind w:left="131"/>
              <w:rPr>
                <w:sz w:val="20"/>
              </w:rPr>
            </w:pPr>
            <w:r>
              <w:rPr>
                <w:sz w:val="20"/>
              </w:rPr>
              <w:t>CP8</w:t>
            </w:r>
          </w:p>
        </w:tc>
        <w:tc>
          <w:tcPr>
            <w:tcW w:w="1263" w:type="dxa"/>
            <w:tcBorders>
              <w:left w:val="nil"/>
              <w:right w:val="nil"/>
            </w:tcBorders>
          </w:tcPr>
          <w:p>
            <w:pPr>
              <w:pStyle w:val="TableParagraph"/>
              <w:spacing w:line="225" w:lineRule="exact"/>
              <w:ind w:left="131"/>
              <w:rPr>
                <w:sz w:val="20"/>
              </w:rPr>
            </w:pPr>
            <w:r>
              <w:rPr>
                <w:sz w:val="20"/>
              </w:rPr>
              <w:t>CC</w:t>
            </w:r>
          </w:p>
        </w:tc>
        <w:tc>
          <w:tcPr>
            <w:tcW w:w="1263" w:type="dxa"/>
            <w:tcBorders>
              <w:left w:val="nil"/>
              <w:right w:val="nil"/>
            </w:tcBorders>
          </w:tcPr>
          <w:p>
            <w:pPr>
              <w:pStyle w:val="TableParagraph"/>
              <w:spacing w:line="225" w:lineRule="exact"/>
              <w:ind w:left="131"/>
              <w:rPr>
                <w:sz w:val="20"/>
              </w:rPr>
            </w:pPr>
            <w:r>
              <w:rPr>
                <w:sz w:val="20"/>
              </w:rPr>
              <w:t>CP5</w:t>
            </w:r>
          </w:p>
        </w:tc>
        <w:tc>
          <w:tcPr>
            <w:tcW w:w="1289" w:type="dxa"/>
            <w:tcBorders>
              <w:left w:val="nil"/>
              <w:right w:val="nil"/>
            </w:tcBorders>
          </w:tcPr>
          <w:p>
            <w:pPr>
              <w:pStyle w:val="TableParagraph"/>
              <w:spacing w:line="225" w:lineRule="exact"/>
              <w:ind w:left="131"/>
              <w:rPr>
                <w:sz w:val="20"/>
              </w:rPr>
            </w:pPr>
            <w:r>
              <w:rPr>
                <w:sz w:val="20"/>
              </w:rPr>
              <w:t>CP8</w:t>
            </w:r>
          </w:p>
        </w:tc>
      </w:tr>
      <w:tr>
        <w:trPr>
          <w:trHeight w:val="422" w:hRule="exact"/>
        </w:trPr>
        <w:tc>
          <w:tcPr>
            <w:tcW w:w="1700" w:type="dxa"/>
            <w:tcBorders>
              <w:left w:val="nil"/>
              <w:bottom w:val="nil"/>
              <w:right w:val="nil"/>
            </w:tcBorders>
          </w:tcPr>
          <w:p>
            <w:pPr>
              <w:pStyle w:val="TableParagraph"/>
              <w:spacing w:line="225" w:lineRule="exact"/>
              <w:ind w:left="124"/>
              <w:rPr>
                <w:sz w:val="20"/>
              </w:rPr>
            </w:pPr>
            <w:r>
              <w:rPr>
                <w:sz w:val="20"/>
              </w:rPr>
              <w:t>Campo claro</w:t>
            </w:r>
          </w:p>
        </w:tc>
        <w:tc>
          <w:tcPr>
            <w:tcW w:w="1187" w:type="dxa"/>
            <w:tcBorders>
              <w:left w:val="nil"/>
              <w:bottom w:val="nil"/>
              <w:right w:val="nil"/>
            </w:tcBorders>
          </w:tcPr>
          <w:p>
            <w:pPr>
              <w:pStyle w:val="TableParagraph"/>
              <w:spacing w:line="225" w:lineRule="exact"/>
              <w:ind w:left="110"/>
              <w:rPr>
                <w:sz w:val="20"/>
              </w:rPr>
            </w:pPr>
            <w:r>
              <w:rPr>
                <w:sz w:val="20"/>
              </w:rPr>
              <w:t>6.13±0.31</w:t>
            </w:r>
          </w:p>
        </w:tc>
        <w:tc>
          <w:tcPr>
            <w:tcW w:w="1208" w:type="dxa"/>
            <w:tcBorders>
              <w:left w:val="nil"/>
              <w:bottom w:val="nil"/>
              <w:right w:val="nil"/>
            </w:tcBorders>
          </w:tcPr>
          <w:p>
            <w:pPr>
              <w:pStyle w:val="TableParagraph"/>
              <w:spacing w:line="225" w:lineRule="exact"/>
              <w:ind w:left="186"/>
              <w:rPr>
                <w:sz w:val="20"/>
              </w:rPr>
            </w:pPr>
            <w:r>
              <w:rPr>
                <w:sz w:val="20"/>
              </w:rPr>
              <w:t>4.88±0.13</w:t>
            </w:r>
          </w:p>
        </w:tc>
        <w:tc>
          <w:tcPr>
            <w:tcW w:w="1152" w:type="dxa"/>
            <w:tcBorders>
              <w:left w:val="nil"/>
              <w:bottom w:val="nil"/>
              <w:right w:val="nil"/>
            </w:tcBorders>
          </w:tcPr>
          <w:p>
            <w:pPr>
              <w:pStyle w:val="TableParagraph"/>
              <w:spacing w:line="225" w:lineRule="exact"/>
              <w:ind w:left="131"/>
              <w:rPr>
                <w:sz w:val="20"/>
              </w:rPr>
            </w:pPr>
            <w:r>
              <w:rPr>
                <w:sz w:val="20"/>
              </w:rPr>
              <w:t>5.22±0.10</w:t>
            </w:r>
          </w:p>
        </w:tc>
        <w:tc>
          <w:tcPr>
            <w:tcW w:w="1263" w:type="dxa"/>
            <w:tcBorders>
              <w:left w:val="nil"/>
              <w:bottom w:val="nil"/>
              <w:right w:val="nil"/>
            </w:tcBorders>
          </w:tcPr>
          <w:p>
            <w:pPr>
              <w:pStyle w:val="TableParagraph"/>
              <w:spacing w:line="225" w:lineRule="exact"/>
              <w:ind w:left="131"/>
              <w:rPr>
                <w:sz w:val="20"/>
              </w:rPr>
            </w:pPr>
            <w:r>
              <w:rPr>
                <w:sz w:val="20"/>
              </w:rPr>
              <w:t>86.50±2.93</w:t>
            </w:r>
          </w:p>
        </w:tc>
        <w:tc>
          <w:tcPr>
            <w:tcW w:w="1263" w:type="dxa"/>
            <w:tcBorders>
              <w:left w:val="nil"/>
              <w:bottom w:val="nil"/>
              <w:right w:val="nil"/>
            </w:tcBorders>
          </w:tcPr>
          <w:p>
            <w:pPr>
              <w:pStyle w:val="TableParagraph"/>
              <w:spacing w:line="225" w:lineRule="exact"/>
              <w:ind w:left="131"/>
              <w:rPr>
                <w:sz w:val="20"/>
              </w:rPr>
            </w:pPr>
            <w:r>
              <w:rPr>
                <w:sz w:val="20"/>
              </w:rPr>
              <w:t>74.98±2.44</w:t>
            </w:r>
          </w:p>
        </w:tc>
        <w:tc>
          <w:tcPr>
            <w:tcW w:w="1289" w:type="dxa"/>
            <w:tcBorders>
              <w:left w:val="nil"/>
              <w:bottom w:val="nil"/>
              <w:right w:val="nil"/>
            </w:tcBorders>
          </w:tcPr>
          <w:p>
            <w:pPr>
              <w:pStyle w:val="TableParagraph"/>
              <w:spacing w:line="225" w:lineRule="exact"/>
              <w:ind w:left="131"/>
              <w:rPr>
                <w:sz w:val="20"/>
              </w:rPr>
            </w:pPr>
            <w:r>
              <w:rPr>
                <w:sz w:val="20"/>
              </w:rPr>
              <w:t>82.22±1.50</w:t>
            </w:r>
          </w:p>
        </w:tc>
      </w:tr>
      <w:tr>
        <w:trPr>
          <w:trHeight w:val="792" w:hRule="exact"/>
        </w:trPr>
        <w:tc>
          <w:tcPr>
            <w:tcW w:w="1700" w:type="dxa"/>
            <w:tcBorders>
              <w:top w:val="nil"/>
              <w:left w:val="nil"/>
              <w:right w:val="nil"/>
            </w:tcBorders>
          </w:tcPr>
          <w:p>
            <w:pPr>
              <w:pStyle w:val="TableParagraph"/>
              <w:spacing w:before="172"/>
              <w:ind w:left="124"/>
              <w:rPr>
                <w:sz w:val="20"/>
              </w:rPr>
            </w:pPr>
            <w:r>
              <w:rPr>
                <w:sz w:val="20"/>
              </w:rPr>
              <w:t>Epifluorescencia</w:t>
            </w:r>
          </w:p>
        </w:tc>
        <w:tc>
          <w:tcPr>
            <w:tcW w:w="1187" w:type="dxa"/>
            <w:tcBorders>
              <w:top w:val="nil"/>
              <w:left w:val="nil"/>
              <w:right w:val="nil"/>
            </w:tcBorders>
          </w:tcPr>
          <w:p>
            <w:pPr>
              <w:pStyle w:val="TableParagraph"/>
              <w:spacing w:before="172"/>
              <w:ind w:left="110"/>
              <w:rPr>
                <w:sz w:val="20"/>
              </w:rPr>
            </w:pPr>
            <w:r>
              <w:rPr>
                <w:sz w:val="20"/>
              </w:rPr>
              <w:t>7.62±0.55</w:t>
            </w:r>
          </w:p>
        </w:tc>
        <w:tc>
          <w:tcPr>
            <w:tcW w:w="1208" w:type="dxa"/>
            <w:tcBorders>
              <w:top w:val="nil"/>
              <w:left w:val="nil"/>
              <w:right w:val="nil"/>
            </w:tcBorders>
          </w:tcPr>
          <w:p>
            <w:pPr>
              <w:pStyle w:val="TableParagraph"/>
              <w:spacing w:before="172"/>
              <w:ind w:left="186"/>
              <w:rPr>
                <w:sz w:val="20"/>
              </w:rPr>
            </w:pPr>
            <w:r>
              <w:rPr>
                <w:sz w:val="20"/>
              </w:rPr>
              <w:t>4.67±0.29</w:t>
            </w:r>
          </w:p>
        </w:tc>
        <w:tc>
          <w:tcPr>
            <w:tcW w:w="1152" w:type="dxa"/>
            <w:tcBorders>
              <w:top w:val="nil"/>
              <w:left w:val="nil"/>
              <w:right w:val="nil"/>
            </w:tcBorders>
          </w:tcPr>
          <w:p>
            <w:pPr>
              <w:pStyle w:val="TableParagraph"/>
              <w:spacing w:before="172"/>
              <w:ind w:left="131"/>
              <w:rPr>
                <w:sz w:val="20"/>
              </w:rPr>
            </w:pPr>
            <w:r>
              <w:rPr>
                <w:sz w:val="20"/>
              </w:rPr>
              <w:t>5.53±0.40</w:t>
            </w:r>
          </w:p>
        </w:tc>
        <w:tc>
          <w:tcPr>
            <w:tcW w:w="1263" w:type="dxa"/>
            <w:tcBorders>
              <w:top w:val="nil"/>
              <w:left w:val="nil"/>
              <w:right w:val="nil"/>
            </w:tcBorders>
          </w:tcPr>
          <w:p>
            <w:pPr>
              <w:pStyle w:val="TableParagraph"/>
              <w:spacing w:before="172"/>
              <w:ind w:left="131"/>
              <w:rPr>
                <w:sz w:val="20"/>
              </w:rPr>
            </w:pPr>
            <w:r>
              <w:rPr>
                <w:sz w:val="20"/>
              </w:rPr>
              <w:t>86.77±2.6</w:t>
            </w:r>
          </w:p>
        </w:tc>
        <w:tc>
          <w:tcPr>
            <w:tcW w:w="1263" w:type="dxa"/>
            <w:tcBorders>
              <w:top w:val="nil"/>
              <w:left w:val="nil"/>
              <w:right w:val="nil"/>
            </w:tcBorders>
          </w:tcPr>
          <w:p>
            <w:pPr>
              <w:pStyle w:val="TableParagraph"/>
              <w:spacing w:before="172"/>
              <w:ind w:left="131"/>
              <w:rPr>
                <w:sz w:val="20"/>
              </w:rPr>
            </w:pPr>
            <w:r>
              <w:rPr>
                <w:sz w:val="20"/>
              </w:rPr>
              <w:t>62.52±3.26</w:t>
            </w:r>
          </w:p>
        </w:tc>
        <w:tc>
          <w:tcPr>
            <w:tcW w:w="1289" w:type="dxa"/>
            <w:tcBorders>
              <w:top w:val="nil"/>
              <w:left w:val="nil"/>
              <w:right w:val="nil"/>
            </w:tcBorders>
          </w:tcPr>
          <w:p>
            <w:pPr>
              <w:pStyle w:val="TableParagraph"/>
              <w:spacing w:before="172"/>
              <w:ind w:left="131"/>
              <w:rPr>
                <w:sz w:val="20"/>
              </w:rPr>
            </w:pPr>
            <w:r>
              <w:rPr>
                <w:sz w:val="20"/>
              </w:rPr>
              <w:t>78.60±4.07</w:t>
            </w:r>
          </w:p>
        </w:tc>
      </w:tr>
    </w:tbl>
    <w:p>
      <w:pPr>
        <w:pStyle w:val="BodyText"/>
        <w:spacing w:line="480" w:lineRule="auto"/>
        <w:ind w:left="600" w:right="281"/>
      </w:pPr>
      <w:r>
        <w:rPr/>
        <w:pict>
          <v:group style="position:absolute;margin-left:163.460815pt;margin-top:114.413391pt;width:303.1pt;height:174.7pt;mso-position-horizontal-relative:page;mso-position-vertical-relative:paragraph;z-index:2584" coordorigin="3269,2288" coordsize="6062,3494">
            <v:rect style="position:absolute;left:4631;top:3065;width:210;height:2165" filled="true" fillcolor="#000000" stroked="false">
              <v:fill type="solid"/>
            </v:rect>
            <v:rect style="position:absolute;left:4841;top:3020;width:224;height:2210" filled="true" fillcolor="#b3b3b3" stroked="false">
              <v:fill type="solid"/>
            </v:rect>
            <v:shape style="position:absolute;left:1493;top:8800;width:90;height:120" coordorigin="1493,8800" coordsize="90,120" path="m4728,3132l4728,3072,4728,3012m4684,3132l4773,3132m4684,3012l4773,3012e" filled="false" stroked="true" strokeweight=".747417pt" strokecolor="#000000">
              <v:path arrowok="t"/>
            </v:shape>
            <v:line style="position:absolute" from="4945,3027" to="4960,3027" stroked="true" strokeweight="2.986016pt" strokecolor="#000000"/>
            <v:line style="position:absolute" from="4908,2998" to="4998,2998" stroked="true" strokeweight=".746504pt" strokecolor="#000000"/>
            <v:rect style="position:absolute;left:5394;top:4767;width:224;height:463" filled="true" fillcolor="#000000" stroked="false">
              <v:fill type="solid"/>
            </v:rect>
            <v:rect style="position:absolute;left:5619;top:4617;width:224;height:612" filled="true" fillcolor="#b3b3b3" stroked="false">
              <v:fill type="solid"/>
            </v:rect>
            <v:line style="position:absolute" from="5499,4767" to="5514,4767" stroked="true" strokeweight="3.73252pt" strokecolor="#000000"/>
            <v:shape style="position:absolute;left:2272;top:10525;width:90;height:75" coordorigin="2272,10525" coordsize="90,75" path="m5462,4804l5552,4804m5462,4729l5552,4729e" filled="false" stroked="true" strokeweight=".747417pt" strokecolor="#000000">
              <v:path arrowok="t"/>
            </v:shape>
            <v:line style="position:absolute" from="5724,4617" to="5739,4617" stroked="true" strokeweight="3.73252pt" strokecolor="#000000"/>
            <v:shape style="position:absolute;left:2497;top:10375;width:91;height:75" coordorigin="2497,10375" coordsize="91,75" path="m5686,4655l5776,4655m5686,4580l5776,4580e" filled="false" stroked="true" strokeweight=".747417pt" strokecolor="#000000">
              <v:path arrowok="t"/>
            </v:shape>
            <v:rect style="position:absolute;left:6173;top:4035;width:210;height:1194" filled="true" fillcolor="#000000" stroked="false">
              <v:fill type="solid"/>
            </v:rect>
            <v:rect style="position:absolute;left:6382;top:3871;width:224;height:1359" filled="true" fillcolor="#b3b3b3" stroked="false">
              <v:fill type="solid"/>
            </v:rect>
            <v:shape style="position:absolute;left:3053;top:9565;width:300;height:345" coordorigin="3053,9565" coordsize="300,345" path="m6285,4117l6285,4043,6285,3968m6240,4117l6330,4117m6240,3968l6330,3968m6495,3968l6495,3878,6495,3774m6450,3968l6540,3968m6450,3774l6540,3774e" filled="false" stroked="true" strokeweight=".747417pt" strokecolor="#000000">
              <v:path arrowok="t"/>
            </v:shape>
            <v:rect style="position:absolute;left:6936;top:4289;width:224;height:941" filled="true" fillcolor="#000000" stroked="false">
              <v:fill type="solid"/>
            </v:rect>
            <v:rect style="position:absolute;left:7161;top:4199;width:224;height:1030" filled="true" fillcolor="#b3b3b3" stroked="false">
              <v:fill type="solid"/>
            </v:rect>
            <v:shape style="position:absolute;left:3818;top:9895;width:315;height:240" coordorigin="3818,9895" coordsize="315,240" path="m7048,4341l7048,4296,7048,4237m7003,4341l7093,4341m7003,4237l7093,4237m7273,4296l7273,4192,7273,4102m7228,4296l7318,4296m7228,4102l7318,4102e" filled="false" stroked="true" strokeweight=".747417pt" strokecolor="#000000">
              <v:path arrowok="t"/>
            </v:shape>
            <v:rect style="position:absolute;left:7714;top:4632;width:224;height:597" filled="true" fillcolor="#000000" stroked="false">
              <v:fill type="solid"/>
            </v:rect>
            <v:rect style="position:absolute;left:7939;top:4423;width:210;height:806" filled="true" fillcolor="#b3b3b3" stroked="false">
              <v:fill type="solid"/>
            </v:rect>
            <v:line style="position:absolute" from="7819,4632" to="7834,4632" stroked="true" strokeweight="3.73252pt" strokecolor="#000000"/>
            <v:shape style="position:absolute;left:4598;top:10165;width:300;height:300" coordorigin="4598,10165" coordsize="300,300" path="m7782,4670l7872,4670m7782,4595l7872,4595m8036,4490l8036,4431,8036,4371m7991,4490l8081,4490m7991,4371l8081,4371e" filled="false" stroked="true" strokeweight=".747417pt" strokecolor="#000000">
              <v:path arrowok="t"/>
            </v:shape>
            <v:shape style="position:absolute;left:1193;top:8305;width:3946;height:2715" coordorigin="1193,8305" coordsize="3946,2715" path="m4459,5222l4459,2520m4384,5222l4459,5222m4384,4774l4459,4774m4384,4326l4459,4326m4384,3878l4459,3878m4384,3430l4459,3430m4384,2968l4459,2968m4384,2520l4459,2520m4459,5222l8321,5222e" filled="false" stroked="true" strokeweight=".747417pt" strokecolor="#858585">
              <v:path arrowok="t"/>
            </v:shape>
            <v:rect style="position:absolute;left:8642;top:3796;width:105;height:105" filled="true" fillcolor="#000000" stroked="false">
              <v:fill type="solid"/>
            </v:rect>
            <v:rect style="position:absolute;left:8642;top:4155;width:105;height:105" filled="true" fillcolor="#b3b3b3" stroked="false">
              <v:fill type="solid"/>
            </v:rect>
            <v:rect style="position:absolute;left:3277;top:2296;width:6047;height:3479" filled="false" stroked="true" strokeweight=".747705pt" strokecolor="#858585"/>
            <v:shape style="position:absolute;left:3857;top:2398;width:406;height:2969" type="#_x0000_t202" filled="false" stroked="false">
              <v:textbox inset="0,0,0,0">
                <w:txbxContent>
                  <w:p>
                    <w:pPr>
                      <w:spacing w:line="246" w:lineRule="exact" w:before="0"/>
                      <w:ind w:left="0" w:right="0" w:firstLine="0"/>
                      <w:jc w:val="center"/>
                      <w:rPr>
                        <w:sz w:val="24"/>
                      </w:rPr>
                    </w:pPr>
                    <w:r>
                      <w:rPr>
                        <w:sz w:val="24"/>
                      </w:rPr>
                      <w:t>120</w:t>
                    </w:r>
                  </w:p>
                  <w:p>
                    <w:pPr>
                      <w:spacing w:before="179"/>
                      <w:ind w:left="0" w:right="0" w:firstLine="0"/>
                      <w:jc w:val="center"/>
                      <w:rPr>
                        <w:sz w:val="24"/>
                      </w:rPr>
                    </w:pPr>
                    <w:r>
                      <w:rPr>
                        <w:sz w:val="24"/>
                      </w:rPr>
                      <w:t>100</w:t>
                    </w:r>
                  </w:p>
                  <w:p>
                    <w:pPr>
                      <w:spacing w:before="178"/>
                      <w:ind w:left="132" w:right="0" w:firstLine="0"/>
                      <w:jc w:val="center"/>
                      <w:rPr>
                        <w:sz w:val="24"/>
                      </w:rPr>
                    </w:pPr>
                    <w:r>
                      <w:rPr>
                        <w:sz w:val="24"/>
                      </w:rPr>
                      <w:t>80</w:t>
                    </w:r>
                  </w:p>
                  <w:p>
                    <w:pPr>
                      <w:spacing w:before="179"/>
                      <w:ind w:left="132" w:right="0" w:firstLine="0"/>
                      <w:jc w:val="center"/>
                      <w:rPr>
                        <w:sz w:val="24"/>
                      </w:rPr>
                    </w:pPr>
                    <w:r>
                      <w:rPr>
                        <w:sz w:val="24"/>
                      </w:rPr>
                      <w:t>60</w:t>
                    </w:r>
                  </w:p>
                  <w:p>
                    <w:pPr>
                      <w:spacing w:before="178"/>
                      <w:ind w:left="132" w:right="0" w:firstLine="0"/>
                      <w:jc w:val="center"/>
                      <w:rPr>
                        <w:sz w:val="24"/>
                      </w:rPr>
                    </w:pPr>
                    <w:r>
                      <w:rPr>
                        <w:sz w:val="24"/>
                      </w:rPr>
                      <w:t>40</w:t>
                    </w:r>
                  </w:p>
                  <w:p>
                    <w:pPr>
                      <w:spacing w:before="178"/>
                      <w:ind w:left="132" w:right="0" w:firstLine="0"/>
                      <w:jc w:val="center"/>
                      <w:rPr>
                        <w:sz w:val="24"/>
                      </w:rPr>
                    </w:pPr>
                    <w:r>
                      <w:rPr>
                        <w:sz w:val="24"/>
                      </w:rPr>
                      <w:t>20</w:t>
                    </w:r>
                  </w:p>
                  <w:p>
                    <w:pPr>
                      <w:spacing w:line="271" w:lineRule="exact" w:before="179"/>
                      <w:ind w:left="263" w:right="0" w:firstLine="0"/>
                      <w:jc w:val="center"/>
                      <w:rPr>
                        <w:sz w:val="24"/>
                      </w:rPr>
                    </w:pPr>
                    <w:r>
                      <w:rPr>
                        <w:w w:val="100"/>
                        <w:sz w:val="24"/>
                      </w:rPr>
                      <w:t>0</w:t>
                    </w:r>
                  </w:p>
                </w:txbxContent>
              </v:textbox>
              <w10:wrap type="none"/>
            </v:shape>
            <v:shape style="position:absolute;left:4908;top:2852;width:152;height:241" type="#_x0000_t202" filled="false" stroked="false">
              <v:textbox inset="0,0,0,0">
                <w:txbxContent>
                  <w:p>
                    <w:pPr>
                      <w:spacing w:line="241" w:lineRule="exact" w:before="0"/>
                      <w:ind w:left="0" w:right="0" w:firstLine="0"/>
                      <w:jc w:val="left"/>
                      <w:rPr>
                        <w:sz w:val="24"/>
                      </w:rPr>
                    </w:pPr>
                    <w:r>
                      <w:rPr>
                        <w:w w:val="100"/>
                        <w:sz w:val="24"/>
                        <w:u w:val="single"/>
                      </w:rPr>
                      <w:t> </w:t>
                    </w:r>
                    <w:r>
                      <w:rPr>
                        <w:spacing w:val="17"/>
                        <w:sz w:val="24"/>
                        <w:u w:val="single"/>
                      </w:rPr>
                      <w:t> </w:t>
                    </w:r>
                  </w:p>
                </w:txbxContent>
              </v:textbox>
              <w10:wrap type="none"/>
            </v:shape>
            <v:shape style="position:absolute;left:8824;top:3743;width:322;height:591" type="#_x0000_t202" filled="false" stroked="false">
              <v:textbox inset="0,0,0,0">
                <w:txbxContent>
                  <w:p>
                    <w:pPr>
                      <w:spacing w:line="230" w:lineRule="exact" w:before="0"/>
                      <w:ind w:left="0" w:right="-16" w:firstLine="0"/>
                      <w:jc w:val="left"/>
                      <w:rPr>
                        <w:sz w:val="22"/>
                      </w:rPr>
                    </w:pPr>
                    <w:r>
                      <w:rPr>
                        <w:sz w:val="22"/>
                      </w:rPr>
                      <w:t>FM</w:t>
                    </w:r>
                  </w:p>
                  <w:p>
                    <w:pPr>
                      <w:spacing w:line="249" w:lineRule="exact" w:before="112"/>
                      <w:ind w:left="0" w:right="-19" w:firstLine="0"/>
                      <w:jc w:val="left"/>
                      <w:rPr>
                        <w:sz w:val="22"/>
                      </w:rPr>
                    </w:pPr>
                    <w:r>
                      <w:rPr>
                        <w:w w:val="105"/>
                        <w:sz w:val="22"/>
                      </w:rPr>
                      <w:t>LM</w:t>
                    </w:r>
                  </w:p>
                </w:txbxContent>
              </v:textbox>
              <w10:wrap type="none"/>
            </v:shape>
            <v:shape style="position:absolute;left:4529;top:5413;width:3614;height:241" type="#_x0000_t202" filled="false" stroked="false">
              <v:textbox inset="0,0,0,0">
                <w:txbxContent>
                  <w:p>
                    <w:pPr>
                      <w:tabs>
                        <w:tab w:pos="1641" w:val="left" w:leader="none"/>
                        <w:tab w:pos="2416" w:val="left" w:leader="none"/>
                        <w:tab w:pos="3253" w:val="left" w:leader="none"/>
                      </w:tabs>
                      <w:spacing w:line="241" w:lineRule="exact" w:before="0"/>
                      <w:ind w:left="0" w:right="0" w:firstLine="0"/>
                      <w:jc w:val="left"/>
                      <w:rPr>
                        <w:sz w:val="24"/>
                      </w:rPr>
                    </w:pPr>
                    <w:r>
                      <w:rPr>
                        <w:sz w:val="24"/>
                      </w:rPr>
                      <w:t>CC(+) </w:t>
                    </w:r>
                    <w:r>
                      <w:rPr>
                        <w:spacing w:val="22"/>
                        <w:sz w:val="24"/>
                      </w:rPr>
                      <w:t> </w:t>
                    </w:r>
                    <w:r>
                      <w:rPr>
                        <w:sz w:val="24"/>
                      </w:rPr>
                      <w:t>CC(-)</w:t>
                      <w:tab/>
                      <w:t>CP5</w:t>
                      <w:tab/>
                      <w:t>CP8</w:t>
                      <w:tab/>
                    </w:r>
                    <w:r>
                      <w:rPr>
                        <w:spacing w:val="5"/>
                        <w:sz w:val="24"/>
                      </w:rPr>
                      <w:t>CC</w:t>
                    </w:r>
                  </w:p>
                </w:txbxContent>
              </v:textbox>
              <w10:wrap type="none"/>
            </v:shape>
            <w10:wrap type="none"/>
          </v:group>
        </w:pict>
      </w:r>
      <w:r>
        <w:rPr/>
        <w:pict>
          <v:shape style="position:absolute;margin-left:176.520706pt;margin-top:180.347183pt;width:14.05pt;height:28.75pt;mso-position-horizontal-relative:page;mso-position-vertical-relative:paragraph;z-index:2608" type="#_x0000_t202" filled="false" stroked="false">
            <v:textbox inset="0,0,0,0" style="layout-flow:vertical;mso-layout-flow-alt:bottom-to-top">
              <w:txbxContent>
                <w:p>
                  <w:pPr>
                    <w:pStyle w:val="BodyText"/>
                    <w:spacing w:line="266" w:lineRule="exact"/>
                    <w:ind w:left="20" w:right="-294"/>
                  </w:pPr>
                  <w:r>
                    <w:rPr>
                      <w:spacing w:val="5"/>
                      <w:w w:val="100"/>
                    </w:rPr>
                    <w:t>P</w:t>
                  </w:r>
                  <w:r>
                    <w:rPr>
                      <w:spacing w:val="-5"/>
                      <w:w w:val="100"/>
                    </w:rPr>
                    <w:t>M</w:t>
                  </w:r>
                  <w:r>
                    <w:rPr>
                      <w:w w:val="100"/>
                    </w:rPr>
                    <w:t>N</w:t>
                  </w:r>
                </w:p>
              </w:txbxContent>
            </v:textbox>
            <w10:wrap type="none"/>
          </v:shape>
        </w:pict>
      </w:r>
      <w:r>
        <w:rPr/>
        <w:t>Los datos muestran la media y desviación estándar ±, CC: cepa de </w:t>
      </w:r>
      <w:r>
        <w:rPr>
          <w:i/>
        </w:rPr>
        <w:t>S. aureus </w:t>
      </w:r>
      <w:r>
        <w:rPr/>
        <w:t>tipo compacta; CP5: Cepa de </w:t>
      </w:r>
      <w:r>
        <w:rPr>
          <w:i/>
        </w:rPr>
        <w:t>S. aureus </w:t>
      </w:r>
      <w:r>
        <w:rPr/>
        <w:t>de tipo capsular 5; CP8: cepa de </w:t>
      </w:r>
      <w:r>
        <w:rPr>
          <w:i/>
        </w:rPr>
        <w:t>S. </w:t>
      </w:r>
      <w:r>
        <w:rPr>
          <w:i/>
        </w:rPr>
        <w:t>aureus </w:t>
      </w:r>
      <w:r>
        <w:rPr/>
        <w:t>tipo capsular 8, IFN y CFN fueron deferentes significativamente en los tratamientos (P&lt;0.05).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5"/>
        </w:rPr>
      </w:pPr>
    </w:p>
    <w:p>
      <w:pPr>
        <w:pStyle w:val="BodyText"/>
        <w:spacing w:line="480" w:lineRule="auto" w:before="70"/>
        <w:ind w:left="600" w:right="281"/>
      </w:pPr>
      <w:r>
        <w:rPr/>
        <w:t>GRAFICA 1. Proporción de neutrófilos bovinos apoptóticos inducidos por </w:t>
      </w:r>
      <w:r>
        <w:rPr>
          <w:i/>
        </w:rPr>
        <w:t>S. </w:t>
      </w:r>
      <w:r>
        <w:rPr>
          <w:i/>
        </w:rPr>
        <w:t>aureus </w:t>
      </w:r>
      <w:r>
        <w:rPr/>
        <w:t>después de una hora de incubación. Media y desviación estándar de los grupos controles y grupos experimentales observadas por microscopia de campo claro (LM) y microscopia de fluorescencia (FM). Control positivo CC(+) PMN incubados con ciclofosfamida (400μg/100µl); control negativo CC(-) neutrófilos; CP5 cepa capsular 5; CP cepa capsular 8 y CC cepa compacta.</w:t>
      </w:r>
    </w:p>
    <w:p>
      <w:pPr>
        <w:pStyle w:val="BodyText"/>
        <w:spacing w:before="8"/>
        <w:ind w:left="600" w:right="281"/>
      </w:pPr>
      <w:r>
        <w:rPr/>
        <w:t>Diferencias estadísticamente significativas entre los tratamientos P&lt;0.05.</w:t>
      </w:r>
    </w:p>
    <w:p>
      <w:pPr>
        <w:spacing w:after="0"/>
        <w:sectPr>
          <w:pgSz w:w="12240" w:h="15840"/>
          <w:pgMar w:header="726" w:footer="1527" w:top="1200" w:bottom="1720" w:left="1460" w:right="1500"/>
        </w:sectPr>
      </w:pPr>
    </w:p>
    <w:p>
      <w:pPr>
        <w:pStyle w:val="BodyText"/>
        <w:spacing w:before="3"/>
        <w:rPr>
          <w:rFonts w:ascii="Times New Roman"/>
          <w:sz w:val="22"/>
        </w:rPr>
      </w:pPr>
    </w:p>
    <w:p>
      <w:pPr>
        <w:pStyle w:val="BodyText"/>
        <w:ind w:left="161"/>
        <w:rPr>
          <w:rFonts w:ascii="Times New Roman"/>
          <w:sz w:val="20"/>
        </w:rPr>
      </w:pPr>
      <w:r>
        <w:rPr>
          <w:rFonts w:ascii="Times New Roman"/>
          <w:sz w:val="20"/>
        </w:rPr>
        <w:drawing>
          <wp:inline distT="0" distB="0" distL="0" distR="0">
            <wp:extent cx="5571790" cy="7014591"/>
            <wp:effectExtent l="0" t="0" r="0" b="0"/>
            <wp:docPr id="47" name="image30.jpeg" descr=""/>
            <wp:cNvGraphicFramePr>
              <a:graphicFrameLocks noChangeAspect="1"/>
            </wp:cNvGraphicFramePr>
            <a:graphic>
              <a:graphicData uri="http://schemas.openxmlformats.org/drawingml/2006/picture">
                <pic:pic>
                  <pic:nvPicPr>
                    <pic:cNvPr id="48" name="image30.jpeg"/>
                    <pic:cNvPicPr/>
                  </pic:nvPicPr>
                  <pic:blipFill>
                    <a:blip r:embed="rId50" cstate="print"/>
                    <a:stretch>
                      <a:fillRect/>
                    </a:stretch>
                  </pic:blipFill>
                  <pic:spPr>
                    <a:xfrm>
                      <a:off x="0" y="0"/>
                      <a:ext cx="5571790" cy="7014591"/>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6" w:footer="1527" w:top="1200" w:bottom="1720" w:left="1540" w:right="1540"/>
        </w:sectPr>
      </w:pPr>
    </w:p>
    <w:p>
      <w:pPr>
        <w:pStyle w:val="BodyText"/>
        <w:spacing w:before="1"/>
        <w:rPr>
          <w:rFonts w:ascii="Times New Roman"/>
          <w:sz w:val="15"/>
        </w:rPr>
      </w:pPr>
    </w:p>
    <w:p>
      <w:pPr>
        <w:pStyle w:val="Heading1"/>
        <w:numPr>
          <w:ilvl w:val="0"/>
          <w:numId w:val="10"/>
        </w:numPr>
        <w:tabs>
          <w:tab w:pos="468" w:val="left" w:leader="none"/>
        </w:tabs>
        <w:spacing w:line="240" w:lineRule="auto" w:before="63" w:after="0"/>
        <w:ind w:left="467" w:right="0" w:hanging="308"/>
        <w:jc w:val="both"/>
      </w:pPr>
      <w:bookmarkStart w:name="_bookmark37" w:id="57"/>
      <w:bookmarkEnd w:id="57"/>
      <w:r>
        <w:rPr>
          <w:b w:val="0"/>
        </w:rPr>
      </w:r>
      <w:bookmarkStart w:name="_bookmark37" w:id="58"/>
      <w:bookmarkEnd w:id="58"/>
      <w:r>
        <w:rPr/>
        <w:t>DI</w:t>
      </w:r>
      <w:r>
        <w:rPr/>
        <w:t>SCUSIÓN</w:t>
      </w:r>
    </w:p>
    <w:p>
      <w:pPr>
        <w:pStyle w:val="BodyText"/>
        <w:spacing w:line="360" w:lineRule="auto" w:before="118"/>
        <w:ind w:left="159" w:right="154"/>
        <w:jc w:val="both"/>
      </w:pPr>
      <w:r>
        <w:rPr/>
        <w:t>En el estudio se evaluó la actividad de fagocitosis e inducción de apoptosis con los serotipos CP5 y CP8 de </w:t>
      </w:r>
      <w:r>
        <w:rPr>
          <w:i/>
        </w:rPr>
        <w:t>Staphylococcus aureus </w:t>
      </w:r>
      <w:r>
        <w:rPr/>
        <w:t>sobre los PMN obtenidos de las vacas lecheras donadoras.</w:t>
      </w:r>
    </w:p>
    <w:p>
      <w:pPr>
        <w:pStyle w:val="BodyText"/>
        <w:spacing w:line="360" w:lineRule="auto" w:before="209"/>
        <w:ind w:left="159" w:right="155"/>
        <w:jc w:val="both"/>
      </w:pPr>
      <w:r>
        <w:rPr/>
        <w:t>La técnica de LHE de eritrocitos para la concentración de </w:t>
      </w:r>
      <w:r>
        <w:rPr>
          <w:spacing w:val="-2"/>
        </w:rPr>
        <w:t>PMN </w:t>
      </w:r>
      <w:r>
        <w:rPr/>
        <w:t>permitió el aislamiento de neutrófilos con una alta viabilidad y pureza celular; similar a la obtenida por otros autores que emplearon el método LHE (Carlson y Kaneko, 1973; Vélazquez </w:t>
      </w:r>
      <w:r>
        <w:rPr>
          <w:i/>
        </w:rPr>
        <w:t>et al</w:t>
      </w:r>
      <w:r>
        <w:rPr/>
        <w:t>., 2008). La obtención de </w:t>
      </w:r>
      <w:r>
        <w:rPr>
          <w:spacing w:val="-2"/>
        </w:rPr>
        <w:t>PMN </w:t>
      </w:r>
      <w:r>
        <w:rPr/>
        <w:t>por el método de concentración por LHE facilitó la realización de los ensayos </w:t>
      </w:r>
      <w:r>
        <w:rPr>
          <w:i/>
          <w:spacing w:val="-3"/>
        </w:rPr>
        <w:t>in </w:t>
      </w:r>
      <w:r>
        <w:rPr>
          <w:i/>
        </w:rPr>
        <w:t>vitro </w:t>
      </w:r>
      <w:r>
        <w:rPr/>
        <w:t>para evaluar la actividad de fagocitosis y la inducción de apoptosis frente a los serotipos capsulares 5 y 8 de </w:t>
      </w:r>
      <w:r>
        <w:rPr>
          <w:i/>
        </w:rPr>
        <w:t>S. aureus</w:t>
      </w:r>
      <w:r>
        <w:rPr/>
        <w:t>. El procedimiento empleado es reproducible y simple, no observando diferencias significativas comparadas con  diversos métodos empleados por otros autores, sin afectar significativamente la actividad  de fagocitosis </w:t>
      </w:r>
      <w:r>
        <w:rPr>
          <w:i/>
          <w:spacing w:val="-3"/>
        </w:rPr>
        <w:t>in </w:t>
      </w:r>
      <w:r>
        <w:rPr>
          <w:i/>
        </w:rPr>
        <w:t>vitro </w:t>
      </w:r>
      <w:r>
        <w:rPr/>
        <w:t>de los </w:t>
      </w:r>
      <w:r>
        <w:rPr>
          <w:spacing w:val="-2"/>
        </w:rPr>
        <w:t>PMN </w:t>
      </w:r>
      <w:r>
        <w:rPr/>
        <w:t>(Zwahlen y Roth,</w:t>
      </w:r>
      <w:r>
        <w:rPr>
          <w:spacing w:val="-3"/>
        </w:rPr>
        <w:t> </w:t>
      </w:r>
      <w:r>
        <w:rPr/>
        <w:t>1990).</w:t>
      </w:r>
    </w:p>
    <w:p>
      <w:pPr>
        <w:pStyle w:val="BodyText"/>
        <w:spacing w:line="360" w:lineRule="auto" w:before="209"/>
        <w:ind w:left="159" w:right="154"/>
        <w:jc w:val="both"/>
      </w:pPr>
      <w:r>
        <w:rPr/>
        <w:t>La técnica de microscopia de campo claro empleada en la observación de frotis teñidos con May Grünwald-Giemsa permitió la identificación de los </w:t>
      </w:r>
      <w:r>
        <w:rPr>
          <w:spacing w:val="-2"/>
        </w:rPr>
        <w:t>PMN </w:t>
      </w:r>
      <w:r>
        <w:rPr/>
        <w:t>maduros  y la observación de los cambios inducidos por la apoptosis temprana y tardía en los leucocitos; las células con apoptosis temprana presentarón cariopicnosis y zeiosis. Mientras que los </w:t>
      </w:r>
      <w:r>
        <w:rPr>
          <w:spacing w:val="-2"/>
        </w:rPr>
        <w:t>PMN </w:t>
      </w:r>
      <w:r>
        <w:rPr/>
        <w:t>con un proceso de apoptosis </w:t>
      </w:r>
      <w:r>
        <w:rPr>
          <w:spacing w:val="-3"/>
        </w:rPr>
        <w:t>más </w:t>
      </w:r>
      <w:r>
        <w:rPr/>
        <w:t>avanzado tenían fragmentación nuclear o se habían fragmentado en cuerpos apoptóticos, cómo describe Sladek y Rysanek</w:t>
      </w:r>
      <w:r>
        <w:rPr>
          <w:spacing w:val="-14"/>
        </w:rPr>
        <w:t> </w:t>
      </w:r>
      <w:r>
        <w:rPr/>
        <w:t>(2000).</w:t>
      </w:r>
    </w:p>
    <w:p>
      <w:pPr>
        <w:pStyle w:val="BodyText"/>
        <w:spacing w:line="360" w:lineRule="auto" w:before="209"/>
        <w:ind w:left="159" w:right="153"/>
        <w:jc w:val="both"/>
      </w:pPr>
      <w:r>
        <w:rPr/>
        <w:t>El empleo del isotiocianato de fluresceína en los ensayos </w:t>
      </w:r>
      <w:r>
        <w:rPr>
          <w:i/>
          <w:spacing w:val="-3"/>
        </w:rPr>
        <w:t>in </w:t>
      </w:r>
      <w:r>
        <w:rPr>
          <w:i/>
        </w:rPr>
        <w:t>vitro </w:t>
      </w:r>
      <w:r>
        <w:rPr/>
        <w:t>favoreció la  tinción de las bacterias para ser observadas y contabilizadas al interior de los </w:t>
      </w:r>
      <w:r>
        <w:rPr>
          <w:spacing w:val="-2"/>
        </w:rPr>
        <w:t>PMN </w:t>
      </w:r>
      <w:r>
        <w:rPr/>
        <w:t>(Sutra </w:t>
      </w:r>
      <w:r>
        <w:rPr>
          <w:i/>
        </w:rPr>
        <w:t>et al</w:t>
      </w:r>
      <w:r>
        <w:rPr/>
        <w:t>., 1990) Así </w:t>
      </w:r>
      <w:r>
        <w:rPr>
          <w:spacing w:val="-3"/>
        </w:rPr>
        <w:t>mismo </w:t>
      </w:r>
      <w:r>
        <w:rPr/>
        <w:t>mediante la técnica de epifluorescencia empleada  en la observación de los frotis húmedos teñidos con bromuro de etidio y naranja  de acridina, se identificaron las características estructurales de los </w:t>
      </w:r>
      <w:r>
        <w:rPr>
          <w:spacing w:val="-2"/>
        </w:rPr>
        <w:t>PMN </w:t>
      </w:r>
      <w:r>
        <w:rPr/>
        <w:t>propias  de la apoptosis; condensación nuclear, fragmentación nuclear, formación de cuerpos apoptóticos. Dichos cambios diferenciaron a las células con apoptosis temprana   y   tardía;   las   de   color   verdoso   brillante   y   alta   condensación</w:t>
      </w:r>
      <w:r>
        <w:rPr>
          <w:spacing w:val="23"/>
        </w:rPr>
        <w:t> </w:t>
      </w:r>
      <w:r>
        <w:rPr/>
        <w:t>o</w:t>
      </w:r>
    </w:p>
    <w:p>
      <w:pPr>
        <w:spacing w:after="0" w:line="360" w:lineRule="auto"/>
        <w:jc w:val="both"/>
        <w:sectPr>
          <w:pgSz w:w="12240" w:h="15840"/>
          <w:pgMar w:header="726" w:footer="1527" w:top="1200" w:bottom="1720" w:left="1540" w:right="1540"/>
        </w:sectPr>
      </w:pPr>
    </w:p>
    <w:p>
      <w:pPr>
        <w:pStyle w:val="BodyText"/>
        <w:spacing w:before="8"/>
        <w:rPr>
          <w:sz w:val="15"/>
        </w:rPr>
      </w:pPr>
    </w:p>
    <w:p>
      <w:pPr>
        <w:pStyle w:val="BodyText"/>
        <w:spacing w:line="360" w:lineRule="auto" w:before="69"/>
        <w:ind w:left="159" w:right="154"/>
        <w:jc w:val="both"/>
      </w:pPr>
      <w:r>
        <w:rPr/>
        <w:t>fragmentación del núcleo se consideraron con apoptosis temprana. A diferencia de las que observaron apoptosis tardía, en las cuales se observo la cromatina de coloración naranja con una condensación o fragmentación, con un citoplasma ligeramente naranja (McGahon, </w:t>
      </w:r>
      <w:r>
        <w:rPr>
          <w:i/>
        </w:rPr>
        <w:t>et al</w:t>
      </w:r>
      <w:r>
        <w:rPr/>
        <w:t>., 1995). El empleó de estos fluorocromos facilito la diferenciación de la apoptosis temprana y de la apoptosis tardía de los PMN.</w:t>
      </w:r>
    </w:p>
    <w:p>
      <w:pPr>
        <w:pStyle w:val="BodyText"/>
        <w:spacing w:line="360" w:lineRule="auto" w:before="209"/>
        <w:ind w:left="159" w:right="153"/>
        <w:jc w:val="both"/>
      </w:pPr>
      <w:r>
        <w:rPr/>
        <w:t>La evalución de la apotosis en los </w:t>
      </w:r>
      <w:r>
        <w:rPr>
          <w:spacing w:val="-2"/>
        </w:rPr>
        <w:t>PMN </w:t>
      </w:r>
      <w:r>
        <w:rPr/>
        <w:t>mediante el uso de Annexin V-FITC, las celulas </w:t>
      </w:r>
      <w:r>
        <w:rPr>
          <w:spacing w:val="-3"/>
        </w:rPr>
        <w:t>se </w:t>
      </w:r>
      <w:r>
        <w:rPr/>
        <w:t>diferenciaron por presentar un halo o anillo bordeando la membrana del PMN, con una colarción verde debida ala unión de la Annexin-V a las moléculas  de fosfatidilserina localizadas en la membrana celular; que en células viables se encuentra en el lado citosólico de la célula y que es translocada a la superficie celular al iniciar el proceso de apoptosis (Fox, </w:t>
      </w:r>
      <w:r>
        <w:rPr>
          <w:i/>
        </w:rPr>
        <w:t>et al</w:t>
      </w:r>
      <w:r>
        <w:rPr/>
        <w:t>.,</w:t>
      </w:r>
      <w:r>
        <w:rPr>
          <w:spacing w:val="-16"/>
        </w:rPr>
        <w:t> </w:t>
      </w:r>
      <w:r>
        <w:rPr/>
        <w:t>1992).</w:t>
      </w:r>
    </w:p>
    <w:p>
      <w:pPr>
        <w:pStyle w:val="BodyText"/>
        <w:spacing w:line="360" w:lineRule="auto" w:before="209"/>
        <w:ind w:left="159" w:right="155"/>
        <w:jc w:val="both"/>
      </w:pPr>
      <w:r>
        <w:rPr/>
        <w:t>En estudios realizados por Piepers </w:t>
      </w:r>
      <w:r>
        <w:rPr>
          <w:i/>
        </w:rPr>
        <w:t>et al., </w:t>
      </w:r>
      <w:r>
        <w:rPr/>
        <w:t>y Van Oostveldt </w:t>
      </w:r>
      <w:r>
        <w:rPr>
          <w:i/>
        </w:rPr>
        <w:t>et al, </w:t>
      </w:r>
      <w:r>
        <w:rPr/>
        <w:t>observaron que de manera normal un porcentaje de neutrófilos apoptóticos, en el inicio de lactancia existe una mayor proporción de PMN en apoptosis comparados con el segundo l periodo de lactación en la cual es menor en las vacas lecheras.</w:t>
      </w:r>
    </w:p>
    <w:p>
      <w:pPr>
        <w:pStyle w:val="BodyText"/>
        <w:spacing w:line="360" w:lineRule="auto" w:before="209"/>
        <w:ind w:left="159" w:right="153"/>
        <w:jc w:val="both"/>
        <w:rPr>
          <w:i/>
        </w:rPr>
      </w:pPr>
      <w:r>
        <w:rPr/>
        <w:t>En otro estudio se refiere que se han observado neutrófilos bovinos con cambios típicos de la apoptosis 24hr después de administrar un análogo sintético del péptido de muramil o lipopolisacáridos (LPS), mediante infusión intramamaria en las vacas jóvenes, para inducir la migración leucocitaria de granulocitos a la glándula. A las 48 hrs postratamiento, se observó un mayor porcentaje de células apoptóticas (Sladek y Rysanek, 2001). Así mismo la obtención de PMN de las vacas donadoras, en los controles del tratamiento in vitro, no se apreciaron signos evidentes de apoptosis en las células. Los cambios morfológicos típicos relacionados con la apoptosis de los PMN, se apreciaron después de una hora de haber sido incubados </w:t>
      </w:r>
      <w:r>
        <w:rPr>
          <w:i/>
        </w:rPr>
        <w:t>in vitro </w:t>
      </w:r>
      <w:r>
        <w:rPr/>
        <w:t>con las cepas de trabajo </w:t>
      </w:r>
      <w:r>
        <w:rPr>
          <w:i/>
        </w:rPr>
        <w:t>S. aureus.</w:t>
      </w:r>
    </w:p>
    <w:p>
      <w:pPr>
        <w:spacing w:after="0" w:line="360" w:lineRule="auto"/>
        <w:jc w:val="both"/>
        <w:sectPr>
          <w:pgSz w:w="12240" w:h="15840"/>
          <w:pgMar w:header="726" w:footer="1527" w:top="1200" w:bottom="1720" w:left="1540" w:right="1540"/>
        </w:sectPr>
      </w:pPr>
    </w:p>
    <w:p>
      <w:pPr>
        <w:pStyle w:val="BodyText"/>
        <w:spacing w:before="8"/>
        <w:rPr>
          <w:i/>
          <w:sz w:val="15"/>
        </w:rPr>
      </w:pPr>
    </w:p>
    <w:p>
      <w:pPr>
        <w:pStyle w:val="BodyText"/>
        <w:spacing w:line="360" w:lineRule="auto" w:before="69"/>
        <w:ind w:left="159" w:right="155"/>
        <w:jc w:val="both"/>
      </w:pPr>
      <w:r>
        <w:rPr/>
        <w:t>Al realizar los ensayos </w:t>
      </w:r>
      <w:r>
        <w:rPr>
          <w:i/>
        </w:rPr>
        <w:t>in vitro </w:t>
      </w:r>
      <w:r>
        <w:rPr/>
        <w:t>se observó que el CP5 de </w:t>
      </w:r>
      <w:r>
        <w:rPr>
          <w:i/>
        </w:rPr>
        <w:t>S. aureus </w:t>
      </w:r>
      <w:r>
        <w:rPr/>
        <w:t>indujó una mayor proporción apoptosis y un menor índice de fagocitosis en los PMN en comparación con el CP8. Estas evidencias sugieren una mayor patogenicidad de CP5 en los ensayos </w:t>
      </w:r>
      <w:r>
        <w:rPr>
          <w:i/>
        </w:rPr>
        <w:t>in vitro</w:t>
      </w:r>
      <w:r>
        <w:rPr/>
        <w:t>.</w:t>
      </w:r>
    </w:p>
    <w:p>
      <w:pPr>
        <w:pStyle w:val="BodyText"/>
        <w:spacing w:line="360" w:lineRule="auto" w:before="204"/>
        <w:ind w:left="159" w:right="153"/>
        <w:jc w:val="both"/>
      </w:pPr>
      <w:r>
        <w:rPr/>
        <w:t>Por otra parte </w:t>
      </w:r>
      <w:r>
        <w:rPr>
          <w:spacing w:val="3"/>
        </w:rPr>
        <w:t>la </w:t>
      </w:r>
      <w:r>
        <w:rPr/>
        <w:t>actividad de fagocitosis de los </w:t>
      </w:r>
      <w:r>
        <w:rPr>
          <w:spacing w:val="-2"/>
        </w:rPr>
        <w:t>PMN </w:t>
      </w:r>
      <w:r>
        <w:rPr/>
        <w:t>en condiciones </w:t>
      </w:r>
      <w:r>
        <w:rPr>
          <w:i/>
          <w:spacing w:val="-3"/>
        </w:rPr>
        <w:t>in </w:t>
      </w:r>
      <w:r>
        <w:rPr>
          <w:i/>
        </w:rPr>
        <w:t>vivo</w:t>
      </w:r>
      <w:r>
        <w:rPr/>
        <w:t>, puede ser influida por las opsoninas presentes en el medio; factor de complemento C3b e IgG</w:t>
      </w:r>
      <w:r>
        <w:rPr>
          <w:position w:val="-2"/>
          <w:sz w:val="16"/>
        </w:rPr>
        <w:t>2</w:t>
      </w:r>
      <w:r>
        <w:rPr/>
        <w:t>. Sin embargo ante la presencia del exopolisacárido capsular del </w:t>
      </w:r>
      <w:r>
        <w:rPr>
          <w:i/>
        </w:rPr>
        <w:t>S. aureus</w:t>
      </w:r>
      <w:r>
        <w:rPr/>
        <w:t>, se interfieren los receptores de opsoninas presentes en la pared bacteriana, evitando el sitio de unión y con ello la disminución sustancial de la fagocitosis bacteriana  por los </w:t>
      </w:r>
      <w:r>
        <w:rPr>
          <w:spacing w:val="-2"/>
        </w:rPr>
        <w:t>PMN </w:t>
      </w:r>
      <w:r>
        <w:rPr/>
        <w:t>(Guidry </w:t>
      </w:r>
      <w:r>
        <w:rPr>
          <w:i/>
        </w:rPr>
        <w:t>et al</w:t>
      </w:r>
      <w:r>
        <w:rPr/>
        <w:t>., 1991)), al respecto se considera que la presencia de la cápsula del S. aureus es un factor que altera la opsonización y la actividad de fagocitosis de los </w:t>
      </w:r>
      <w:r>
        <w:rPr>
          <w:spacing w:val="-2"/>
        </w:rPr>
        <w:t>PMN </w:t>
      </w:r>
      <w:r>
        <w:rPr/>
        <w:t>(Cunnion </w:t>
      </w:r>
      <w:r>
        <w:rPr>
          <w:i/>
        </w:rPr>
        <w:t>et al., </w:t>
      </w:r>
      <w:r>
        <w:rPr/>
        <w:t>2001). Lo anterior puede explicar las diferencias obtenidas en el IFN entre los tratamientos y el control en el presente estudio,</w:t>
      </w:r>
    </w:p>
    <w:p>
      <w:pPr>
        <w:pStyle w:val="BodyText"/>
      </w:pPr>
    </w:p>
    <w:p>
      <w:pPr>
        <w:pStyle w:val="BodyText"/>
        <w:spacing w:line="360" w:lineRule="auto" w:before="140"/>
        <w:ind w:left="159" w:right="154"/>
        <w:jc w:val="both"/>
      </w:pPr>
      <w:r>
        <w:rPr/>
        <w:t>En un estudio realizado por Luong y Lee, (2002), se confirmo que el </w:t>
      </w:r>
      <w:r>
        <w:rPr>
          <w:i/>
        </w:rPr>
        <w:t>S. aureus </w:t>
      </w:r>
      <w:r>
        <w:rPr/>
        <w:t>capsular es susceptible a la fagocitosis por PMN, solo en presencia de anticuerpos y complemento; debido a que al expresar las cepas de </w:t>
      </w:r>
      <w:r>
        <w:rPr>
          <w:i/>
        </w:rPr>
        <w:t>S. aureus </w:t>
      </w:r>
      <w:r>
        <w:rPr/>
        <w:t>la cápsula serotipo 8, esta inhibe la actividad de fagocitosis contribuyendo a un aumento en  la virulencia de </w:t>
      </w:r>
      <w:r>
        <w:rPr>
          <w:i/>
        </w:rPr>
        <w:t>S.</w:t>
      </w:r>
      <w:r>
        <w:rPr>
          <w:i/>
          <w:spacing w:val="-7"/>
        </w:rPr>
        <w:t> </w:t>
      </w:r>
      <w:r>
        <w:rPr>
          <w:i/>
        </w:rPr>
        <w:t>aureus</w:t>
      </w:r>
      <w:r>
        <w:rPr/>
        <w:t>.</w:t>
      </w:r>
    </w:p>
    <w:p>
      <w:pPr>
        <w:pStyle w:val="BodyText"/>
      </w:pPr>
    </w:p>
    <w:p>
      <w:pPr>
        <w:pStyle w:val="BodyText"/>
        <w:spacing w:line="360" w:lineRule="auto" w:before="144"/>
        <w:ind w:left="159" w:right="153"/>
        <w:jc w:val="both"/>
      </w:pPr>
      <w:r>
        <w:rPr/>
        <w:t>Estudios realizados por Kampen y colaboradores (2005), demostraron que cepas no capsuladas de </w:t>
      </w:r>
      <w:r>
        <w:rPr>
          <w:i/>
        </w:rPr>
        <w:t>S. aureus </w:t>
      </w:r>
      <w:r>
        <w:rPr/>
        <w:t>estimulan la actividad de fagocitosis realzando de manera eficiente el estallido respiratorio en los neutrófilos de bovinos; mientras  que las cepas capsuladas estimulan poco o nada esta actividad. A su vez se consideró que la presencia de la cápsula 5 y cápsula 8 no estimulan de manera eficiente el estallido respiratorio impidiendo la destrucción intracelular del </w:t>
      </w:r>
      <w:r>
        <w:rPr>
          <w:i/>
        </w:rPr>
        <w:t>S.  </w:t>
      </w:r>
      <w:r>
        <w:rPr>
          <w:i/>
        </w:rPr>
        <w:t>aureus </w:t>
      </w:r>
      <w:r>
        <w:rPr/>
        <w:t>por los</w:t>
      </w:r>
      <w:r>
        <w:rPr>
          <w:spacing w:val="-9"/>
        </w:rPr>
        <w:t> </w:t>
      </w:r>
      <w:r>
        <w:rPr/>
        <w:t>neutrófilos.</w:t>
      </w:r>
    </w:p>
    <w:p>
      <w:pPr>
        <w:spacing w:after="0" w:line="360" w:lineRule="auto"/>
        <w:jc w:val="both"/>
        <w:sectPr>
          <w:pgSz w:w="12240" w:h="15840"/>
          <w:pgMar w:header="726" w:footer="1527" w:top="1200" w:bottom="1720" w:left="1540" w:right="1540"/>
        </w:sectPr>
      </w:pPr>
    </w:p>
    <w:p>
      <w:pPr>
        <w:pStyle w:val="BodyText"/>
        <w:spacing w:before="8"/>
        <w:rPr>
          <w:sz w:val="15"/>
        </w:rPr>
      </w:pPr>
    </w:p>
    <w:p>
      <w:pPr>
        <w:pStyle w:val="BodyText"/>
        <w:spacing w:line="360" w:lineRule="auto" w:before="69"/>
        <w:ind w:left="159" w:right="156"/>
        <w:jc w:val="both"/>
      </w:pPr>
      <w:r>
        <w:rPr/>
        <w:t>Además también se ha observado que la activación de </w:t>
      </w:r>
      <w:r>
        <w:rPr>
          <w:spacing w:val="4"/>
        </w:rPr>
        <w:t>la </w:t>
      </w:r>
      <w:r>
        <w:rPr/>
        <w:t>NADPH oxidasa y la generación de oxidantes en el fagosoma de los neutrófilos aislados de humanos, previene la activación de la cascada de caspasas citoplasmáticas y el desarrollo  de la apoptosis (Wilkie </w:t>
      </w:r>
      <w:r>
        <w:rPr>
          <w:i/>
        </w:rPr>
        <w:t>et al.,</w:t>
      </w:r>
      <w:r>
        <w:rPr>
          <w:i/>
          <w:spacing w:val="-5"/>
        </w:rPr>
        <w:t> </w:t>
      </w:r>
      <w:r>
        <w:rPr/>
        <w:t>2007).</w:t>
      </w:r>
    </w:p>
    <w:p>
      <w:pPr>
        <w:pStyle w:val="BodyText"/>
      </w:pPr>
    </w:p>
    <w:p>
      <w:pPr>
        <w:pStyle w:val="BodyText"/>
        <w:spacing w:line="360" w:lineRule="auto" w:before="139"/>
        <w:ind w:left="159" w:right="154"/>
        <w:jc w:val="both"/>
      </w:pPr>
      <w:r>
        <w:rPr/>
        <w:t>Una característica importante de </w:t>
      </w:r>
      <w:r>
        <w:rPr>
          <w:spacing w:val="5"/>
        </w:rPr>
        <w:t>la </w:t>
      </w:r>
      <w:r>
        <w:rPr/>
        <w:t>virulencia de </w:t>
      </w:r>
      <w:r>
        <w:rPr>
          <w:i/>
        </w:rPr>
        <w:t>S. aureus </w:t>
      </w:r>
      <w:r>
        <w:rPr/>
        <w:t>es la inducción de la apoptosis demostrada en neutrófilos aislados de sangre humana; se postula que posiblemente se inducida no solo por vías dependientes de oxígeno, es posible que la apoptosis ocurra inducida por vías independientes del oxígeno (Nilsdotter- Augustins son </w:t>
      </w:r>
      <w:r>
        <w:rPr>
          <w:i/>
        </w:rPr>
        <w:t>et al., </w:t>
      </w:r>
      <w:r>
        <w:rPr/>
        <w:t>2004; Yamamoto </w:t>
      </w:r>
      <w:r>
        <w:rPr>
          <w:i/>
        </w:rPr>
        <w:t>et. al.,</w:t>
      </w:r>
      <w:r>
        <w:rPr>
          <w:i/>
          <w:spacing w:val="-12"/>
        </w:rPr>
        <w:t> </w:t>
      </w:r>
      <w:r>
        <w:rPr/>
        <w:t>2002).</w:t>
      </w:r>
    </w:p>
    <w:p>
      <w:pPr>
        <w:pStyle w:val="BodyText"/>
      </w:pPr>
    </w:p>
    <w:p>
      <w:pPr>
        <w:pStyle w:val="BodyText"/>
        <w:spacing w:line="360" w:lineRule="auto" w:before="140"/>
        <w:ind w:left="159" w:right="153"/>
        <w:jc w:val="both"/>
      </w:pPr>
      <w:r>
        <w:rPr/>
        <w:t>Los resultados obtenidos en el estudio indican que la cepas del serotipo capsular 5 aparentemente son </w:t>
      </w:r>
      <w:r>
        <w:rPr>
          <w:spacing w:val="-3"/>
        </w:rPr>
        <w:t>más </w:t>
      </w:r>
      <w:r>
        <w:rPr/>
        <w:t>patógenas al ser expuestas en los ensayos de fagocitos  </w:t>
      </w:r>
      <w:r>
        <w:rPr>
          <w:i/>
          <w:spacing w:val="-3"/>
        </w:rPr>
        <w:t>in </w:t>
      </w:r>
      <w:r>
        <w:rPr>
          <w:i/>
        </w:rPr>
        <w:t>vitro </w:t>
      </w:r>
      <w:r>
        <w:rPr/>
        <w:t>en la inducción de apoptosis. Lo cual coincide con los resultados de Thakker M. </w:t>
      </w:r>
      <w:r>
        <w:rPr>
          <w:i/>
        </w:rPr>
        <w:t>et. al</w:t>
      </w:r>
      <w:r>
        <w:rPr/>
        <w:t>., (1998), quienes desarrollaron cepas mutantes </w:t>
      </w:r>
      <w:r>
        <w:rPr>
          <w:i/>
        </w:rPr>
        <w:t>cap </w:t>
      </w:r>
      <w:r>
        <w:rPr/>
        <w:t>5 deficientes en capsula, comparadas con cepas parentales que expresaron normalmente </w:t>
      </w:r>
      <w:r>
        <w:rPr>
          <w:i/>
        </w:rPr>
        <w:t>cap </w:t>
      </w:r>
      <w:r>
        <w:rPr/>
        <w:t>5; en un modelo de ratón con de bacteremia desarrollada por la infección experimental por </w:t>
      </w:r>
      <w:r>
        <w:rPr>
          <w:i/>
        </w:rPr>
        <w:t>S. aureus</w:t>
      </w:r>
      <w:r>
        <w:rPr/>
        <w:t>. Las cepas mutantes deficiente en cápsula del tipo 5 fueron opsonizadas para su fagocitosis, solo por el complemento. Mientras que las cepas parentales capsulares del tipo 5 son </w:t>
      </w:r>
      <w:r>
        <w:rPr>
          <w:spacing w:val="-3"/>
        </w:rPr>
        <w:t>más </w:t>
      </w:r>
      <w:r>
        <w:rPr/>
        <w:t>resistentes a la opsonización y fagocitosis por lo</w:t>
      </w:r>
      <w:r>
        <w:rPr>
          <w:spacing w:val="-6"/>
        </w:rPr>
        <w:t> </w:t>
      </w:r>
      <w:r>
        <w:rPr/>
        <w:t>PMN.</w:t>
      </w:r>
    </w:p>
    <w:p>
      <w:pPr>
        <w:pStyle w:val="BodyText"/>
      </w:pPr>
    </w:p>
    <w:p>
      <w:pPr>
        <w:pStyle w:val="BodyText"/>
        <w:spacing w:line="360" w:lineRule="auto" w:before="139"/>
        <w:ind w:left="159" w:right="153"/>
        <w:jc w:val="both"/>
      </w:pPr>
      <w:r>
        <w:rPr/>
        <w:t>Así mismo estudios realizados por Watts </w:t>
      </w:r>
      <w:r>
        <w:rPr>
          <w:i/>
        </w:rPr>
        <w:t>et al</w:t>
      </w:r>
      <w:r>
        <w:rPr/>
        <w:t>., (2005), en donde se evaluó la sobrevivencia intracelular en los neutrófilos obtenidos de sangre en los ratones frente a </w:t>
      </w:r>
      <w:r>
        <w:rPr>
          <w:i/>
        </w:rPr>
        <w:t>S. aureus </w:t>
      </w:r>
      <w:r>
        <w:rPr/>
        <w:t>los tipos capsulares: compacto, capsular 5 y capsular 8; las cepas capsulares observaron una mayor sobrevivencia con respecto a las de tipo compacto; a su vez las cepas capsulares serotipo 5 comparada con respecto al serotipo capsular 8.</w:t>
      </w:r>
    </w:p>
    <w:p>
      <w:pPr>
        <w:spacing w:after="0" w:line="360" w:lineRule="auto"/>
        <w:jc w:val="both"/>
        <w:sectPr>
          <w:pgSz w:w="12240" w:h="15840"/>
          <w:pgMar w:header="726" w:footer="1527" w:top="1200" w:bottom="1720" w:left="1540" w:right="1540"/>
        </w:sectPr>
      </w:pPr>
    </w:p>
    <w:p>
      <w:pPr>
        <w:pStyle w:val="BodyText"/>
        <w:spacing w:before="8"/>
        <w:rPr>
          <w:sz w:val="15"/>
        </w:rPr>
      </w:pPr>
    </w:p>
    <w:p>
      <w:pPr>
        <w:pStyle w:val="BodyText"/>
        <w:spacing w:line="360" w:lineRule="auto" w:before="69"/>
        <w:ind w:left="159" w:right="154"/>
        <w:jc w:val="both"/>
      </w:pPr>
      <w:r>
        <w:rPr/>
        <w:t>Es posible que las evidencias obtenidas mediante los ensayos </w:t>
      </w:r>
      <w:r>
        <w:rPr>
          <w:i/>
          <w:spacing w:val="-3"/>
        </w:rPr>
        <w:t>in </w:t>
      </w:r>
      <w:r>
        <w:rPr>
          <w:i/>
        </w:rPr>
        <w:t>vitro </w:t>
      </w:r>
      <w:r>
        <w:rPr/>
        <w:t>de fagocitosis e inducción de apoptosis, se obtuviera una diferencia entre las cepas capsuladas de </w:t>
      </w:r>
      <w:r>
        <w:rPr>
          <w:i/>
        </w:rPr>
        <w:t>S. aureus </w:t>
      </w:r>
      <w:r>
        <w:rPr/>
        <w:t>en su capacidad para inducir la apoptosis de </w:t>
      </w:r>
      <w:r>
        <w:rPr>
          <w:spacing w:val="-2"/>
        </w:rPr>
        <w:t>PMN </w:t>
      </w:r>
      <w:r>
        <w:rPr/>
        <w:t>en las vacas lecheras evaluadas. Esta situación pude explicar los mecanismos de patogénesis de la infección de los serotipos capsulares 5 y 8 durante el desarrollo de </w:t>
      </w:r>
      <w:r>
        <w:rPr>
          <w:spacing w:val="2"/>
        </w:rPr>
        <w:t>la </w:t>
      </w:r>
      <w:r>
        <w:rPr/>
        <w:t>mastitis </w:t>
      </w:r>
      <w:r>
        <w:rPr>
          <w:i/>
        </w:rPr>
        <w:t>S. aureus </w:t>
      </w:r>
      <w:r>
        <w:rPr/>
        <w:t>del ganado lechero (Fattom, </w:t>
      </w:r>
      <w:r>
        <w:rPr>
          <w:i/>
        </w:rPr>
        <w:t>et al</w:t>
      </w:r>
      <w:r>
        <w:rPr/>
        <w:t>., 1998). Dada la importancia que tiene el </w:t>
      </w:r>
      <w:r>
        <w:rPr>
          <w:i/>
        </w:rPr>
        <w:t>S. aureus </w:t>
      </w:r>
      <w:r>
        <w:rPr/>
        <w:t>como agente causal de la mastitis debido a la persistencia de la infección en la glándula mamaria y sus efectos sobre los niveles de células somáticas, se manifiesta una proporción elevada de PMN en la leche  en el inicio de la infección glandular (Wellnitz y Bruckmaier,</w:t>
      </w:r>
      <w:r>
        <w:rPr>
          <w:spacing w:val="-12"/>
        </w:rPr>
        <w:t> </w:t>
      </w:r>
      <w:r>
        <w:rPr/>
        <w:t>2012).</w:t>
      </w:r>
    </w:p>
    <w:p>
      <w:pPr>
        <w:pStyle w:val="BodyText"/>
      </w:pPr>
    </w:p>
    <w:p>
      <w:pPr>
        <w:pStyle w:val="BodyText"/>
        <w:spacing w:line="357" w:lineRule="auto" w:before="140"/>
        <w:ind w:left="159" w:right="155"/>
        <w:jc w:val="both"/>
      </w:pPr>
      <w:r>
        <w:rPr/>
        <w:t>En la infección glandular por </w:t>
      </w:r>
      <w:r>
        <w:rPr>
          <w:i/>
        </w:rPr>
        <w:t>S. aureus</w:t>
      </w:r>
      <w:r>
        <w:rPr/>
        <w:t>, los mecanismos de defensa natural frente a la enferemedad se relacionan con la actividad de fagocitosis y posteriormente al desencadenarse la inmunidad adaptativa, a través de la respuesta humoral y celular (McGavin y Zachary, 2007). Se ha demostrado que la actividad de las IgG</w:t>
      </w:r>
      <w:r>
        <w:rPr>
          <w:position w:val="-2"/>
          <w:sz w:val="16"/>
        </w:rPr>
        <w:t>2 </w:t>
      </w:r>
      <w:r>
        <w:rPr/>
        <w:t>difiere notablemente de la inmunoglobulina IgG</w:t>
      </w:r>
      <w:r>
        <w:rPr>
          <w:position w:val="-2"/>
          <w:sz w:val="16"/>
        </w:rPr>
        <w:t>1 </w:t>
      </w:r>
      <w:r>
        <w:rPr/>
        <w:t>en su capacidad para estimular la fagocitosis </w:t>
      </w:r>
      <w:r>
        <w:rPr>
          <w:i/>
          <w:spacing w:val="-3"/>
        </w:rPr>
        <w:t>in </w:t>
      </w:r>
      <w:r>
        <w:rPr>
          <w:i/>
        </w:rPr>
        <w:t>vivo </w:t>
      </w:r>
      <w:r>
        <w:rPr/>
        <w:t>por los PMN, la cual se realiza de manera eficiente en presencia de IgG</w:t>
      </w:r>
      <w:r>
        <w:rPr>
          <w:position w:val="-2"/>
          <w:sz w:val="16"/>
        </w:rPr>
        <w:t>2  </w:t>
      </w:r>
      <w:r>
        <w:rPr/>
        <w:t>(Cunnion </w:t>
      </w:r>
      <w:r>
        <w:rPr>
          <w:i/>
        </w:rPr>
        <w:t>et al., </w:t>
      </w:r>
      <w:r>
        <w:rPr/>
        <w:t>2003; Lee </w:t>
      </w:r>
      <w:r>
        <w:rPr>
          <w:i/>
        </w:rPr>
        <w:t>et al.</w:t>
      </w:r>
      <w:r>
        <w:rPr/>
        <w:t>,</w:t>
      </w:r>
      <w:r>
        <w:rPr>
          <w:spacing w:val="-15"/>
        </w:rPr>
        <w:t> </w:t>
      </w:r>
      <w:r>
        <w:rPr/>
        <w:t>2005)</w:t>
      </w:r>
    </w:p>
    <w:p>
      <w:pPr>
        <w:pStyle w:val="BodyText"/>
        <w:spacing w:before="8"/>
        <w:rPr>
          <w:sz w:val="34"/>
        </w:rPr>
      </w:pPr>
    </w:p>
    <w:p>
      <w:pPr>
        <w:pStyle w:val="BodyText"/>
        <w:spacing w:line="360" w:lineRule="auto"/>
        <w:ind w:left="159" w:right="155"/>
        <w:jc w:val="both"/>
      </w:pPr>
      <w:r>
        <w:rPr/>
        <w:t>En el estudio se evidenció la capacidad del </w:t>
      </w:r>
      <w:r>
        <w:rPr>
          <w:i/>
        </w:rPr>
        <w:t>S. aureus </w:t>
      </w:r>
      <w:r>
        <w:rPr/>
        <w:t>capsulares serotipos 5 y 8  en la reducción de fagocitosis e inducción de la apoptosis observado independientemente de la vaca donadora de</w:t>
      </w:r>
      <w:r>
        <w:rPr>
          <w:spacing w:val="-22"/>
        </w:rPr>
        <w:t> </w:t>
      </w:r>
      <w:r>
        <w:rPr/>
        <w:t>PMN.</w:t>
      </w:r>
    </w:p>
    <w:p>
      <w:pPr>
        <w:spacing w:after="0" w:line="360" w:lineRule="auto"/>
        <w:jc w:val="both"/>
        <w:sectPr>
          <w:pgSz w:w="12240" w:h="15840"/>
          <w:pgMar w:header="726" w:footer="1527" w:top="1200" w:bottom="1720" w:left="1540" w:right="1540"/>
        </w:sectPr>
      </w:pPr>
    </w:p>
    <w:p>
      <w:pPr>
        <w:pStyle w:val="BodyText"/>
        <w:spacing w:before="9"/>
        <w:rPr>
          <w:sz w:val="18"/>
        </w:rPr>
      </w:pPr>
    </w:p>
    <w:p>
      <w:pPr>
        <w:pStyle w:val="Heading1"/>
        <w:numPr>
          <w:ilvl w:val="0"/>
          <w:numId w:val="10"/>
        </w:numPr>
        <w:tabs>
          <w:tab w:pos="468" w:val="left" w:leader="none"/>
        </w:tabs>
        <w:spacing w:line="240" w:lineRule="auto" w:before="63" w:after="0"/>
        <w:ind w:left="467" w:right="0" w:hanging="308"/>
        <w:jc w:val="left"/>
      </w:pPr>
      <w:bookmarkStart w:name="_bookmark38" w:id="59"/>
      <w:bookmarkEnd w:id="59"/>
      <w:r>
        <w:rPr>
          <w:b w:val="0"/>
        </w:rPr>
      </w:r>
      <w:bookmarkStart w:name="_bookmark38" w:id="60"/>
      <w:bookmarkEnd w:id="60"/>
      <w:r>
        <w:rPr/>
        <w:t>CO</w:t>
      </w:r>
      <w:r>
        <w:rPr/>
        <w:t>NCLUSIONES</w:t>
      </w:r>
    </w:p>
    <w:p>
      <w:pPr>
        <w:pStyle w:val="BodyText"/>
        <w:rPr>
          <w:b/>
          <w:sz w:val="28"/>
        </w:rPr>
      </w:pPr>
    </w:p>
    <w:p>
      <w:pPr>
        <w:pStyle w:val="BodyText"/>
        <w:spacing w:before="7"/>
        <w:rPr>
          <w:b/>
          <w:sz w:val="26"/>
        </w:rPr>
      </w:pPr>
    </w:p>
    <w:p>
      <w:pPr>
        <w:pStyle w:val="BodyText"/>
        <w:spacing w:line="355" w:lineRule="auto"/>
        <w:ind w:left="880" w:right="153"/>
        <w:jc w:val="both"/>
      </w:pPr>
      <w:r>
        <w:rPr/>
        <w:t>El índice de fagocitosis </w:t>
      </w:r>
      <w:r>
        <w:rPr>
          <w:i/>
        </w:rPr>
        <w:t>in vitro </w:t>
      </w:r>
      <w:r>
        <w:rPr/>
        <w:t>observado entre los serotipos capsulares 5 y 8, fue mayor para el serotipo 8.</w:t>
      </w:r>
    </w:p>
    <w:p>
      <w:pPr>
        <w:pStyle w:val="BodyText"/>
        <w:spacing w:line="357" w:lineRule="auto" w:before="214"/>
        <w:ind w:left="880" w:right="155"/>
        <w:jc w:val="both"/>
      </w:pPr>
      <w:r>
        <w:rPr/>
        <w:t>En el estudio las cepas capsulares serotipo 5 comparadas con las 8 mostraron una mayor capacidad para inducir apoptosis en los neutrófilos de vacas</w:t>
      </w:r>
    </w:p>
    <w:p>
      <w:pPr>
        <w:pStyle w:val="BodyText"/>
        <w:spacing w:line="360" w:lineRule="auto" w:before="212"/>
        <w:ind w:left="880" w:right="157"/>
        <w:jc w:val="both"/>
      </w:pPr>
      <w:r>
        <w:rPr/>
        <w:t>Se observaron diferencias entre las cepas compactas y cepas capsulares en su antifagocítica y la capacidad para inducir apoptosis </w:t>
      </w:r>
      <w:r>
        <w:rPr>
          <w:i/>
          <w:spacing w:val="-3"/>
        </w:rPr>
        <w:t>in </w:t>
      </w:r>
      <w:r>
        <w:rPr>
          <w:i/>
        </w:rPr>
        <w:t>vitro </w:t>
      </w:r>
      <w:r>
        <w:rPr/>
        <w:t>de neutrófilos.</w:t>
      </w:r>
    </w:p>
    <w:p>
      <w:pPr>
        <w:spacing w:after="0" w:line="360" w:lineRule="auto"/>
        <w:jc w:val="both"/>
        <w:sectPr>
          <w:pgSz w:w="12240" w:h="15840"/>
          <w:pgMar w:header="726" w:footer="1527" w:top="1200" w:bottom="1720" w:left="1540" w:right="1540"/>
        </w:sectPr>
      </w:pPr>
    </w:p>
    <w:p>
      <w:pPr>
        <w:pStyle w:val="BodyText"/>
        <w:rPr>
          <w:sz w:val="20"/>
        </w:rPr>
      </w:pPr>
    </w:p>
    <w:p>
      <w:pPr>
        <w:pStyle w:val="BodyText"/>
        <w:rPr>
          <w:sz w:val="20"/>
        </w:rPr>
      </w:pPr>
    </w:p>
    <w:p>
      <w:pPr>
        <w:pStyle w:val="BodyText"/>
        <w:spacing w:before="4"/>
        <w:rPr>
          <w:sz w:val="29"/>
        </w:rPr>
      </w:pPr>
    </w:p>
    <w:p>
      <w:pPr>
        <w:pStyle w:val="Heading1"/>
        <w:numPr>
          <w:ilvl w:val="0"/>
          <w:numId w:val="10"/>
        </w:numPr>
        <w:tabs>
          <w:tab w:pos="621" w:val="left" w:leader="none"/>
        </w:tabs>
        <w:spacing w:line="240" w:lineRule="auto" w:before="63" w:after="0"/>
        <w:ind w:left="621" w:right="0" w:hanging="462"/>
        <w:jc w:val="left"/>
      </w:pPr>
      <w:bookmarkStart w:name="_bookmark39" w:id="61"/>
      <w:bookmarkEnd w:id="61"/>
      <w:r>
        <w:rPr>
          <w:b w:val="0"/>
        </w:rPr>
      </w:r>
      <w:bookmarkStart w:name="_bookmark39" w:id="62"/>
      <w:bookmarkEnd w:id="62"/>
      <w:r>
        <w:rPr/>
        <w:t>S</w:t>
      </w:r>
      <w:r>
        <w:rPr/>
        <w:t>UGERENCIAS</w:t>
      </w:r>
    </w:p>
    <w:p>
      <w:pPr>
        <w:pStyle w:val="BodyText"/>
        <w:rPr>
          <w:b/>
          <w:sz w:val="28"/>
        </w:rPr>
      </w:pPr>
    </w:p>
    <w:p>
      <w:pPr>
        <w:pStyle w:val="BodyText"/>
        <w:spacing w:before="2"/>
        <w:rPr>
          <w:b/>
          <w:sz w:val="26"/>
        </w:rPr>
      </w:pPr>
    </w:p>
    <w:p>
      <w:pPr>
        <w:pStyle w:val="BodyText"/>
        <w:spacing w:line="360" w:lineRule="auto"/>
        <w:ind w:left="880" w:right="153"/>
        <w:jc w:val="both"/>
      </w:pPr>
      <w:r>
        <w:rPr/>
        <w:t>Es necesario realizar estudios poblacionales más aplios para un número mayor de cepas del serotipo 5 para confirmar la mayor capacidad para inducir apoptosis y corroborar su mayor virulencia al ser expuestas </w:t>
      </w:r>
      <w:r>
        <w:rPr>
          <w:i/>
        </w:rPr>
        <w:t>in vitro </w:t>
      </w:r>
      <w:r>
        <w:rPr/>
        <w:t>frente a los PMN de vacas lecheras</w:t>
      </w:r>
    </w:p>
    <w:p>
      <w:pPr>
        <w:pStyle w:val="BodyText"/>
        <w:spacing w:line="360" w:lineRule="auto" w:before="209"/>
        <w:ind w:left="880" w:right="155"/>
        <w:jc w:val="both"/>
      </w:pPr>
      <w:r>
        <w:rPr/>
        <w:t>Debido a la diferencia en la composición química entre los serotipos 5 y 8  se debe de evaluar la influencia que pueden tener en la inducción de apoptosis.</w:t>
      </w:r>
    </w:p>
    <w:p>
      <w:pPr>
        <w:pStyle w:val="BodyText"/>
        <w:spacing w:line="355" w:lineRule="auto" w:before="209"/>
        <w:ind w:left="880" w:right="154"/>
        <w:jc w:val="both"/>
      </w:pPr>
      <w:r>
        <w:rPr/>
        <w:t>Explicar la posible vía celular mediante la cual se induce la apoptosis en los neutrófilos en las vacas lecheras.</w:t>
      </w:r>
    </w:p>
    <w:p>
      <w:pPr>
        <w:spacing w:after="0" w:line="355" w:lineRule="auto"/>
        <w:jc w:val="both"/>
        <w:sectPr>
          <w:pgSz w:w="12240" w:h="15840"/>
          <w:pgMar w:header="726" w:footer="1527" w:top="1200" w:bottom="1720" w:left="1540" w:right="1540"/>
        </w:sectPr>
      </w:pPr>
    </w:p>
    <w:p>
      <w:pPr>
        <w:pStyle w:val="BodyText"/>
        <w:spacing w:before="9"/>
        <w:rPr>
          <w:sz w:val="18"/>
        </w:rPr>
      </w:pPr>
    </w:p>
    <w:p>
      <w:pPr>
        <w:pStyle w:val="Heading1"/>
        <w:numPr>
          <w:ilvl w:val="0"/>
          <w:numId w:val="10"/>
        </w:numPr>
        <w:tabs>
          <w:tab w:pos="626" w:val="left" w:leader="none"/>
        </w:tabs>
        <w:spacing w:line="240" w:lineRule="auto" w:before="63" w:after="0"/>
        <w:ind w:left="625" w:right="0" w:hanging="466"/>
        <w:jc w:val="left"/>
      </w:pPr>
      <w:bookmarkStart w:name="_bookmark40" w:id="63"/>
      <w:bookmarkEnd w:id="63"/>
      <w:r>
        <w:rPr>
          <w:b w:val="0"/>
        </w:rPr>
      </w:r>
      <w:bookmarkStart w:name="_bookmark40" w:id="64"/>
      <w:bookmarkEnd w:id="64"/>
      <w:r>
        <w:rPr/>
        <w:t>L</w:t>
      </w:r>
      <w:r>
        <w:rPr/>
        <w:t>ITERATURA</w:t>
      </w:r>
      <w:r>
        <w:rPr>
          <w:spacing w:val="-11"/>
        </w:rPr>
        <w:t> </w:t>
      </w:r>
      <w:r>
        <w:rPr/>
        <w:t>CITADA</w:t>
      </w:r>
    </w:p>
    <w:p>
      <w:pPr>
        <w:pStyle w:val="BodyText"/>
        <w:spacing w:before="1"/>
        <w:rPr>
          <w:b/>
          <w:sz w:val="34"/>
        </w:rPr>
      </w:pPr>
    </w:p>
    <w:p>
      <w:pPr>
        <w:pStyle w:val="BodyText"/>
        <w:spacing w:line="355" w:lineRule="auto"/>
        <w:ind w:left="520" w:right="154"/>
        <w:jc w:val="both"/>
      </w:pPr>
      <w:r>
        <w:rPr/>
        <w:t>Abbas AK, Lichtman AH, Pober JS. (2002): Inmunología celular y molecular. 5° ed., McGraww-Hill Interamericana.</w:t>
      </w:r>
    </w:p>
    <w:p>
      <w:pPr>
        <w:pStyle w:val="BodyText"/>
        <w:spacing w:line="360" w:lineRule="auto" w:before="214"/>
        <w:ind w:left="520" w:right="155"/>
        <w:jc w:val="both"/>
      </w:pPr>
      <w:r>
        <w:rPr/>
        <w:t>Alvarez LP, Barbagelata MS, Gordiola M, Ambrose L, Cheung, Sordelli DO, Buzzola FR. (2010): Salicylic Acid Diminishes </w:t>
      </w:r>
      <w:r>
        <w:rPr>
          <w:i/>
        </w:rPr>
        <w:t>Staphylococcus aureus </w:t>
      </w:r>
      <w:r>
        <w:rPr/>
        <w:t>Capsular Polysaccharide Type 5 Expression. Infection and immunity, 78(3):1339–1344</w:t>
      </w:r>
    </w:p>
    <w:p>
      <w:pPr>
        <w:pStyle w:val="BodyText"/>
        <w:spacing w:line="355" w:lineRule="auto" w:before="209"/>
        <w:ind w:left="520" w:right="158"/>
        <w:jc w:val="both"/>
      </w:pPr>
      <w:r>
        <w:rPr/>
        <w:t>Arango JC, Gámez LY, López JA. (2010): Sistema NADPH oxidasa: nuevos retos y perpesctivas. 23(4):362-372.</w:t>
      </w:r>
    </w:p>
    <w:p>
      <w:pPr>
        <w:pStyle w:val="BodyText"/>
        <w:spacing w:line="357" w:lineRule="auto" w:before="215"/>
        <w:ind w:left="520" w:right="151"/>
        <w:jc w:val="both"/>
      </w:pPr>
      <w:r>
        <w:rPr/>
        <w:t>Bustos-Martínez JA, Hamdan-Partida A, Gutiérrez-Cárdenas M. (2006): Staphylococcus aureus: la reemergencia de un patógeno en la comunidad. Rev Biomed., 17:287-305.</w:t>
      </w:r>
    </w:p>
    <w:p>
      <w:pPr>
        <w:pStyle w:val="BodyText"/>
        <w:spacing w:line="360" w:lineRule="auto" w:before="212"/>
        <w:ind w:left="520" w:right="159"/>
        <w:jc w:val="both"/>
      </w:pPr>
      <w:r>
        <w:rPr/>
        <w:t>Cano NF, Montoya CJ. (2001): Las quimioquinas: citoquinas proinflamatorias y reguladoras del tráfico celular. Revista Medica Universidad de Antioquia, 14(1):57-72.</w:t>
      </w:r>
    </w:p>
    <w:p>
      <w:pPr>
        <w:pStyle w:val="BodyText"/>
        <w:spacing w:line="355" w:lineRule="auto" w:before="209"/>
        <w:ind w:left="520" w:right="158"/>
        <w:jc w:val="both"/>
      </w:pPr>
      <w:r>
        <w:rPr/>
        <w:t>Carson GP y Kaneko JJ. (1973): Isolation of leukocytes from bovine peripherial blood. Proc Soc Exp Biol Med. 142:853-856.</w:t>
      </w:r>
    </w:p>
    <w:p>
      <w:pPr>
        <w:pStyle w:val="BodyText"/>
        <w:spacing w:line="357" w:lineRule="auto" w:before="215"/>
        <w:ind w:left="520" w:right="155"/>
        <w:jc w:val="both"/>
      </w:pPr>
      <w:r>
        <w:rPr/>
        <w:t>Cunnion KM, Lee JC, Frank MM. (2001): Capsule Production and  Growth Phase Influence Binding of Complement to </w:t>
      </w:r>
      <w:r>
        <w:rPr>
          <w:i/>
        </w:rPr>
        <w:t>Staphylococcus aureus. </w:t>
      </w:r>
      <w:r>
        <w:rPr/>
        <w:t>Infection and Immunity, 69(11):6796–6803.</w:t>
      </w:r>
    </w:p>
    <w:p>
      <w:pPr>
        <w:pStyle w:val="BodyText"/>
        <w:spacing w:line="360" w:lineRule="auto" w:before="212"/>
        <w:ind w:left="520" w:right="153"/>
        <w:jc w:val="both"/>
      </w:pPr>
      <w:r>
        <w:rPr/>
        <w:t>Cunnion KM, Zhang HM, Frank MM. (2003): Availability of Complement Bound to Staphylococcus aureus To Interac with Membrane Complement Receptors Influences Efficiency of Phagocytosis. Infection and Immunity, 71(2):656-662</w:t>
      </w:r>
    </w:p>
    <w:p>
      <w:pPr>
        <w:pStyle w:val="BodyText"/>
        <w:spacing w:line="355" w:lineRule="auto" w:before="209"/>
        <w:ind w:left="520" w:right="153"/>
        <w:jc w:val="both"/>
      </w:pPr>
      <w:r>
        <w:rPr/>
        <w:t>Dallard BE. (2007): Inducción de muerte celular en las infecciones intramamarias. Revista FAVE - Ciencias Veterinarias,</w:t>
      </w:r>
      <w:r>
        <w:rPr>
          <w:spacing w:val="52"/>
        </w:rPr>
        <w:t> </w:t>
      </w:r>
      <w:r>
        <w:rPr/>
        <w:t>6(1-2):19-29</w:t>
      </w:r>
    </w:p>
    <w:p>
      <w:pPr>
        <w:spacing w:after="0" w:line="355" w:lineRule="auto"/>
        <w:jc w:val="both"/>
        <w:sectPr>
          <w:pgSz w:w="12240" w:h="15840"/>
          <w:pgMar w:header="726" w:footer="1527" w:top="1200" w:bottom="1720" w:left="1540" w:right="1540"/>
        </w:sectPr>
      </w:pPr>
    </w:p>
    <w:p>
      <w:pPr>
        <w:pStyle w:val="BodyText"/>
        <w:spacing w:before="8"/>
        <w:rPr>
          <w:sz w:val="15"/>
        </w:rPr>
      </w:pPr>
    </w:p>
    <w:p>
      <w:pPr>
        <w:pStyle w:val="BodyText"/>
        <w:spacing w:line="357" w:lineRule="auto" w:before="69"/>
        <w:ind w:left="520" w:right="155"/>
        <w:jc w:val="both"/>
      </w:pPr>
      <w:r>
        <w:rPr/>
        <w:t>Echeverri JJZ, Jaramillo MG, Restrepo LFB. (2010): Evaluación comparativa  de dos metodologías de diagnóstico de mastitis en un hato lechero del Departamento de Antioquia Rev., Lasallista Investig.,</w:t>
      </w:r>
      <w:r>
        <w:rPr>
          <w:spacing w:val="-15"/>
        </w:rPr>
        <w:t> </w:t>
      </w:r>
      <w:r>
        <w:rPr/>
        <w:t>7(1):49-57.</w:t>
      </w:r>
    </w:p>
    <w:p>
      <w:pPr>
        <w:pStyle w:val="BodyText"/>
        <w:spacing w:line="355" w:lineRule="auto" w:before="212"/>
        <w:ind w:left="520" w:right="161"/>
        <w:jc w:val="both"/>
      </w:pPr>
      <w:r>
        <w:rPr/>
        <w:t>Elbim C, Estaquier J. (2010): Cytokines modulate neutrophil death. Eur. Cytokine Netw., 2(1):1-6.</w:t>
      </w:r>
    </w:p>
    <w:p>
      <w:pPr>
        <w:pStyle w:val="BodyText"/>
        <w:spacing w:line="360" w:lineRule="auto" w:before="214"/>
        <w:ind w:left="520" w:right="163"/>
        <w:jc w:val="both"/>
      </w:pPr>
      <w:r>
        <w:rPr/>
        <w:t>Elbim C, Lizard G. (2009): Flow cytometric investigation of neutrophil oxidative burst and apoptosis in physiological and pathological situations. Journal of the International society for Advancement of citometry, 75(6):475–481.</w:t>
      </w:r>
    </w:p>
    <w:p>
      <w:pPr>
        <w:pStyle w:val="BodyText"/>
        <w:spacing w:line="355" w:lineRule="auto" w:before="209"/>
        <w:ind w:left="520" w:right="155"/>
        <w:jc w:val="both"/>
      </w:pPr>
      <w:r>
        <w:rPr/>
        <w:t>Elena GA. (2002): Mecanismos de muerte celular: apoptosis y necrosis.  Revista Arg. Anest.,</w:t>
      </w:r>
      <w:r>
        <w:rPr>
          <w:spacing w:val="-7"/>
        </w:rPr>
        <w:t> </w:t>
      </w:r>
      <w:r>
        <w:rPr/>
        <w:t>60(6):391-401.</w:t>
      </w:r>
    </w:p>
    <w:p>
      <w:pPr>
        <w:pStyle w:val="BodyText"/>
        <w:spacing w:line="357" w:lineRule="auto" w:before="214"/>
        <w:ind w:left="520" w:right="155"/>
        <w:jc w:val="both"/>
      </w:pPr>
      <w:r>
        <w:rPr/>
        <w:t>Fattom AI, Sarwar J, Basham L, Ennifar S y Naso R. (1998): Antigenic Determinants of Staphylococcus aureus Type 5 and Type 8 Capsular Piolysaccharide Vaccines.</w:t>
      </w:r>
    </w:p>
    <w:p>
      <w:pPr>
        <w:pStyle w:val="BodyText"/>
        <w:spacing w:line="360" w:lineRule="auto" w:before="212"/>
        <w:ind w:left="520" w:right="153"/>
        <w:jc w:val="both"/>
      </w:pPr>
      <w:r>
        <w:rPr/>
        <w:t>Fox VA, Voelker DR, Campell PA, Cohen JJ, Bratton DL, Henson PM. (1992): Exposure of phosphatidilserine on the surface of apoptotic lymphocytes tiggers especific recobognition and removal by macrophages. J. Ummunol 148:2207- 2216.</w:t>
      </w:r>
    </w:p>
    <w:p>
      <w:pPr>
        <w:pStyle w:val="BodyText"/>
        <w:spacing w:line="360" w:lineRule="auto" w:before="209"/>
        <w:ind w:left="520" w:right="156"/>
        <w:jc w:val="both"/>
      </w:pPr>
      <w:r>
        <w:rPr/>
        <w:t>Gemmell CG, Tree R, Patel A, O'Really M, Foster TJ. (1990): Susceptibility to opsonophagocytosis of protein A, alpha-haemolysin and beta-toxin deficient mutants of </w:t>
      </w:r>
      <w:r>
        <w:rPr>
          <w:i/>
        </w:rPr>
        <w:t>Staphylococcus aureus </w:t>
      </w:r>
      <w:r>
        <w:rPr/>
        <w:t>isolated by allele-replacement. Zentralbl Bakteriol, 21:273-277.</w:t>
      </w:r>
    </w:p>
    <w:p>
      <w:pPr>
        <w:pStyle w:val="BodyText"/>
        <w:spacing w:line="357" w:lineRule="auto" w:before="209"/>
        <w:ind w:left="520" w:right="154"/>
        <w:jc w:val="both"/>
      </w:pPr>
      <w:r>
        <w:rPr/>
        <w:t>Guidry AJ, Oliver SP, Squiggins KE, Erbe EF, Dowlen HH, Hambleton CN y Berning LM. (1991): Effect of anticapsular antibodies on Neutrophil Phagocytosis of </w:t>
      </w:r>
      <w:r>
        <w:rPr>
          <w:i/>
        </w:rPr>
        <w:t>Staphylococcus aureus</w:t>
      </w:r>
      <w:r>
        <w:rPr/>
        <w:t>. Journal of Dairy Science, 74:3360- 3369.</w:t>
      </w:r>
    </w:p>
    <w:p>
      <w:pPr>
        <w:spacing w:after="0" w:line="357" w:lineRule="auto"/>
        <w:jc w:val="both"/>
        <w:sectPr>
          <w:pgSz w:w="12240" w:h="15840"/>
          <w:pgMar w:header="726" w:footer="1527" w:top="1200" w:bottom="1720" w:left="1540" w:right="1540"/>
        </w:sectPr>
      </w:pPr>
    </w:p>
    <w:p>
      <w:pPr>
        <w:pStyle w:val="BodyText"/>
        <w:spacing w:before="8"/>
        <w:rPr>
          <w:sz w:val="15"/>
        </w:rPr>
      </w:pPr>
    </w:p>
    <w:p>
      <w:pPr>
        <w:pStyle w:val="BodyText"/>
        <w:spacing w:line="357" w:lineRule="auto" w:before="69"/>
        <w:ind w:left="520" w:right="158"/>
        <w:jc w:val="both"/>
      </w:pPr>
      <w:r>
        <w:rPr/>
        <w:t>Hass YD, Veerkamp RF, Barkema H W, Grohn YT, Schukken YH. (2004): Associations between pathogen-specific cases of clinical mastitis and somatic cell count patterns. J Dairy Sci., 83(1):95-105.</w:t>
      </w:r>
    </w:p>
    <w:p>
      <w:pPr>
        <w:pStyle w:val="BodyText"/>
        <w:spacing w:line="360" w:lineRule="auto" w:before="212"/>
        <w:ind w:left="520" w:right="158"/>
        <w:jc w:val="both"/>
      </w:pPr>
      <w:r>
        <w:rPr/>
        <w:t>Hogan JS, Smith KL, Weiss WP, Todhunter DA, Schockey WL. (1990): Relationships among vitamin E, selenium, and bovine blood neutrophils. J Dairy Sci., 73(9):2372-2378.</w:t>
      </w:r>
    </w:p>
    <w:p>
      <w:pPr>
        <w:pStyle w:val="BodyText"/>
        <w:spacing w:line="357" w:lineRule="auto" w:before="209"/>
        <w:ind w:left="520" w:right="155"/>
        <w:jc w:val="both"/>
      </w:pPr>
      <w:r>
        <w:rPr/>
        <w:t>Kampen AH, Tollersrud T, Lund A. (2005): </w:t>
      </w:r>
      <w:r>
        <w:rPr>
          <w:i/>
        </w:rPr>
        <w:t>Staphylococcus aureus </w:t>
      </w:r>
      <w:r>
        <w:rPr/>
        <w:t>Capsular Polysaccharide Types 5 and 8 Reduce Killing by Bovine Neutrophils In Vitro. Infect. Immun., 73(3):1578-1583</w:t>
      </w:r>
    </w:p>
    <w:p>
      <w:pPr>
        <w:pStyle w:val="BodyText"/>
        <w:spacing w:line="357" w:lineRule="auto" w:before="212"/>
        <w:ind w:left="520" w:right="155"/>
        <w:jc w:val="both"/>
      </w:pPr>
      <w:r>
        <w:rPr/>
        <w:t>Kampen HA, Tollersrud T, Lund A. (2005): </w:t>
      </w:r>
      <w:r>
        <w:rPr>
          <w:i/>
        </w:rPr>
        <w:t>Staphylococcus aureus </w:t>
      </w:r>
      <w:r>
        <w:rPr/>
        <w:t>Capsular Polysaccharide Types 5 and 8 Reduce Killing by Bovine Neutrophils In Vitro. Infect. Immun., 73(3):1578-1583.</w:t>
      </w:r>
    </w:p>
    <w:p>
      <w:pPr>
        <w:pStyle w:val="BodyText"/>
        <w:spacing w:line="360" w:lineRule="auto" w:before="212"/>
        <w:ind w:left="520" w:right="154"/>
        <w:jc w:val="both"/>
      </w:pPr>
      <w:r>
        <w:rPr/>
        <w:t>Karakawa WW, Fournier JM, Vann WF, Arbeit R, Schneerson RS, Robbins JB. Method for the Serological Typing of the Capsular Polysaccharides of Staphylococcus aureus. J Clin Microbiol 1985;22 (3):445-447.</w:t>
      </w:r>
    </w:p>
    <w:p>
      <w:pPr>
        <w:pStyle w:val="BodyText"/>
        <w:spacing w:line="355" w:lineRule="auto" w:before="209"/>
        <w:ind w:left="520" w:right="156"/>
        <w:jc w:val="both"/>
      </w:pPr>
      <w:r>
        <w:rPr/>
        <w:t>Kebir DE, Filep JG. (2010): Role of Neutrophil Apoptosis in the Resolution of Inflammation. The Scientific World Journal, 10:1731–1748.</w:t>
      </w:r>
    </w:p>
    <w:p>
      <w:pPr>
        <w:pStyle w:val="BodyText"/>
        <w:spacing w:line="355" w:lineRule="auto" w:before="214"/>
        <w:ind w:left="520" w:right="161"/>
        <w:jc w:val="both"/>
      </w:pPr>
      <w:r>
        <w:rPr/>
        <w:t>Kennedy AD, DeLeo FR. (2009): Neutrophil apoptosis and the resolution of infection. Immunol Res., 43(1-3):25–61.</w:t>
      </w:r>
    </w:p>
    <w:p>
      <w:pPr>
        <w:pStyle w:val="BodyText"/>
        <w:spacing w:line="360" w:lineRule="auto" w:before="215"/>
        <w:ind w:left="520" w:right="155"/>
        <w:jc w:val="both"/>
      </w:pPr>
      <w:r>
        <w:rPr/>
        <w:t>Kimura K, Goff JP, Schmerr MJ, Stabel JR, Yokomizo Y. (2008): Activation of immune cells in bovine mammary gland secretions by zymosan-treated bovine serum. 91(5):1852-64.</w:t>
      </w:r>
    </w:p>
    <w:p>
      <w:pPr>
        <w:pStyle w:val="BodyText"/>
        <w:spacing w:line="360" w:lineRule="auto" w:before="204"/>
        <w:ind w:left="520" w:right="153"/>
        <w:jc w:val="both"/>
      </w:pPr>
      <w:r>
        <w:rPr/>
        <w:t>Lee JW, Bannerman DD, Paape MJ, Huang MK, Zhao X. (2005): Characterization of cytokine expression in milk somatic cells during intramammary infections with Escherichia coli or Staphylococcus aureus by real-time PCR. Infection and immunity, 73(3):1578-1583.</w:t>
      </w:r>
    </w:p>
    <w:p>
      <w:pPr>
        <w:spacing w:after="0" w:line="360" w:lineRule="auto"/>
        <w:jc w:val="both"/>
        <w:sectPr>
          <w:pgSz w:w="12240" w:h="15840"/>
          <w:pgMar w:header="726" w:footer="1527" w:top="1200" w:bottom="1720" w:left="1540" w:right="1540"/>
        </w:sectPr>
      </w:pPr>
    </w:p>
    <w:p>
      <w:pPr>
        <w:pStyle w:val="BodyText"/>
        <w:spacing w:before="8"/>
        <w:rPr>
          <w:sz w:val="15"/>
        </w:rPr>
      </w:pPr>
    </w:p>
    <w:p>
      <w:pPr>
        <w:pStyle w:val="BodyText"/>
        <w:spacing w:line="360" w:lineRule="auto" w:before="69"/>
        <w:ind w:left="520" w:right="154"/>
        <w:jc w:val="both"/>
      </w:pPr>
      <w:r>
        <w:rPr/>
        <w:t>Lee JW, O’Brien CN, Guidry AJ, Paape MJ, Shafer-Weaver KA, Zhao X. (2005): Effect of a trivalent vaccine against </w:t>
      </w:r>
      <w:r>
        <w:rPr>
          <w:i/>
        </w:rPr>
        <w:t>Staphylococcus aureus </w:t>
      </w:r>
      <w:r>
        <w:rPr/>
        <w:t>mastitis lymphocyte subpopulations, antibody production, and neutrophil phagocytosis. The Canadian Journal of Veterinary Research,</w:t>
      </w:r>
      <w:r>
        <w:rPr>
          <w:spacing w:val="-17"/>
        </w:rPr>
        <w:t> </w:t>
      </w:r>
      <w:r>
        <w:rPr/>
        <w:t>69(1):11–18.</w:t>
      </w:r>
    </w:p>
    <w:p>
      <w:pPr>
        <w:pStyle w:val="BodyText"/>
        <w:spacing w:line="360" w:lineRule="auto" w:before="204"/>
        <w:ind w:left="520" w:right="158"/>
        <w:jc w:val="both"/>
      </w:pPr>
      <w:r>
        <w:rPr/>
        <w:t>Leitner G, Eligulashvily R, Krifucks O, Perl S, Saran A. (2003): Immune cell differentiation in mammary gland tissues and milk of cows chronically infected with Staphylococcus aureus. J Vet Med B Infect Dis Vet Public Health. 50(1):45-52</w:t>
      </w:r>
    </w:p>
    <w:p>
      <w:pPr>
        <w:pStyle w:val="BodyText"/>
        <w:spacing w:line="360" w:lineRule="auto" w:before="209"/>
        <w:ind w:left="520" w:right="159"/>
        <w:jc w:val="both"/>
      </w:pPr>
      <w:r>
        <w:rPr/>
        <w:t>Luong TT, Lee CY. (2002): Overproduction of Type 8 Capsular Polysaccharide Augments </w:t>
      </w:r>
      <w:r>
        <w:rPr>
          <w:i/>
        </w:rPr>
        <w:t>Staphylococcus aureus </w:t>
      </w:r>
      <w:r>
        <w:rPr/>
        <w:t>Virulence. Infection and inmunity, 70(7):3389-3395.</w:t>
      </w:r>
    </w:p>
    <w:p>
      <w:pPr>
        <w:pStyle w:val="BodyText"/>
        <w:spacing w:line="360" w:lineRule="auto" w:before="169"/>
        <w:ind w:left="520" w:right="158"/>
        <w:jc w:val="both"/>
      </w:pPr>
      <w:r>
        <w:rPr/>
        <w:t>McGavin MD y Zachary JF. (2007): Pathologic basic of veterinary disease. 4</w:t>
      </w:r>
      <w:r>
        <w:rPr>
          <w:position w:val="11"/>
          <w:sz w:val="16"/>
        </w:rPr>
        <w:t>a</w:t>
      </w:r>
      <w:r>
        <w:rPr/>
        <w:t>. edición. Mosby Elsevier. USA.</w:t>
      </w:r>
    </w:p>
    <w:p>
      <w:pPr>
        <w:pStyle w:val="BodyText"/>
        <w:spacing w:line="355" w:lineRule="auto" w:before="209"/>
        <w:ind w:left="520" w:right="162"/>
        <w:jc w:val="both"/>
      </w:pPr>
      <w:r>
        <w:rPr/>
        <w:t>Meglia GE. (2004): Nutrition and Immune Response in Periparturient Dairy Cows.  Tesis doctoral. University of Agricultural Sciences Uppsala. Suecia.</w:t>
      </w:r>
    </w:p>
    <w:p>
      <w:pPr>
        <w:pStyle w:val="BodyText"/>
        <w:spacing w:line="357" w:lineRule="auto" w:before="214"/>
        <w:ind w:left="520" w:right="156"/>
        <w:jc w:val="both"/>
      </w:pPr>
      <w:r>
        <w:rPr/>
        <w:t>Mehrzard J, Paape M, Burvenich C. (2010): Role of neutrophils in protenction  of udder from infection in high yielding dairy </w:t>
      </w:r>
      <w:r>
        <w:rPr>
          <w:spacing w:val="-3"/>
        </w:rPr>
        <w:t>cows. </w:t>
      </w:r>
      <w:r>
        <w:rPr/>
        <w:t>Iranian –journal of Veterinary Research,</w:t>
      </w:r>
      <w:r>
        <w:rPr>
          <w:spacing w:val="-6"/>
        </w:rPr>
        <w:t> </w:t>
      </w:r>
      <w:r>
        <w:rPr/>
        <w:t>11(2):102-118.</w:t>
      </w:r>
    </w:p>
    <w:p>
      <w:pPr>
        <w:spacing w:line="360" w:lineRule="auto" w:before="212"/>
        <w:ind w:left="520" w:right="154" w:firstLine="0"/>
        <w:jc w:val="both"/>
        <w:rPr>
          <w:sz w:val="24"/>
        </w:rPr>
      </w:pPr>
      <w:r>
        <w:rPr>
          <w:sz w:val="24"/>
        </w:rPr>
        <w:t>Nilsdotter-Augustinsson A, Wilsson A, Larsson J, Stendahl O, Ohman L, Lundqvist-Gustafsson H</w:t>
      </w:r>
      <w:r>
        <w:rPr>
          <w:i/>
          <w:sz w:val="24"/>
        </w:rPr>
        <w:t>. (2004): Staphylococcus aureus</w:t>
      </w:r>
      <w:r>
        <w:rPr>
          <w:sz w:val="24"/>
        </w:rPr>
        <w:t>, but not </w:t>
      </w:r>
      <w:r>
        <w:rPr>
          <w:i/>
          <w:sz w:val="24"/>
        </w:rPr>
        <w:t>taphylococcus </w:t>
      </w:r>
      <w:r>
        <w:rPr>
          <w:i/>
          <w:sz w:val="24"/>
        </w:rPr>
        <w:t>epidermidis</w:t>
      </w:r>
      <w:r>
        <w:rPr>
          <w:sz w:val="24"/>
        </w:rPr>
        <w:t>, modulates the oxidative response and induces apoptosis in human neutrophils. APMIS, </w:t>
      </w:r>
      <w:r>
        <w:rPr>
          <w:color w:val="292425"/>
          <w:sz w:val="24"/>
        </w:rPr>
        <w:t>112:109–18</w:t>
      </w:r>
    </w:p>
    <w:p>
      <w:pPr>
        <w:pStyle w:val="BodyText"/>
        <w:spacing w:line="360" w:lineRule="auto" w:before="209"/>
        <w:ind w:left="520" w:right="159"/>
        <w:jc w:val="both"/>
      </w:pPr>
      <w:r>
        <w:rPr/>
        <w:t>Oviedo-Boyso J, Valdez-Alarcón JJ, Cajero-Juárez M, Ochoa-Zarzosa A, López-Meza JE, Bravo-Patiño A, Baizabal-Aguirre VM. (2007): Innate immune response of bovine mammary gland to pathogenic bacteria responsible for mastitis. J Infect., 54(4):399-409.</w:t>
      </w:r>
    </w:p>
    <w:p>
      <w:pPr>
        <w:spacing w:after="0" w:line="360" w:lineRule="auto"/>
        <w:jc w:val="both"/>
        <w:sectPr>
          <w:pgSz w:w="12240" w:h="15840"/>
          <w:pgMar w:header="726" w:footer="1527" w:top="1200" w:bottom="1720" w:left="1540" w:right="1540"/>
        </w:sectPr>
      </w:pPr>
    </w:p>
    <w:p>
      <w:pPr>
        <w:pStyle w:val="BodyText"/>
        <w:spacing w:before="8"/>
        <w:rPr>
          <w:sz w:val="15"/>
        </w:rPr>
      </w:pPr>
    </w:p>
    <w:p>
      <w:pPr>
        <w:pStyle w:val="BodyText"/>
        <w:spacing w:line="357" w:lineRule="auto" w:before="69"/>
        <w:ind w:left="520" w:right="156"/>
        <w:jc w:val="both"/>
      </w:pPr>
      <w:r>
        <w:rPr/>
        <w:t>Paape M, Mehrzad J, Zhao X, Detilleux J, Burvenich C. (2002). Defense of the bovine mammary gland by polymorphonuclear neutrophil leukocytes. Journal of Mammary Gland Biology and Neoplasia, 7:109–121.</w:t>
      </w:r>
    </w:p>
    <w:p>
      <w:pPr>
        <w:pStyle w:val="BodyText"/>
        <w:spacing w:line="360" w:lineRule="auto" w:before="212"/>
        <w:ind w:left="520" w:right="157"/>
        <w:jc w:val="both"/>
      </w:pPr>
      <w:r>
        <w:rPr/>
        <w:t>Paape M. Mehrzad J. Zhao X. Detilleux J, Burvenich C. (2002): Defense of the Bovine Mammary Gland by Polymorphonuclear Neutrophil Leukocytes. Journal of Mammary Gland Biology and Neoplasia, 7(2):109-121.</w:t>
      </w:r>
    </w:p>
    <w:p>
      <w:pPr>
        <w:pStyle w:val="BodyText"/>
        <w:spacing w:line="355" w:lineRule="auto" w:before="209"/>
        <w:ind w:left="520" w:right="157"/>
        <w:jc w:val="both"/>
      </w:pPr>
      <w:r>
        <w:rPr/>
        <w:t>Paape MJ, Bannerman DD, Zhao X, Lee JW. (2003): The bovine neutrophil: Structure and function in blood and milk. Vet Res.,</w:t>
      </w:r>
      <w:r>
        <w:rPr>
          <w:spacing w:val="51"/>
        </w:rPr>
        <w:t> </w:t>
      </w:r>
      <w:r>
        <w:rPr/>
        <w:t>34(5):597–627.</w:t>
      </w:r>
    </w:p>
    <w:p>
      <w:pPr>
        <w:pStyle w:val="BodyText"/>
        <w:spacing w:line="357" w:lineRule="auto" w:before="214"/>
        <w:ind w:left="520" w:right="162"/>
        <w:jc w:val="both"/>
      </w:pPr>
      <w:r>
        <w:rPr/>
        <w:t>Piepers S, Opsomer G, Meyer E, Demeyere K, Barkema HW, de Kruif A, De Vliegher S. (2009): Heifer and quarter characteristics associated with periparturient blood and milk neutrophil apoptosis in healthy heifers and in heifers with subclinical mastitis. Journal of  Dairy Science, 92(9):4330-9.</w:t>
      </w:r>
    </w:p>
    <w:p>
      <w:pPr>
        <w:pStyle w:val="BodyText"/>
        <w:spacing w:line="360" w:lineRule="auto" w:before="212"/>
        <w:ind w:left="520" w:right="160"/>
        <w:jc w:val="both"/>
      </w:pPr>
      <w:r>
        <w:rPr/>
        <w:t>Prump BE, Berezesky IK, Chang SH, Phelp PC. (1997):The Pathways of Cell Death: Oncosis, Apoptosis, and Necrosis. Toxicologic Pathology, 25(1):82-88.</w:t>
      </w:r>
    </w:p>
    <w:p>
      <w:pPr>
        <w:pStyle w:val="BodyText"/>
        <w:spacing w:line="357" w:lineRule="auto" w:before="209"/>
        <w:ind w:left="520" w:right="163"/>
        <w:jc w:val="both"/>
      </w:pPr>
      <w:r>
        <w:rPr/>
        <w:t>Rachel P Wilkie, Margret C. M. Vissers, Mike Dragunow, and Mark B. Hampton A (2007): Functional NADPH Oxidase Prevents Caspase Involvement in the Clearance of Phagocytic Neutrophils. Infection and Immunity, 75(7):3256–3263.</w:t>
      </w:r>
    </w:p>
    <w:p>
      <w:pPr>
        <w:pStyle w:val="BodyText"/>
        <w:spacing w:line="357" w:lineRule="auto" w:before="212"/>
        <w:ind w:left="520" w:right="156"/>
        <w:jc w:val="both"/>
      </w:pPr>
      <w:r>
        <w:rPr/>
        <w:t>Reinitz DM, Paape MJ y Mather IH. (1982): Effect of Phagocytosed Fat and Casein on the Intraphagosomal pH in Bovine Polymorphonuclear Leukocytes. Proceedings of the society for experimental biology and medicine, 170:281-285.</w:t>
      </w:r>
    </w:p>
    <w:p>
      <w:pPr>
        <w:pStyle w:val="BodyText"/>
        <w:spacing w:line="360" w:lineRule="auto" w:before="212"/>
        <w:ind w:left="520" w:right="156"/>
        <w:jc w:val="both"/>
      </w:pPr>
      <w:r>
        <w:rPr/>
        <w:t>Rinaldi M, Moroni P, Leino L, Laihia J, Paape MJ, Bannerman DD. (2006): Effect of cis-urocanic acid on bovine neutrophil generation of reactive oxygen species. Journal of  Dairy Science, 89(11):4188-201.</w:t>
      </w:r>
    </w:p>
    <w:p>
      <w:pPr>
        <w:pStyle w:val="BodyText"/>
        <w:spacing w:line="357" w:lineRule="auto" w:before="209"/>
        <w:ind w:left="520" w:right="155"/>
        <w:jc w:val="both"/>
      </w:pPr>
      <w:r>
        <w:rPr/>
        <w:t>Riollet C, Rainard P, Poutrel B. (2001): Cell subpopulations and cytokine expression in cow milk in response to chronic Staphylococcus aureus infection. J Dairy Sci., 84:1077-1084.</w:t>
      </w:r>
    </w:p>
    <w:p>
      <w:pPr>
        <w:spacing w:after="0" w:line="357" w:lineRule="auto"/>
        <w:jc w:val="both"/>
        <w:sectPr>
          <w:pgSz w:w="12240" w:h="15840"/>
          <w:pgMar w:header="726" w:footer="1527" w:top="1200" w:bottom="1720" w:left="1540" w:right="1540"/>
        </w:sectPr>
      </w:pPr>
    </w:p>
    <w:p>
      <w:pPr>
        <w:pStyle w:val="BodyText"/>
        <w:spacing w:before="8"/>
        <w:rPr>
          <w:sz w:val="15"/>
        </w:rPr>
      </w:pPr>
    </w:p>
    <w:p>
      <w:pPr>
        <w:pStyle w:val="BodyText"/>
        <w:spacing w:line="357" w:lineRule="auto" w:before="69"/>
        <w:ind w:left="520" w:right="154"/>
        <w:jc w:val="both"/>
      </w:pPr>
      <w:r>
        <w:rPr/>
        <w:t>Salgar S K, Papee MJ, Alston-Mills B, Miller RH. (1991): Flow cytometric study of oxidative burts activity in bovine neutrophils. Am J Vet Res., 52(8):1201- 1207.</w:t>
      </w:r>
    </w:p>
    <w:p>
      <w:pPr>
        <w:pStyle w:val="BodyText"/>
        <w:spacing w:line="360" w:lineRule="auto" w:before="212"/>
        <w:ind w:left="520" w:right="151"/>
        <w:jc w:val="both"/>
      </w:pPr>
      <w:r>
        <w:rPr/>
        <w:t>Schulze-Osthoff K, Ferrari D, Los M, Wesselborg S, Peter ME. (1998): Apoptosis signaling by death receptors. European Journal of biochemistry, 254(3):439-459</w:t>
      </w:r>
    </w:p>
    <w:p>
      <w:pPr>
        <w:pStyle w:val="BodyText"/>
        <w:spacing w:line="357" w:lineRule="auto" w:before="209"/>
        <w:ind w:left="520" w:right="154"/>
        <w:jc w:val="both"/>
      </w:pPr>
      <w:r>
        <w:rPr/>
        <w:t>Sladek Z, Rysanek D. (2000): Morphology of apoptosis of polymorphonuclear leukocytes isolated from mammary glands of unbred heifers, Veterinary Medicine Czech, 45(3):71–81.</w:t>
      </w:r>
    </w:p>
    <w:p>
      <w:pPr>
        <w:pStyle w:val="BodyText"/>
        <w:spacing w:line="357" w:lineRule="auto" w:before="212"/>
        <w:ind w:left="520" w:right="159"/>
        <w:jc w:val="both"/>
      </w:pPr>
      <w:r>
        <w:rPr/>
        <w:t>Sládek Z, Rysánek D. (2001): Apoptosis of polymorphonuclear leukocytes of  the juvenile bovine mammary gland during induced influx. Veterinary Research, 31:553–563.</w:t>
      </w:r>
    </w:p>
    <w:p>
      <w:pPr>
        <w:pStyle w:val="BodyText"/>
        <w:spacing w:line="360" w:lineRule="auto" w:before="212"/>
        <w:ind w:left="520" w:right="155"/>
        <w:jc w:val="both"/>
      </w:pPr>
      <w:r>
        <w:rPr/>
        <w:t>Sladek Z, Rysanek D, Ryznarova H, Faldyna M. (2005): Neutrophil apoptosis during experimentally induced </w:t>
      </w:r>
      <w:r>
        <w:rPr>
          <w:i/>
        </w:rPr>
        <w:t>Staphylococcus aureus </w:t>
      </w:r>
      <w:r>
        <w:rPr/>
        <w:t>mastitis. Veterinary Research, 36: 629–643.</w:t>
      </w:r>
    </w:p>
    <w:p>
      <w:pPr>
        <w:pStyle w:val="BodyText"/>
        <w:spacing w:line="355" w:lineRule="auto" w:before="174"/>
        <w:ind w:left="520" w:right="156"/>
        <w:jc w:val="both"/>
      </w:pPr>
      <w:r>
        <w:rPr/>
        <w:t>Slauson DO y Cooper BJ. (2002): Mechanisms of disease. 3</w:t>
      </w:r>
      <w:r>
        <w:rPr>
          <w:position w:val="11"/>
          <w:sz w:val="16"/>
        </w:rPr>
        <w:t>a </w:t>
      </w:r>
      <w:r>
        <w:rPr/>
        <w:t>edición. Mosby. USA.</w:t>
      </w:r>
    </w:p>
    <w:p>
      <w:pPr>
        <w:pStyle w:val="BodyText"/>
        <w:spacing w:line="357" w:lineRule="auto" w:before="214"/>
        <w:ind w:left="520" w:right="151"/>
        <w:jc w:val="both"/>
      </w:pPr>
      <w:hyperlink r:id="rId18">
        <w:r>
          <w:rPr/>
          <w:t>Smits E</w:t>
        </w:r>
      </w:hyperlink>
      <w:r>
        <w:rPr/>
        <w:t>, </w:t>
      </w:r>
      <w:hyperlink r:id="rId46">
        <w:r>
          <w:rPr/>
          <w:t>Burvenich C</w:t>
        </w:r>
      </w:hyperlink>
      <w:r>
        <w:rPr/>
        <w:t>, </w:t>
      </w:r>
      <w:hyperlink r:id="rId47">
        <w:r>
          <w:rPr/>
          <w:t>Guidry AJ</w:t>
        </w:r>
      </w:hyperlink>
      <w:r>
        <w:rPr/>
        <w:t>, </w:t>
      </w:r>
      <w:hyperlink r:id="rId48">
        <w:r>
          <w:rPr/>
          <w:t>Heyneman R,</w:t>
        </w:r>
      </w:hyperlink>
      <w:r>
        <w:rPr/>
        <w:t> </w:t>
      </w:r>
      <w:hyperlink r:id="rId49">
        <w:r>
          <w:rPr/>
          <w:t>Massart-Leën A</w:t>
        </w:r>
      </w:hyperlink>
      <w:r>
        <w:rPr/>
        <w:t>. (1999): Diapedesis across mammary epithelium reduces phagocytic and oxidative burst of bovine neutrophils. </w:t>
      </w:r>
      <w:hyperlink r:id="rId51">
        <w:r>
          <w:rPr/>
          <w:t>,</w:t>
        </w:r>
      </w:hyperlink>
      <w:r>
        <w:rPr/>
        <w:t> 68(2-4):169-76.</w:t>
      </w:r>
    </w:p>
    <w:p>
      <w:pPr>
        <w:pStyle w:val="BodyText"/>
        <w:spacing w:line="360" w:lineRule="auto" w:before="212"/>
        <w:ind w:left="520" w:right="157"/>
        <w:jc w:val="both"/>
      </w:pPr>
      <w:r>
        <w:rPr/>
        <w:t>Sordillo, LM, Shafer–Weaver K, DeRosa D. (1997): Immunobiology of the mammary gland. J. Dairy Sci., 80:1851.</w:t>
      </w:r>
    </w:p>
    <w:p>
      <w:pPr>
        <w:pStyle w:val="BodyText"/>
        <w:spacing w:line="362" w:lineRule="auto" w:before="204"/>
        <w:ind w:left="520" w:right="156"/>
        <w:jc w:val="both"/>
      </w:pPr>
      <w:r>
        <w:rPr/>
        <w:t>Sutra L, Mendiola C, Rainard P, Poutrel B. (1990): Encapsulation of </w:t>
      </w:r>
      <w:r>
        <w:rPr>
          <w:i/>
        </w:rPr>
        <w:t>Staphylococcus aureus </w:t>
      </w:r>
      <w:r>
        <w:rPr/>
        <w:t>Isolates from Mastitic Milk: Relationship between Capsular Polysaccharide Types 5 and 8 and Colony Morphology in  Serum-Soft</w:t>
      </w:r>
    </w:p>
    <w:p>
      <w:pPr>
        <w:spacing w:after="0" w:line="362" w:lineRule="auto"/>
        <w:jc w:val="both"/>
        <w:sectPr>
          <w:pgSz w:w="12240" w:h="15840"/>
          <w:pgMar w:header="726" w:footer="1527" w:top="1200" w:bottom="1720" w:left="1540" w:right="1540"/>
        </w:sectPr>
      </w:pPr>
    </w:p>
    <w:p>
      <w:pPr>
        <w:pStyle w:val="BodyText"/>
        <w:spacing w:before="8"/>
        <w:rPr>
          <w:sz w:val="15"/>
        </w:rPr>
      </w:pPr>
    </w:p>
    <w:p>
      <w:pPr>
        <w:pStyle w:val="BodyText"/>
        <w:spacing w:line="355" w:lineRule="auto" w:before="69"/>
        <w:ind w:left="520" w:right="160"/>
        <w:jc w:val="both"/>
      </w:pPr>
      <w:r>
        <w:rPr/>
        <w:t>Agar, Clumping Factor,Teichoic Acid, and Protein A. Journal of clinical microbiology, 28(3):447-451.</w:t>
      </w:r>
    </w:p>
    <w:p>
      <w:pPr>
        <w:pStyle w:val="BodyText"/>
        <w:spacing w:line="357" w:lineRule="auto" w:before="215"/>
        <w:ind w:left="520" w:right="158"/>
        <w:jc w:val="both"/>
      </w:pPr>
      <w:r>
        <w:rPr/>
        <w:t>Sutra L, Poutrel B. (1994): Virulence factors involved in the pathogenesis of bovine intramammary infections due to </w:t>
      </w:r>
      <w:r>
        <w:rPr>
          <w:i/>
        </w:rPr>
        <w:t>Staphylococcus aureus. </w:t>
      </w:r>
      <w:r>
        <w:rPr/>
        <w:t>Journal  Medical Microbiology,</w:t>
      </w:r>
      <w:r>
        <w:rPr>
          <w:spacing w:val="-7"/>
        </w:rPr>
        <w:t> </w:t>
      </w:r>
      <w:r>
        <w:rPr/>
        <w:t>40:79-89.</w:t>
      </w:r>
    </w:p>
    <w:p>
      <w:pPr>
        <w:pStyle w:val="BodyText"/>
        <w:spacing w:line="360" w:lineRule="auto" w:before="212"/>
        <w:ind w:left="520" w:right="158"/>
        <w:jc w:val="both"/>
      </w:pPr>
      <w:r>
        <w:rPr/>
        <w:t>Sutra L, Rainard P, Poutrel B. (1990): Phagocytosis of mastitis isolates of </w:t>
      </w:r>
      <w:r>
        <w:rPr>
          <w:i/>
        </w:rPr>
        <w:t>Staphylococcus aureus </w:t>
      </w:r>
      <w:r>
        <w:rPr/>
        <w:t>and expression of type 5 capsular polysaccharide are influenced by growth in the presence of milk. Journal of Clinical Microbiolgy, 28:2253-2258.</w:t>
      </w:r>
    </w:p>
    <w:p>
      <w:pPr>
        <w:pStyle w:val="BodyText"/>
        <w:spacing w:line="357" w:lineRule="auto" w:before="209"/>
        <w:ind w:left="520" w:right="155"/>
        <w:jc w:val="both"/>
      </w:pPr>
      <w:r>
        <w:rPr/>
        <w:t>Thakker M, Park J, Carey V,  Lee JC. (1998): </w:t>
      </w:r>
      <w:r>
        <w:rPr>
          <w:i/>
        </w:rPr>
        <w:t>Staphylococcus aureus </w:t>
      </w:r>
      <w:r>
        <w:rPr/>
        <w:t>Serotype 5 Capsular Polysaccharide Is Antiphagocytic and Enhances Bacterial Virulence in a Murine Bacteremia Model. Infection and Immunity, 66(11):5183–5189.</w:t>
      </w:r>
    </w:p>
    <w:p>
      <w:pPr>
        <w:pStyle w:val="BodyText"/>
        <w:spacing w:line="360" w:lineRule="auto" w:before="212"/>
        <w:ind w:left="520" w:right="156"/>
        <w:jc w:val="both"/>
      </w:pPr>
      <w:r>
        <w:rPr/>
        <w:t>Tizard TI. (2009): Introducción a la inmunología veterinaria. 8º ed., Elseiver, Barcelona, España.</w:t>
      </w:r>
    </w:p>
    <w:p>
      <w:pPr>
        <w:pStyle w:val="BodyText"/>
        <w:spacing w:line="357" w:lineRule="auto" w:before="209"/>
        <w:ind w:left="520" w:right="158"/>
        <w:jc w:val="both"/>
      </w:pPr>
      <w:r>
        <w:rPr/>
        <w:t>Tollersrud T, Kenny K, Reitz AJ, Lee JC. (2000): Genetic and serologic evaluation of capsule production by bovine mammary isolated of </w:t>
      </w:r>
      <w:r>
        <w:rPr>
          <w:i/>
        </w:rPr>
        <w:t>Staphylococcus aureus </w:t>
      </w:r>
      <w:r>
        <w:rPr/>
        <w:t>and other Staphylococcus spp. from Europe and the United States. J Clin Microbiol 38(8):2998-3003.</w:t>
      </w:r>
    </w:p>
    <w:p>
      <w:pPr>
        <w:pStyle w:val="BodyText"/>
        <w:spacing w:line="355" w:lineRule="auto" w:before="212"/>
        <w:ind w:left="520" w:right="160"/>
        <w:jc w:val="both"/>
      </w:pPr>
      <w:r>
        <w:rPr/>
        <w:t>Trump BF, Berezesky IK, Chang SH, Phelps PC.(1997): The pathways of cell death: Oncosis, Apoptosis, and Necrosis. Toxicologic Pathology, 25(1):82-88.</w:t>
      </w:r>
    </w:p>
    <w:p>
      <w:pPr>
        <w:pStyle w:val="BodyText"/>
        <w:spacing w:line="360" w:lineRule="auto" w:before="215"/>
        <w:ind w:left="520" w:right="151"/>
        <w:jc w:val="both"/>
      </w:pPr>
      <w:r>
        <w:rPr/>
        <w:t>Van Oostveldt K, Vangroenweghe F, Dosogne H, Burvenich F. (2001): Apoptosis and necrosis of blood and milk polymorphonuclear leukocytes  in early and midlactating healthy cows. Vet. Res., 32:617–622.</w:t>
      </w:r>
    </w:p>
    <w:p>
      <w:pPr>
        <w:pStyle w:val="BodyText"/>
        <w:spacing w:line="357" w:lineRule="auto" w:before="209"/>
        <w:ind w:left="520" w:right="157"/>
        <w:jc w:val="both"/>
      </w:pPr>
      <w:r>
        <w:rPr/>
        <w:t>Van Oostveldt K., Paape J.M. y Burvenich C. 2002. Apoptosis of Bovine Neutrophils Following Diapedesis Through a Monolayer of Endothelial and Mammary Epithelial Cells. J. Dairy Sci. 85:139–147.</w:t>
      </w:r>
    </w:p>
    <w:p>
      <w:pPr>
        <w:spacing w:after="0" w:line="357" w:lineRule="auto"/>
        <w:jc w:val="both"/>
        <w:sectPr>
          <w:pgSz w:w="12240" w:h="15840"/>
          <w:pgMar w:header="726" w:footer="1527" w:top="1200" w:bottom="1720" w:left="1540" w:right="1540"/>
        </w:sectPr>
      </w:pPr>
    </w:p>
    <w:p>
      <w:pPr>
        <w:pStyle w:val="BodyText"/>
        <w:spacing w:before="8"/>
        <w:rPr>
          <w:sz w:val="15"/>
        </w:rPr>
      </w:pPr>
    </w:p>
    <w:p>
      <w:pPr>
        <w:pStyle w:val="BodyText"/>
        <w:spacing w:line="360" w:lineRule="auto" w:before="69"/>
        <w:ind w:left="520" w:right="157"/>
        <w:jc w:val="both"/>
      </w:pPr>
      <w:r>
        <w:rPr/>
        <w:t>Velázquez V, Pescador N, Gorodezky C, Saltijera J. (2008): In vitro differencial neutrophil phagocytosis activity on Staphylococcus aureus when obtained from blood and milk of dairy cows in early lactation period. Revista latinoamericana de microbiología, 50(3,4):66-71.</w:t>
      </w:r>
    </w:p>
    <w:p>
      <w:pPr>
        <w:pStyle w:val="BodyText"/>
        <w:spacing w:line="360" w:lineRule="auto" w:before="204"/>
        <w:ind w:left="520" w:right="161"/>
        <w:jc w:val="both"/>
      </w:pPr>
      <w:r>
        <w:rPr/>
        <w:t>Verdier I, Durand G, Bes M, Taylor KL, Lina G, Vandenesch F, Ali I. Fattom, Etienne J. (2007): Identification of the Capsular Polysaccharides in </w:t>
      </w:r>
      <w:r>
        <w:rPr>
          <w:i/>
        </w:rPr>
        <w:t>Staphylococcus aureus </w:t>
      </w:r>
      <w:r>
        <w:rPr/>
        <w:t>Clinical Isolates by PCR and Agglutination Tests. Journal of clinical microbiology, 45(3):725–729.</w:t>
      </w:r>
    </w:p>
    <w:p>
      <w:pPr>
        <w:pStyle w:val="BodyText"/>
        <w:spacing w:line="360" w:lineRule="auto" w:before="209"/>
        <w:ind w:left="520" w:right="155"/>
        <w:jc w:val="both"/>
      </w:pPr>
      <w:r>
        <w:rPr/>
        <w:t>Watts A, Ke D, Wang Q, Pillay A, Nicholson-Weller A. y Lee JC. 2005. Staphylococcus aureus Strains That Express Serotype 5 or Serotype 8  Capsular Polysaccharides Differ in Virulence. Infect  Immun.</w:t>
      </w:r>
      <w:r>
        <w:rPr>
          <w:spacing w:val="-23"/>
        </w:rPr>
        <w:t> </w:t>
      </w:r>
      <w:r>
        <w:rPr/>
        <w:t>73(6):3502-3511.</w:t>
      </w:r>
    </w:p>
    <w:p>
      <w:pPr>
        <w:pStyle w:val="BodyText"/>
        <w:spacing w:line="360" w:lineRule="auto" w:before="204"/>
        <w:ind w:left="520" w:right="153"/>
        <w:jc w:val="both"/>
      </w:pPr>
      <w:r>
        <w:rPr/>
        <w:t>Wellnitz O, Bruckmaier RM. (2012): The innate immune response  of  the bovine mammary gland </w:t>
      </w:r>
      <w:r>
        <w:rPr>
          <w:spacing w:val="-3"/>
        </w:rPr>
        <w:t>to </w:t>
      </w:r>
      <w:r>
        <w:rPr/>
        <w:t>bacterial infection. The Veterinary Journal, 192(2):148–152.</w:t>
      </w:r>
    </w:p>
    <w:p>
      <w:pPr>
        <w:pStyle w:val="BodyText"/>
        <w:spacing w:line="357" w:lineRule="auto" w:before="209"/>
        <w:ind w:left="520" w:right="159"/>
        <w:jc w:val="both"/>
      </w:pPr>
      <w:r>
        <w:rPr/>
        <w:t>Wilkie RP, Vissers MCM, Dragunow M, Hampton MB. (2007): A Functional NADPH Oxidase Prevents Caspase Involvement in the Clearance of  Phagocytic Neutrophils. Infect immun,</w:t>
      </w:r>
      <w:r>
        <w:rPr>
          <w:spacing w:val="-20"/>
        </w:rPr>
        <w:t> </w:t>
      </w:r>
      <w:r>
        <w:rPr/>
        <w:t>75(7):3256–3263.</w:t>
      </w:r>
    </w:p>
    <w:p>
      <w:pPr>
        <w:pStyle w:val="BodyText"/>
        <w:spacing w:line="357" w:lineRule="auto" w:before="212"/>
        <w:ind w:left="520" w:right="160"/>
        <w:jc w:val="both"/>
      </w:pPr>
      <w:r>
        <w:rPr/>
        <w:t>Worku M, Paape MJ, Filep R, Miller RH. (1994): Effect of in vitro and in vivo migration of bovine neutrophils on binding and expression of Fc receptors for IgG2 and IgM. Am. J. Vet Res., 55</w:t>
      </w:r>
      <w:r>
        <w:rPr>
          <w:b/>
        </w:rPr>
        <w:t>:</w:t>
      </w:r>
      <w:r>
        <w:rPr/>
        <w:t>221–226.</w:t>
      </w:r>
    </w:p>
    <w:p>
      <w:pPr>
        <w:pStyle w:val="BodyText"/>
        <w:spacing w:before="10"/>
        <w:rPr>
          <w:sz w:val="18"/>
        </w:rPr>
      </w:pPr>
    </w:p>
    <w:p>
      <w:pPr>
        <w:pStyle w:val="BodyText"/>
        <w:spacing w:line="357" w:lineRule="auto"/>
        <w:ind w:left="520" w:right="156"/>
        <w:jc w:val="both"/>
      </w:pPr>
      <w:r>
        <w:rPr/>
        <w:t>Worku M, Paape MJ, Marquardt </w:t>
      </w:r>
      <w:r>
        <w:rPr>
          <w:spacing w:val="5"/>
        </w:rPr>
        <w:t>WW. </w:t>
      </w:r>
      <w:r>
        <w:rPr/>
        <w:t>(1994): Modulation of Fc receptors for IgG on bovine polymorphonuclear neutrophils by interferon </w:t>
      </w:r>
      <w:r>
        <w:rPr>
          <w:spacing w:val="-3"/>
        </w:rPr>
        <w:t>gamma </w:t>
      </w:r>
      <w:r>
        <w:rPr/>
        <w:t>though de novo RNA transcription and protein synthesis. American Journal of Veterinary Research,</w:t>
      </w:r>
      <w:r>
        <w:rPr>
          <w:spacing w:val="-3"/>
        </w:rPr>
        <w:t> </w:t>
      </w:r>
      <w:r>
        <w:rPr/>
        <w:t>55:234-238.</w:t>
      </w:r>
    </w:p>
    <w:p>
      <w:pPr>
        <w:pStyle w:val="BodyText"/>
        <w:spacing w:line="360" w:lineRule="auto" w:before="212"/>
        <w:ind w:left="520" w:right="154"/>
        <w:jc w:val="both"/>
      </w:pPr>
      <w:r>
        <w:rPr/>
        <w:t>Yamamoto A, Taniuchi S, Tsuji S, Hasui M, Kobayashi Y. (2002): Role of reactive oxygen species in neutrophil apoptosis following ingestion of heat- killed  </w:t>
      </w:r>
      <w:r>
        <w:rPr>
          <w:i/>
        </w:rPr>
        <w:t>Staphylococcus aureus. </w:t>
      </w:r>
      <w:r>
        <w:rPr/>
        <w:t>Clin Exp Immunol., 129:479–484.</w:t>
      </w:r>
    </w:p>
    <w:p>
      <w:pPr>
        <w:spacing w:after="0" w:line="360" w:lineRule="auto"/>
        <w:jc w:val="both"/>
        <w:sectPr>
          <w:pgSz w:w="12240" w:h="15840"/>
          <w:pgMar w:header="726" w:footer="1527" w:top="1200" w:bottom="1720" w:left="1540" w:right="1540"/>
        </w:sectPr>
      </w:pPr>
    </w:p>
    <w:p>
      <w:pPr>
        <w:pStyle w:val="BodyText"/>
        <w:spacing w:before="8"/>
        <w:rPr>
          <w:sz w:val="15"/>
        </w:rPr>
      </w:pPr>
    </w:p>
    <w:p>
      <w:pPr>
        <w:pStyle w:val="BodyText"/>
        <w:spacing w:line="355" w:lineRule="auto" w:before="69"/>
        <w:ind w:left="520" w:right="162"/>
        <w:jc w:val="both"/>
      </w:pPr>
      <w:r>
        <w:rPr/>
        <w:t>Zhao X, Lacasse P. (2007): Mammary tissue damage during bovine mastitis: Causes and control. Journal  of animal science, 86:57-65.</w:t>
      </w:r>
    </w:p>
    <w:p>
      <w:pPr>
        <w:pStyle w:val="BodyText"/>
        <w:spacing w:line="357" w:lineRule="auto" w:before="215"/>
        <w:ind w:left="520" w:right="152"/>
        <w:jc w:val="both"/>
      </w:pPr>
      <w:r>
        <w:rPr>
          <w:color w:val="221F1F"/>
        </w:rPr>
        <w:t>Zwahlen RD, Roth DR. (1990): Chemotactic competence of neutrophils from neonatal calves. Functional comparison with neutrophil from adult cattle. Inflammation. 14:109-123.</w:t>
      </w:r>
    </w:p>
    <w:p>
      <w:pPr>
        <w:spacing w:after="0" w:line="357" w:lineRule="auto"/>
        <w:jc w:val="both"/>
        <w:sectPr>
          <w:pgSz w:w="12240" w:h="15840"/>
          <w:pgMar w:header="726" w:footer="1527" w:top="1200" w:bottom="1720" w:left="1540" w:right="1540"/>
        </w:sectPr>
      </w:pPr>
    </w:p>
    <w:p>
      <w:pPr>
        <w:pStyle w:val="BodyText"/>
        <w:spacing w:before="5"/>
        <w:rPr>
          <w:sz w:val="15"/>
        </w:rPr>
      </w:pPr>
    </w:p>
    <w:p>
      <w:pPr>
        <w:pStyle w:val="Heading1"/>
        <w:spacing w:before="64"/>
        <w:ind w:left="3382" w:right="3031"/>
        <w:jc w:val="center"/>
      </w:pPr>
      <w:r>
        <w:rPr/>
        <w:t>ANEXOS TÉCNICOS</w:t>
      </w:r>
    </w:p>
    <w:p>
      <w:pPr>
        <w:pStyle w:val="BodyText"/>
        <w:rPr>
          <w:b/>
          <w:sz w:val="20"/>
        </w:rPr>
      </w:pPr>
    </w:p>
    <w:p>
      <w:pPr>
        <w:pStyle w:val="BodyText"/>
        <w:rPr>
          <w:b/>
          <w:sz w:val="20"/>
        </w:rPr>
      </w:pPr>
    </w:p>
    <w:p>
      <w:pPr>
        <w:pStyle w:val="BodyText"/>
        <w:rPr>
          <w:b/>
          <w:sz w:val="20"/>
        </w:rPr>
      </w:pPr>
    </w:p>
    <w:p>
      <w:pPr>
        <w:pStyle w:val="BodyText"/>
        <w:spacing w:before="7"/>
        <w:rPr>
          <w:b/>
          <w:sz w:val="18"/>
        </w:rPr>
      </w:pPr>
    </w:p>
    <w:p>
      <w:pPr>
        <w:pStyle w:val="Heading3"/>
        <w:spacing w:before="70"/>
      </w:pPr>
      <w:r>
        <w:rPr/>
        <w:t>MATERIAL BIOLÓGICO</w:t>
      </w:r>
    </w:p>
    <w:p>
      <w:pPr>
        <w:pStyle w:val="BodyText"/>
        <w:spacing w:before="10"/>
        <w:rPr>
          <w:b/>
          <w:sz w:val="21"/>
        </w:rPr>
      </w:pPr>
    </w:p>
    <w:p>
      <w:pPr>
        <w:pStyle w:val="BodyText"/>
        <w:spacing w:line="360" w:lineRule="auto"/>
        <w:ind w:left="159" w:right="5952"/>
      </w:pPr>
      <w:r>
        <w:rPr/>
        <w:t>Muestras de sangre de vaca Muestras de leche</w:t>
      </w:r>
    </w:p>
    <w:p>
      <w:pPr>
        <w:pStyle w:val="BodyText"/>
        <w:spacing w:line="360" w:lineRule="auto" w:before="3"/>
        <w:ind w:left="159" w:right="7195"/>
        <w:jc w:val="both"/>
      </w:pPr>
      <w:r>
        <w:rPr/>
        <w:t>Suero de leche Suero de vacas Cepas controles:</w:t>
      </w:r>
    </w:p>
    <w:p>
      <w:pPr>
        <w:spacing w:before="2"/>
        <w:ind w:left="159" w:right="0" w:firstLine="0"/>
        <w:jc w:val="left"/>
        <w:rPr>
          <w:sz w:val="24"/>
        </w:rPr>
      </w:pPr>
      <w:r>
        <w:rPr>
          <w:i/>
          <w:sz w:val="24"/>
        </w:rPr>
        <w:t>Staphylococcus aureus </w:t>
      </w:r>
      <w:r>
        <w:rPr>
          <w:sz w:val="24"/>
        </w:rPr>
        <w:t>serotipo capsular 5 (ATCC25904, Newman).</w:t>
      </w:r>
    </w:p>
    <w:p>
      <w:pPr>
        <w:spacing w:before="137"/>
        <w:ind w:left="159" w:right="0" w:firstLine="0"/>
        <w:jc w:val="left"/>
        <w:rPr>
          <w:sz w:val="24"/>
        </w:rPr>
      </w:pPr>
      <w:r>
        <w:rPr>
          <w:i/>
          <w:sz w:val="24"/>
        </w:rPr>
        <w:t>Staphylococcus aureus </w:t>
      </w:r>
      <w:r>
        <w:rPr>
          <w:sz w:val="24"/>
        </w:rPr>
        <w:t>serotipo capsular 8 (ATCC49525, Wright).</w:t>
      </w:r>
    </w:p>
    <w:p>
      <w:pPr>
        <w:spacing w:before="137"/>
        <w:ind w:left="159" w:right="0" w:firstLine="0"/>
        <w:jc w:val="left"/>
        <w:rPr>
          <w:sz w:val="24"/>
        </w:rPr>
      </w:pPr>
      <w:r>
        <w:rPr>
          <w:i/>
          <w:sz w:val="24"/>
        </w:rPr>
        <w:t>Staphylococcus aureus </w:t>
      </w:r>
      <w:r>
        <w:rPr>
          <w:sz w:val="24"/>
        </w:rPr>
        <w:t>sin cápsula (ATCC12598, Cowan 1).</w:t>
      </w:r>
    </w:p>
    <w:p>
      <w:pPr>
        <w:pStyle w:val="BodyText"/>
      </w:pPr>
    </w:p>
    <w:p>
      <w:pPr>
        <w:pStyle w:val="BodyText"/>
        <w:spacing w:before="9"/>
        <w:rPr>
          <w:sz w:val="23"/>
        </w:rPr>
      </w:pPr>
    </w:p>
    <w:p>
      <w:pPr>
        <w:pStyle w:val="Heading3"/>
      </w:pPr>
      <w:r>
        <w:rPr/>
        <w:t>Material de muestreo</w:t>
      </w:r>
    </w:p>
    <w:p>
      <w:pPr>
        <w:pStyle w:val="BodyText"/>
        <w:spacing w:before="45"/>
        <w:ind w:left="159" w:right="3245"/>
      </w:pPr>
      <w:r>
        <w:rPr/>
        <w:t>Refrigerantes</w:t>
      </w:r>
    </w:p>
    <w:p>
      <w:pPr>
        <w:pStyle w:val="BodyText"/>
        <w:spacing w:line="415" w:lineRule="auto" w:before="199"/>
        <w:ind w:left="159" w:right="5658"/>
      </w:pPr>
      <w:r>
        <w:rPr/>
        <w:t>Termo de poliuretano Desinfectante yodado 500 ppm Etiquetas autoadheribles Gradilla metálica</w:t>
      </w:r>
    </w:p>
    <w:p>
      <w:pPr>
        <w:pStyle w:val="BodyText"/>
        <w:spacing w:line="412" w:lineRule="auto" w:before="3"/>
        <w:ind w:left="159" w:right="7166"/>
      </w:pPr>
      <w:r>
        <w:rPr/>
        <w:t>Guantes de látex Marcadores</w:t>
      </w:r>
    </w:p>
    <w:p>
      <w:pPr>
        <w:pStyle w:val="BodyText"/>
        <w:spacing w:before="6"/>
        <w:ind w:left="159" w:right="3245"/>
      </w:pPr>
      <w:r>
        <w:rPr/>
        <w:t>Torundas con alcohol etílico al 70%</w:t>
      </w:r>
    </w:p>
    <w:p>
      <w:pPr>
        <w:pStyle w:val="BodyText"/>
        <w:spacing w:line="417" w:lineRule="auto" w:before="200"/>
        <w:ind w:left="159" w:right="3110"/>
      </w:pPr>
      <w:r>
        <w:rPr/>
        <w:t>Tubos de ensaye con tapón de rosca 30ml (Evergreen) Agujas vacutainer</w:t>
      </w:r>
    </w:p>
    <w:p>
      <w:pPr>
        <w:pStyle w:val="BodyText"/>
        <w:spacing w:line="412" w:lineRule="auto" w:before="1"/>
        <w:ind w:left="159" w:right="5005"/>
      </w:pPr>
      <w:r>
        <w:rPr/>
        <w:t>Tubos con de muestreo con heparina Tubos con gel separador para suero</w:t>
      </w:r>
    </w:p>
    <w:p>
      <w:pPr>
        <w:pStyle w:val="BodyText"/>
      </w:pPr>
    </w:p>
    <w:p>
      <w:pPr>
        <w:pStyle w:val="Heading3"/>
        <w:spacing w:before="195"/>
      </w:pPr>
      <w:r>
        <w:rPr/>
        <w:t>MATERIAL DE LABORATORIO</w:t>
      </w:r>
    </w:p>
    <w:p>
      <w:pPr>
        <w:spacing w:after="0"/>
        <w:sectPr>
          <w:footerReference w:type="default" r:id="rId52"/>
          <w:pgSz w:w="12240" w:h="15840"/>
          <w:pgMar w:footer="1527" w:header="726" w:top="1200" w:bottom="1720" w:left="1540" w:right="1540"/>
          <w:pgNumType w:start="1"/>
        </w:sectPr>
      </w:pPr>
    </w:p>
    <w:p>
      <w:pPr>
        <w:pStyle w:val="BodyText"/>
        <w:spacing w:before="10"/>
        <w:rPr>
          <w:b/>
          <w:sz w:val="14"/>
        </w:rPr>
      </w:pPr>
    </w:p>
    <w:p>
      <w:pPr>
        <w:spacing w:before="69"/>
        <w:ind w:left="159" w:right="3245" w:firstLine="0"/>
        <w:jc w:val="left"/>
        <w:rPr>
          <w:b/>
          <w:sz w:val="24"/>
        </w:rPr>
      </w:pPr>
      <w:r>
        <w:rPr>
          <w:b/>
          <w:sz w:val="24"/>
        </w:rPr>
        <w:t>Medios de cultivo</w:t>
      </w:r>
    </w:p>
    <w:p>
      <w:pPr>
        <w:pStyle w:val="BodyText"/>
        <w:spacing w:before="10"/>
        <w:rPr>
          <w:b/>
          <w:sz w:val="21"/>
        </w:rPr>
      </w:pPr>
    </w:p>
    <w:p>
      <w:pPr>
        <w:pStyle w:val="BodyText"/>
        <w:spacing w:line="412" w:lineRule="auto"/>
        <w:ind w:left="159" w:right="3245"/>
      </w:pPr>
      <w:r>
        <w:rPr/>
        <w:t>Agar Infusión Cerebro Corazón (BD Bioxon, México) Agar Gelosa sangre (BD Bioxon, México)</w:t>
      </w:r>
    </w:p>
    <w:p>
      <w:pPr>
        <w:pStyle w:val="BodyText"/>
        <w:spacing w:line="412" w:lineRule="auto" w:before="6"/>
        <w:ind w:left="159" w:right="3245"/>
      </w:pPr>
      <w:r>
        <w:rPr/>
        <w:t>Agar Sal y Manitol (MSA) (BD, Bioxon, México) Infusión Cerebro Corazón (BD Bioxon, México)</w:t>
      </w:r>
    </w:p>
    <w:p>
      <w:pPr>
        <w:pStyle w:val="BodyText"/>
      </w:pPr>
    </w:p>
    <w:p>
      <w:pPr>
        <w:pStyle w:val="BodyText"/>
        <w:spacing w:before="9"/>
        <w:rPr>
          <w:sz w:val="20"/>
        </w:rPr>
      </w:pPr>
    </w:p>
    <w:p>
      <w:pPr>
        <w:pStyle w:val="Heading3"/>
      </w:pPr>
      <w:r>
        <w:rPr/>
        <w:t>Cristalería</w:t>
      </w:r>
    </w:p>
    <w:p>
      <w:pPr>
        <w:pStyle w:val="BodyText"/>
        <w:spacing w:before="10"/>
        <w:rPr>
          <w:b/>
          <w:sz w:val="21"/>
        </w:rPr>
      </w:pPr>
    </w:p>
    <w:p>
      <w:pPr>
        <w:pStyle w:val="BodyText"/>
        <w:spacing w:line="412" w:lineRule="auto"/>
        <w:ind w:left="159" w:right="5072"/>
      </w:pPr>
      <w:r>
        <w:rPr/>
        <w:t>Cajas de petri de vidrio 15 x 100 mm Cubreobjetos 20 mm</w:t>
      </w:r>
    </w:p>
    <w:p>
      <w:pPr>
        <w:pStyle w:val="BodyText"/>
        <w:spacing w:line="412" w:lineRule="auto" w:before="6"/>
        <w:ind w:left="159" w:right="5038"/>
      </w:pPr>
      <w:r>
        <w:rPr/>
        <w:t>Matraces erlenmeyer de250 y 500 ml Portaobjetos de 26 x 62 mm Probetas graduadas de 500 ml</w:t>
      </w:r>
    </w:p>
    <w:p>
      <w:pPr>
        <w:pStyle w:val="BodyText"/>
        <w:spacing w:before="11"/>
        <w:ind w:left="159" w:right="3245"/>
      </w:pPr>
      <w:r>
        <w:rPr/>
        <w:t>Placa de aglutinación</w:t>
      </w:r>
    </w:p>
    <w:p>
      <w:pPr>
        <w:pStyle w:val="BodyText"/>
        <w:spacing w:before="199"/>
        <w:ind w:left="159"/>
      </w:pPr>
      <w:r>
        <w:rPr/>
        <w:t>Tubos de ensaye con tapón de rosca de 13 x 100 mm</w:t>
      </w:r>
    </w:p>
    <w:p>
      <w:pPr>
        <w:pStyle w:val="BodyText"/>
      </w:pPr>
    </w:p>
    <w:p>
      <w:pPr>
        <w:pStyle w:val="BodyText"/>
        <w:spacing w:before="9"/>
        <w:rPr>
          <w:sz w:val="33"/>
        </w:rPr>
      </w:pPr>
    </w:p>
    <w:p>
      <w:pPr>
        <w:pStyle w:val="Heading3"/>
      </w:pPr>
      <w:r>
        <w:rPr/>
        <w:t>Equipo</w:t>
      </w:r>
    </w:p>
    <w:p>
      <w:pPr>
        <w:pStyle w:val="BodyText"/>
        <w:spacing w:before="6"/>
        <w:rPr>
          <w:b/>
          <w:sz w:val="21"/>
        </w:rPr>
      </w:pPr>
    </w:p>
    <w:p>
      <w:pPr>
        <w:pStyle w:val="BodyText"/>
        <w:spacing w:line="415" w:lineRule="auto"/>
        <w:ind w:left="159" w:right="5339"/>
      </w:pPr>
      <w:r>
        <w:rPr/>
        <w:t>Asa bacteriológica de 10</w:t>
      </w:r>
      <w:r>
        <w:rPr>
          <w:rFonts w:ascii="Times New Roman" w:hAnsi="Times New Roman"/>
        </w:rPr>
        <w:t>µ</w:t>
      </w:r>
      <w:r>
        <w:rPr/>
        <w:t>l Autoclave (Felisa, México) Balanza analítica (Ohaus, USA) Balanza granataria (Ohaus, USA) Baño María de 0 a 80°C (Riossa) Centrífuga (Solbat, México)</w:t>
      </w:r>
    </w:p>
    <w:p>
      <w:pPr>
        <w:pStyle w:val="BodyText"/>
        <w:spacing w:line="412" w:lineRule="auto" w:before="3"/>
        <w:ind w:left="159" w:right="3471"/>
      </w:pPr>
      <w:r>
        <w:rPr/>
        <w:t>Microcentrifuga 5415D (Eppendorf, Germany) Estufa Bacteriológica (Riossa)</w:t>
      </w:r>
    </w:p>
    <w:p>
      <w:pPr>
        <w:pStyle w:val="BodyText"/>
        <w:spacing w:line="417" w:lineRule="auto" w:before="6"/>
        <w:ind w:left="159" w:right="3245"/>
      </w:pPr>
      <w:r>
        <w:rPr/>
        <w:t>Microscopio óptico (Olympus BH-2 Japan) Microscopio de fluorescencia (Zeizz, West Germany)</w:t>
      </w:r>
    </w:p>
    <w:p>
      <w:pPr>
        <w:spacing w:after="0" w:line="417" w:lineRule="auto"/>
        <w:sectPr>
          <w:pgSz w:w="12240" w:h="15840"/>
          <w:pgMar w:header="726" w:footer="1527" w:top="1200" w:bottom="1720" w:left="1540" w:right="1540"/>
        </w:sectPr>
      </w:pPr>
    </w:p>
    <w:p>
      <w:pPr>
        <w:pStyle w:val="BodyText"/>
        <w:spacing w:before="8"/>
        <w:rPr>
          <w:sz w:val="15"/>
        </w:rPr>
      </w:pPr>
    </w:p>
    <w:p>
      <w:pPr>
        <w:pStyle w:val="BodyText"/>
        <w:spacing w:before="69"/>
        <w:ind w:left="159" w:right="3245"/>
      </w:pPr>
      <w:r>
        <w:rPr/>
        <w:t>Refrigerador (Nieto)</w:t>
      </w:r>
    </w:p>
    <w:p>
      <w:pPr>
        <w:pStyle w:val="BodyText"/>
        <w:spacing w:before="199"/>
        <w:ind w:left="159" w:right="3245"/>
      </w:pPr>
      <w:r>
        <w:rPr/>
        <w:t>Vortex  (Thermolyne/ Maxi mix II)</w:t>
      </w:r>
    </w:p>
    <w:p>
      <w:pPr>
        <w:pStyle w:val="BodyText"/>
        <w:spacing w:before="195"/>
        <w:ind w:left="159"/>
        <w:rPr>
          <w:rFonts w:ascii="Times New Roman" w:hAnsi="Times New Roman"/>
        </w:rPr>
      </w:pPr>
      <w:r>
        <w:rPr/>
        <w:t>Micropipetas 0.5 a 1.0 </w:t>
      </w:r>
      <w:r>
        <w:rPr>
          <w:rFonts w:ascii="Times New Roman" w:hAnsi="Times New Roman"/>
        </w:rPr>
        <w:t>µl, </w:t>
      </w:r>
      <w:r>
        <w:rPr/>
        <w:t>10 a 100 </w:t>
      </w:r>
      <w:r>
        <w:rPr>
          <w:rFonts w:ascii="Times New Roman" w:hAnsi="Times New Roman"/>
        </w:rPr>
        <w:t>µl, 100 a 1000µl (Boeco, Alemania).</w:t>
      </w:r>
    </w:p>
    <w:p>
      <w:pPr>
        <w:pStyle w:val="BodyText"/>
        <w:spacing w:line="417" w:lineRule="auto" w:before="203"/>
        <w:ind w:left="159" w:right="2525"/>
      </w:pPr>
      <w:r>
        <w:rPr/>
        <w:t>Puntas micro 10 a 100 µl, 100 a 1000µl (Costar, México). Microviales de 1.0 a 2.0 ml (CLP, México).</w:t>
      </w:r>
    </w:p>
    <w:p>
      <w:pPr>
        <w:pStyle w:val="BodyText"/>
      </w:pPr>
    </w:p>
    <w:p>
      <w:pPr>
        <w:pStyle w:val="Heading3"/>
        <w:spacing w:before="195"/>
      </w:pPr>
      <w:r>
        <w:rPr/>
        <w:t>Reactivos y sustancias</w:t>
      </w:r>
    </w:p>
    <w:p>
      <w:pPr>
        <w:pStyle w:val="BodyText"/>
        <w:spacing w:before="4"/>
        <w:rPr>
          <w:b/>
        </w:rPr>
      </w:pPr>
    </w:p>
    <w:p>
      <w:pPr>
        <w:pStyle w:val="BodyText"/>
        <w:spacing w:line="360" w:lineRule="auto" w:before="1"/>
        <w:ind w:left="159" w:right="6753"/>
      </w:pPr>
      <w:r>
        <w:rPr/>
        <w:t>Reactivo de catalasa Reactivo de KOH</w:t>
      </w:r>
    </w:p>
    <w:p>
      <w:pPr>
        <w:pStyle w:val="BodyText"/>
        <w:spacing w:before="3"/>
        <w:ind w:left="159" w:right="3245"/>
      </w:pPr>
      <w:r>
        <w:rPr/>
        <w:t>Tinción de Gram (Sigma, México)</w:t>
      </w:r>
    </w:p>
    <w:p>
      <w:pPr>
        <w:pStyle w:val="BodyText"/>
        <w:spacing w:line="360" w:lineRule="auto" w:before="141"/>
        <w:ind w:left="159" w:right="4459"/>
      </w:pPr>
      <w:r>
        <w:rPr/>
        <w:t>Tinción de Azul de tripan (Sigma, -méxico) Tinción de Gienma (Sigma, México) Lysostaphin (Sigma, USA)</w:t>
      </w:r>
    </w:p>
    <w:p>
      <w:pPr>
        <w:pStyle w:val="BodyText"/>
        <w:spacing w:line="360" w:lineRule="auto" w:before="3"/>
        <w:ind w:left="159" w:right="5295"/>
      </w:pPr>
      <w:r>
        <w:rPr/>
        <w:t>Naranja de Acridina (Sigma,</w:t>
      </w:r>
      <w:r>
        <w:rPr>
          <w:spacing w:val="-19"/>
        </w:rPr>
        <w:t> </w:t>
      </w:r>
      <w:r>
        <w:rPr/>
        <w:t>USA). Glicerol (J. T. Baker, México) Agua</w:t>
      </w:r>
      <w:r>
        <w:rPr>
          <w:spacing w:val="-4"/>
        </w:rPr>
        <w:t> </w:t>
      </w:r>
      <w:r>
        <w:rPr/>
        <w:t>destilada</w:t>
      </w:r>
    </w:p>
    <w:p>
      <w:pPr>
        <w:pStyle w:val="BodyText"/>
        <w:spacing w:line="362" w:lineRule="auto" w:before="2"/>
        <w:ind w:left="159" w:right="3245"/>
      </w:pPr>
      <w:r>
        <w:rPr/>
        <w:t>Tinción May Grünwald-Giemsa (Sigma, México) Solución Amortiguadora de Fosfatos (PBS) pH 7.2 Filtros de 0.45 mm (Gelman Sciences).</w:t>
      </w:r>
    </w:p>
    <w:p>
      <w:pPr>
        <w:spacing w:after="0" w:line="362" w:lineRule="auto"/>
        <w:sectPr>
          <w:pgSz w:w="12240" w:h="15840"/>
          <w:pgMar w:header="726" w:footer="1527" w:top="1200" w:bottom="1720" w:left="1540" w:right="1540"/>
        </w:sectPr>
      </w:pPr>
    </w:p>
    <w:p>
      <w:pPr>
        <w:pStyle w:val="BodyText"/>
        <w:spacing w:before="8"/>
        <w:rPr>
          <w:sz w:val="15"/>
        </w:rPr>
      </w:pPr>
    </w:p>
    <w:p>
      <w:pPr>
        <w:pStyle w:val="BodyText"/>
        <w:spacing w:line="360" w:lineRule="auto" w:before="69"/>
        <w:ind w:left="239" w:right="216"/>
        <w:jc w:val="both"/>
      </w:pPr>
      <w:r>
        <w:rPr/>
        <w:t>NOM-050-ZOO-1995. Características y especificaciones zoosanitarias para instalaciones, equipo y operación de unidades de producción controlada para ganado bovino. Publicada en el diario oficial de la federación 17 de marzo de 1997 y derogada diario oficial de la federación 7 de agosto de 2003.</w:t>
      </w:r>
    </w:p>
    <w:p>
      <w:pPr>
        <w:pStyle w:val="Heading3"/>
        <w:spacing w:before="194"/>
        <w:ind w:left="239" w:right="0"/>
        <w:jc w:val="both"/>
      </w:pPr>
      <w:r>
        <w:rPr/>
        <w:t>Soluciones para el aislamiento de neutrófilos</w:t>
      </w:r>
    </w:p>
    <w:p>
      <w:pPr>
        <w:pStyle w:val="BodyText"/>
        <w:rPr>
          <w:b/>
          <w:sz w:val="20"/>
        </w:rPr>
      </w:pPr>
    </w:p>
    <w:p>
      <w:pPr>
        <w:pStyle w:val="BodyText"/>
        <w:spacing w:before="7"/>
        <w:rPr>
          <w:b/>
          <w:sz w:val="10"/>
        </w:r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94"/>
        <w:gridCol w:w="3154"/>
        <w:gridCol w:w="3227"/>
      </w:tblGrid>
      <w:tr>
        <w:trPr>
          <w:trHeight w:val="490" w:hRule="exact"/>
        </w:trPr>
        <w:tc>
          <w:tcPr>
            <w:tcW w:w="2694" w:type="dxa"/>
            <w:tcBorders>
              <w:left w:val="nil"/>
            </w:tcBorders>
          </w:tcPr>
          <w:p>
            <w:pPr/>
          </w:p>
        </w:tc>
        <w:tc>
          <w:tcPr>
            <w:tcW w:w="3154" w:type="dxa"/>
          </w:tcPr>
          <w:p>
            <w:pPr>
              <w:pStyle w:val="TableParagraph"/>
              <w:spacing w:line="267" w:lineRule="exact"/>
              <w:ind w:left="105"/>
              <w:rPr>
                <w:b/>
                <w:sz w:val="24"/>
              </w:rPr>
            </w:pPr>
            <w:r>
              <w:rPr>
                <w:b/>
                <w:sz w:val="24"/>
              </w:rPr>
              <w:t>Solución A</w:t>
            </w:r>
          </w:p>
        </w:tc>
        <w:tc>
          <w:tcPr>
            <w:tcW w:w="3227" w:type="dxa"/>
            <w:tcBorders>
              <w:right w:val="nil"/>
            </w:tcBorders>
          </w:tcPr>
          <w:p>
            <w:pPr>
              <w:pStyle w:val="TableParagraph"/>
              <w:spacing w:line="267" w:lineRule="exact"/>
              <w:ind w:left="105"/>
              <w:rPr>
                <w:b/>
                <w:sz w:val="24"/>
              </w:rPr>
            </w:pPr>
            <w:r>
              <w:rPr>
                <w:b/>
                <w:sz w:val="24"/>
              </w:rPr>
              <w:t>Solución B</w:t>
            </w:r>
          </w:p>
        </w:tc>
      </w:tr>
      <w:tr>
        <w:trPr>
          <w:trHeight w:val="389" w:hRule="exact"/>
        </w:trPr>
        <w:tc>
          <w:tcPr>
            <w:tcW w:w="2694" w:type="dxa"/>
            <w:tcBorders>
              <w:left w:val="nil"/>
              <w:bottom w:val="nil"/>
            </w:tcBorders>
          </w:tcPr>
          <w:p>
            <w:pPr>
              <w:pStyle w:val="TableParagraph"/>
              <w:spacing w:line="272" w:lineRule="exact"/>
              <w:ind w:left="124"/>
              <w:rPr>
                <w:sz w:val="24"/>
              </w:rPr>
            </w:pPr>
            <w:r>
              <w:rPr>
                <w:sz w:val="24"/>
              </w:rPr>
              <w:t>NaCl</w:t>
            </w:r>
          </w:p>
        </w:tc>
        <w:tc>
          <w:tcPr>
            <w:tcW w:w="3154" w:type="dxa"/>
            <w:tcBorders>
              <w:bottom w:val="nil"/>
            </w:tcBorders>
          </w:tcPr>
          <w:p>
            <w:pPr>
              <w:pStyle w:val="TableParagraph"/>
              <w:spacing w:line="272" w:lineRule="exact"/>
              <w:ind w:left="105"/>
              <w:rPr>
                <w:sz w:val="24"/>
              </w:rPr>
            </w:pPr>
            <w:r>
              <w:rPr>
                <w:sz w:val="24"/>
              </w:rPr>
              <w:t>1.16g</w:t>
            </w:r>
          </w:p>
        </w:tc>
        <w:tc>
          <w:tcPr>
            <w:tcW w:w="3227" w:type="dxa"/>
            <w:tcBorders>
              <w:bottom w:val="nil"/>
              <w:right w:val="nil"/>
            </w:tcBorders>
          </w:tcPr>
          <w:p>
            <w:pPr>
              <w:pStyle w:val="TableParagraph"/>
              <w:spacing w:line="272" w:lineRule="exact"/>
              <w:ind w:left="105"/>
              <w:rPr>
                <w:sz w:val="24"/>
              </w:rPr>
            </w:pPr>
            <w:r>
              <w:rPr>
                <w:sz w:val="24"/>
              </w:rPr>
              <w:t>9.5g</w:t>
            </w:r>
          </w:p>
        </w:tc>
      </w:tr>
      <w:tr>
        <w:trPr>
          <w:trHeight w:val="571" w:hRule="exact"/>
        </w:trPr>
        <w:tc>
          <w:tcPr>
            <w:tcW w:w="2694" w:type="dxa"/>
            <w:tcBorders>
              <w:top w:val="nil"/>
              <w:left w:val="nil"/>
            </w:tcBorders>
          </w:tcPr>
          <w:p>
            <w:pPr>
              <w:pStyle w:val="TableParagraph"/>
              <w:spacing w:before="87"/>
              <w:ind w:left="124"/>
              <w:rPr>
                <w:sz w:val="24"/>
              </w:rPr>
            </w:pPr>
            <w:r>
              <w:rPr>
                <w:sz w:val="24"/>
              </w:rPr>
              <w:t>H</w:t>
            </w:r>
            <w:r>
              <w:rPr>
                <w:position w:val="-2"/>
                <w:sz w:val="16"/>
              </w:rPr>
              <w:t>2</w:t>
            </w:r>
            <w:r>
              <w:rPr>
                <w:sz w:val="24"/>
              </w:rPr>
              <w:t>O destilada</w:t>
            </w:r>
          </w:p>
        </w:tc>
        <w:tc>
          <w:tcPr>
            <w:tcW w:w="3154" w:type="dxa"/>
            <w:tcBorders>
              <w:top w:val="nil"/>
            </w:tcBorders>
          </w:tcPr>
          <w:p>
            <w:pPr>
              <w:pStyle w:val="TableParagraph"/>
              <w:spacing w:before="87"/>
              <w:ind w:left="105"/>
              <w:rPr>
                <w:sz w:val="24"/>
              </w:rPr>
            </w:pPr>
            <w:r>
              <w:rPr>
                <w:sz w:val="24"/>
              </w:rPr>
              <w:t>1000ml</w:t>
            </w:r>
          </w:p>
        </w:tc>
        <w:tc>
          <w:tcPr>
            <w:tcW w:w="3227" w:type="dxa"/>
            <w:tcBorders>
              <w:top w:val="nil"/>
              <w:right w:val="nil"/>
            </w:tcBorders>
          </w:tcPr>
          <w:p>
            <w:pPr>
              <w:pStyle w:val="TableParagraph"/>
              <w:spacing w:before="87"/>
              <w:ind w:left="105"/>
              <w:rPr>
                <w:sz w:val="24"/>
              </w:rPr>
            </w:pPr>
            <w:r>
              <w:rPr>
                <w:sz w:val="24"/>
              </w:rPr>
              <w:t>1000ml</w:t>
            </w:r>
          </w:p>
        </w:tc>
      </w:tr>
    </w:tbl>
    <w:p>
      <w:pPr>
        <w:pStyle w:val="BodyText"/>
        <w:rPr>
          <w:b/>
          <w:sz w:val="20"/>
        </w:rPr>
      </w:pPr>
    </w:p>
    <w:p>
      <w:pPr>
        <w:pStyle w:val="BodyText"/>
        <w:spacing w:before="6"/>
        <w:rPr>
          <w:b/>
          <w:sz w:val="20"/>
        </w:rPr>
      </w:pPr>
    </w:p>
    <w:p>
      <w:pPr>
        <w:spacing w:before="0"/>
        <w:ind w:left="239" w:right="0" w:firstLine="0"/>
        <w:jc w:val="left"/>
        <w:rPr>
          <w:b/>
          <w:sz w:val="24"/>
        </w:rPr>
      </w:pPr>
      <w:r>
        <w:rPr/>
        <w:pict>
          <v:rect style="position:absolute;margin-left:79.349998pt;margin-top:-22.114155pt;width:301.1pt;height:24.9pt;mso-position-horizontal-relative:page;mso-position-vertical-relative:paragraph;z-index:-92056" filled="true" fillcolor="#ffffff" stroked="false">
            <v:fill type="solid"/>
            <w10:wrap type="none"/>
          </v:rect>
        </w:pict>
      </w:r>
      <w:r>
        <w:rPr>
          <w:b/>
          <w:sz w:val="24"/>
        </w:rPr>
        <w:t>Preparación de PBS</w:t>
      </w:r>
    </w:p>
    <w:p>
      <w:pPr>
        <w:pStyle w:val="BodyText"/>
        <w:spacing w:before="1"/>
        <w:rPr>
          <w:b/>
          <w:sz w:val="18"/>
        </w:r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30"/>
        <w:gridCol w:w="4346"/>
      </w:tblGrid>
      <w:tr>
        <w:trPr>
          <w:trHeight w:val="490" w:hRule="exact"/>
        </w:trPr>
        <w:tc>
          <w:tcPr>
            <w:tcW w:w="4730" w:type="dxa"/>
            <w:tcBorders>
              <w:left w:val="nil"/>
            </w:tcBorders>
          </w:tcPr>
          <w:p>
            <w:pPr>
              <w:pStyle w:val="TableParagraph"/>
              <w:spacing w:line="267" w:lineRule="exact"/>
              <w:ind w:left="124"/>
              <w:rPr>
                <w:b/>
                <w:sz w:val="24"/>
              </w:rPr>
            </w:pPr>
            <w:r>
              <w:rPr>
                <w:b/>
                <w:sz w:val="24"/>
              </w:rPr>
              <w:t>PBS</w:t>
            </w:r>
          </w:p>
        </w:tc>
        <w:tc>
          <w:tcPr>
            <w:tcW w:w="4346" w:type="dxa"/>
            <w:tcBorders>
              <w:right w:val="nil"/>
            </w:tcBorders>
          </w:tcPr>
          <w:p>
            <w:pPr/>
          </w:p>
        </w:tc>
      </w:tr>
      <w:tr>
        <w:trPr>
          <w:trHeight w:val="389" w:hRule="exact"/>
        </w:trPr>
        <w:tc>
          <w:tcPr>
            <w:tcW w:w="4730" w:type="dxa"/>
            <w:tcBorders>
              <w:left w:val="nil"/>
              <w:bottom w:val="nil"/>
            </w:tcBorders>
          </w:tcPr>
          <w:p>
            <w:pPr>
              <w:pStyle w:val="TableParagraph"/>
              <w:spacing w:line="272" w:lineRule="exact"/>
              <w:ind w:left="124"/>
              <w:rPr>
                <w:sz w:val="24"/>
              </w:rPr>
            </w:pPr>
            <w:r>
              <w:rPr>
                <w:sz w:val="24"/>
              </w:rPr>
              <w:t>NaCl</w:t>
            </w:r>
          </w:p>
        </w:tc>
        <w:tc>
          <w:tcPr>
            <w:tcW w:w="4346" w:type="dxa"/>
            <w:tcBorders>
              <w:bottom w:val="nil"/>
              <w:right w:val="nil"/>
            </w:tcBorders>
          </w:tcPr>
          <w:p>
            <w:pPr>
              <w:pStyle w:val="TableParagraph"/>
              <w:spacing w:line="272" w:lineRule="exact"/>
              <w:ind w:left="105"/>
              <w:rPr>
                <w:sz w:val="24"/>
              </w:rPr>
            </w:pPr>
            <w:r>
              <w:rPr>
                <w:sz w:val="24"/>
              </w:rPr>
              <w:t>8g</w:t>
            </w:r>
          </w:p>
        </w:tc>
      </w:tr>
      <w:tr>
        <w:trPr>
          <w:trHeight w:val="475" w:hRule="exact"/>
        </w:trPr>
        <w:tc>
          <w:tcPr>
            <w:tcW w:w="4730" w:type="dxa"/>
            <w:tcBorders>
              <w:top w:val="nil"/>
              <w:left w:val="nil"/>
              <w:bottom w:val="nil"/>
            </w:tcBorders>
          </w:tcPr>
          <w:p>
            <w:pPr>
              <w:pStyle w:val="TableParagraph"/>
              <w:spacing w:before="87"/>
              <w:ind w:left="124"/>
              <w:rPr>
                <w:sz w:val="24"/>
              </w:rPr>
            </w:pPr>
            <w:r>
              <w:rPr>
                <w:sz w:val="24"/>
              </w:rPr>
              <w:t>KCl</w:t>
            </w:r>
          </w:p>
        </w:tc>
        <w:tc>
          <w:tcPr>
            <w:tcW w:w="4346" w:type="dxa"/>
            <w:tcBorders>
              <w:top w:val="nil"/>
              <w:bottom w:val="nil"/>
              <w:right w:val="nil"/>
            </w:tcBorders>
          </w:tcPr>
          <w:p>
            <w:pPr>
              <w:pStyle w:val="TableParagraph"/>
              <w:spacing w:before="87"/>
              <w:ind w:left="105"/>
              <w:rPr>
                <w:sz w:val="24"/>
              </w:rPr>
            </w:pPr>
            <w:r>
              <w:rPr>
                <w:sz w:val="24"/>
              </w:rPr>
              <w:t>0.2g</w:t>
            </w:r>
          </w:p>
        </w:tc>
      </w:tr>
      <w:tr>
        <w:trPr>
          <w:trHeight w:val="482" w:hRule="exact"/>
        </w:trPr>
        <w:tc>
          <w:tcPr>
            <w:tcW w:w="4730" w:type="dxa"/>
            <w:tcBorders>
              <w:top w:val="nil"/>
              <w:left w:val="nil"/>
              <w:bottom w:val="nil"/>
            </w:tcBorders>
          </w:tcPr>
          <w:p>
            <w:pPr>
              <w:pStyle w:val="TableParagraph"/>
              <w:spacing w:before="87"/>
              <w:ind w:left="124"/>
              <w:rPr>
                <w:sz w:val="16"/>
              </w:rPr>
            </w:pPr>
            <w:r>
              <w:rPr>
                <w:sz w:val="24"/>
              </w:rPr>
              <w:t>NaH</w:t>
            </w:r>
            <w:r>
              <w:rPr>
                <w:position w:val="-2"/>
                <w:sz w:val="16"/>
              </w:rPr>
              <w:t>2</w:t>
            </w:r>
            <w:r>
              <w:rPr>
                <w:sz w:val="24"/>
              </w:rPr>
              <w:t>PO</w:t>
            </w:r>
            <w:r>
              <w:rPr>
                <w:position w:val="-2"/>
                <w:sz w:val="16"/>
              </w:rPr>
              <w:t>4</w:t>
            </w:r>
          </w:p>
        </w:tc>
        <w:tc>
          <w:tcPr>
            <w:tcW w:w="4346" w:type="dxa"/>
            <w:tcBorders>
              <w:top w:val="nil"/>
              <w:bottom w:val="nil"/>
              <w:right w:val="nil"/>
            </w:tcBorders>
          </w:tcPr>
          <w:p>
            <w:pPr>
              <w:pStyle w:val="TableParagraph"/>
              <w:spacing w:before="87"/>
              <w:ind w:left="105"/>
              <w:rPr>
                <w:sz w:val="24"/>
              </w:rPr>
            </w:pPr>
            <w:r>
              <w:rPr>
                <w:sz w:val="24"/>
              </w:rPr>
              <w:t>1.44g</w:t>
            </w:r>
          </w:p>
        </w:tc>
      </w:tr>
      <w:tr>
        <w:trPr>
          <w:trHeight w:val="475" w:hRule="exact"/>
        </w:trPr>
        <w:tc>
          <w:tcPr>
            <w:tcW w:w="4730" w:type="dxa"/>
            <w:tcBorders>
              <w:top w:val="nil"/>
              <w:left w:val="nil"/>
              <w:bottom w:val="nil"/>
            </w:tcBorders>
          </w:tcPr>
          <w:p>
            <w:pPr>
              <w:pStyle w:val="TableParagraph"/>
              <w:spacing w:before="80"/>
              <w:ind w:left="124"/>
              <w:rPr>
                <w:sz w:val="16"/>
              </w:rPr>
            </w:pPr>
            <w:r>
              <w:rPr>
                <w:sz w:val="24"/>
              </w:rPr>
              <w:t>KH</w:t>
            </w:r>
            <w:r>
              <w:rPr>
                <w:position w:val="-2"/>
                <w:sz w:val="16"/>
              </w:rPr>
              <w:t>2</w:t>
            </w:r>
            <w:r>
              <w:rPr>
                <w:sz w:val="24"/>
              </w:rPr>
              <w:t>PO</w:t>
            </w:r>
            <w:r>
              <w:rPr>
                <w:position w:val="-2"/>
                <w:sz w:val="16"/>
              </w:rPr>
              <w:t>4</w:t>
            </w:r>
          </w:p>
        </w:tc>
        <w:tc>
          <w:tcPr>
            <w:tcW w:w="4346" w:type="dxa"/>
            <w:tcBorders>
              <w:top w:val="nil"/>
              <w:bottom w:val="nil"/>
              <w:right w:val="nil"/>
            </w:tcBorders>
          </w:tcPr>
          <w:p>
            <w:pPr>
              <w:pStyle w:val="TableParagraph"/>
              <w:spacing w:before="80"/>
              <w:ind w:left="105"/>
              <w:rPr>
                <w:sz w:val="24"/>
              </w:rPr>
            </w:pPr>
            <w:r>
              <w:rPr>
                <w:sz w:val="24"/>
              </w:rPr>
              <w:t>0.24g</w:t>
            </w:r>
          </w:p>
        </w:tc>
      </w:tr>
      <w:tr>
        <w:trPr>
          <w:trHeight w:val="570" w:hRule="exact"/>
        </w:trPr>
        <w:tc>
          <w:tcPr>
            <w:tcW w:w="4730" w:type="dxa"/>
            <w:tcBorders>
              <w:top w:val="nil"/>
              <w:left w:val="nil"/>
              <w:bottom w:val="single" w:sz="4" w:space="0" w:color="000000"/>
            </w:tcBorders>
          </w:tcPr>
          <w:p>
            <w:pPr>
              <w:pStyle w:val="TableParagraph"/>
              <w:spacing w:before="80"/>
              <w:ind w:left="124"/>
              <w:rPr>
                <w:sz w:val="24"/>
              </w:rPr>
            </w:pPr>
            <w:r>
              <w:rPr>
                <w:sz w:val="24"/>
              </w:rPr>
              <w:t>H</w:t>
            </w:r>
            <w:r>
              <w:rPr>
                <w:position w:val="-2"/>
                <w:sz w:val="16"/>
              </w:rPr>
              <w:t>2</w:t>
            </w:r>
            <w:r>
              <w:rPr>
                <w:sz w:val="24"/>
              </w:rPr>
              <w:t>O</w:t>
            </w:r>
          </w:p>
        </w:tc>
        <w:tc>
          <w:tcPr>
            <w:tcW w:w="4346" w:type="dxa"/>
            <w:tcBorders>
              <w:top w:val="nil"/>
              <w:bottom w:val="single" w:sz="4" w:space="0" w:color="000000"/>
              <w:right w:val="nil"/>
            </w:tcBorders>
          </w:tcPr>
          <w:p>
            <w:pPr>
              <w:pStyle w:val="TableParagraph"/>
              <w:spacing w:before="80"/>
              <w:ind w:left="105"/>
              <w:rPr>
                <w:sz w:val="24"/>
              </w:rPr>
            </w:pPr>
            <w:r>
              <w:rPr>
                <w:sz w:val="24"/>
              </w:rPr>
              <w:t>1000ml</w:t>
            </w:r>
          </w:p>
        </w:tc>
      </w:tr>
    </w:tbl>
    <w:p>
      <w:pPr>
        <w:spacing w:before="120"/>
        <w:ind w:left="230" w:right="0" w:firstLine="0"/>
        <w:jc w:val="left"/>
        <w:rPr>
          <w:rFonts w:ascii="Times New Roman"/>
          <w:sz w:val="20"/>
        </w:rPr>
      </w:pPr>
      <w:r>
        <w:rPr>
          <w:rFonts w:ascii="Times New Roman"/>
          <w:sz w:val="20"/>
        </w:rPr>
        <w:t>El pH se ajusta a 7.2</w:t>
      </w:r>
    </w:p>
    <w:p>
      <w:pPr>
        <w:spacing w:after="0"/>
        <w:jc w:val="left"/>
        <w:rPr>
          <w:rFonts w:ascii="Times New Roman"/>
          <w:sz w:val="20"/>
        </w:rPr>
        <w:sectPr>
          <w:pgSz w:w="12240" w:h="15840"/>
          <w:pgMar w:header="726" w:footer="1527" w:top="1200" w:bottom="1720" w:left="1460" w:right="1480"/>
        </w:sectPr>
      </w:pPr>
    </w:p>
    <w:p>
      <w:pPr>
        <w:pStyle w:val="BodyText"/>
        <w:spacing w:before="3"/>
        <w:rPr>
          <w:rFonts w:ascii="Times New Roman"/>
          <w:sz w:val="15"/>
        </w:rPr>
      </w:pPr>
    </w:p>
    <w:p>
      <w:pPr>
        <w:pStyle w:val="Heading3"/>
        <w:spacing w:before="69"/>
      </w:pPr>
      <w:r>
        <w:rPr/>
        <w:t>Tinción May Grünwald-Giemsa</w:t>
      </w:r>
    </w:p>
    <w:p>
      <w:pPr>
        <w:pStyle w:val="BodyText"/>
        <w:rPr>
          <w:b/>
        </w:rPr>
      </w:pPr>
    </w:p>
    <w:p>
      <w:pPr>
        <w:pStyle w:val="BodyText"/>
        <w:rPr>
          <w:b/>
        </w:rPr>
      </w:pPr>
    </w:p>
    <w:p>
      <w:pPr>
        <w:pStyle w:val="BodyText"/>
        <w:spacing w:before="4"/>
        <w:rPr>
          <w:b/>
          <w:sz w:val="22"/>
        </w:rPr>
      </w:pPr>
    </w:p>
    <w:p>
      <w:pPr>
        <w:spacing w:before="0"/>
        <w:ind w:left="159" w:right="3245" w:firstLine="0"/>
        <w:jc w:val="left"/>
        <w:rPr>
          <w:b/>
          <w:sz w:val="24"/>
        </w:rPr>
      </w:pPr>
      <w:r>
        <w:rPr>
          <w:b/>
          <w:sz w:val="24"/>
        </w:rPr>
        <w:t>Objetivo</w:t>
      </w:r>
    </w:p>
    <w:p>
      <w:pPr>
        <w:pStyle w:val="BodyText"/>
        <w:spacing w:before="3"/>
        <w:rPr>
          <w:b/>
          <w:sz w:val="30"/>
        </w:rPr>
      </w:pPr>
    </w:p>
    <w:p>
      <w:pPr>
        <w:pStyle w:val="BodyText"/>
        <w:spacing w:line="355" w:lineRule="auto"/>
        <w:ind w:left="159"/>
      </w:pPr>
      <w:r>
        <w:rPr/>
        <w:t>Observar la pureza de la concentración de PMN, evaluar los indicadores de fagocitosis y las características morfológicas de células apoptóticas.</w:t>
      </w:r>
    </w:p>
    <w:p>
      <w:pPr>
        <w:pStyle w:val="BodyText"/>
      </w:pPr>
    </w:p>
    <w:p>
      <w:pPr>
        <w:pStyle w:val="BodyText"/>
      </w:pPr>
    </w:p>
    <w:p>
      <w:pPr>
        <w:pStyle w:val="BodyText"/>
        <w:spacing w:before="3"/>
        <w:rPr>
          <w:sz w:val="23"/>
        </w:rPr>
      </w:pPr>
    </w:p>
    <w:p>
      <w:pPr>
        <w:pStyle w:val="Heading3"/>
      </w:pPr>
      <w:r>
        <w:rPr/>
        <w:t>Material</w:t>
      </w:r>
    </w:p>
    <w:p>
      <w:pPr>
        <w:pStyle w:val="BodyText"/>
        <w:spacing w:before="3"/>
        <w:rPr>
          <w:b/>
          <w:sz w:val="30"/>
        </w:rPr>
      </w:pPr>
    </w:p>
    <w:p>
      <w:pPr>
        <w:pStyle w:val="BodyText"/>
        <w:spacing w:line="360" w:lineRule="auto"/>
        <w:ind w:left="159" w:right="731"/>
      </w:pPr>
      <w:r>
        <w:rPr/>
        <w:t>PMN suspendidos en PBS, obtenidos por lisis hipotónica de eritrocitos. Solución Giemsa</w:t>
      </w:r>
    </w:p>
    <w:p>
      <w:pPr>
        <w:pStyle w:val="BodyText"/>
        <w:spacing w:line="360" w:lineRule="auto" w:before="2"/>
        <w:ind w:left="159" w:right="6446"/>
      </w:pPr>
      <w:r>
        <w:rPr/>
        <w:t>Solución May Grünwald Agua destilada Portaobjetos</w:t>
      </w:r>
    </w:p>
    <w:p>
      <w:pPr>
        <w:pStyle w:val="BodyText"/>
      </w:pPr>
    </w:p>
    <w:p>
      <w:pPr>
        <w:pStyle w:val="BodyText"/>
        <w:spacing w:before="1"/>
        <w:rPr>
          <w:sz w:val="35"/>
        </w:rPr>
      </w:pPr>
    </w:p>
    <w:p>
      <w:pPr>
        <w:pStyle w:val="Heading3"/>
      </w:pPr>
      <w:r>
        <w:rPr/>
        <w:t>Procedimiento</w:t>
      </w:r>
    </w:p>
    <w:p>
      <w:pPr>
        <w:pStyle w:val="BodyText"/>
        <w:spacing w:line="360" w:lineRule="auto" w:before="204"/>
        <w:ind w:left="159" w:right="155"/>
        <w:jc w:val="both"/>
      </w:pPr>
      <w:r>
        <w:rPr/>
        <w:t>Se realiza una extensión de la muestra en un portaobjetos y se deja secar. Se recubre la preparación con solución May Grünwald diluida al 50% en agua destilada durante 3 minutos. Se volca y lava la laminilla y posteriormente se cubre la preparación durante 15-30 minutos. Finalmente se lava la preparación con agua destilada y se deja secar para su observación en el microscopio de campo claro.</w:t>
      </w:r>
    </w:p>
    <w:p>
      <w:pPr>
        <w:spacing w:after="0" w:line="360" w:lineRule="auto"/>
        <w:jc w:val="both"/>
        <w:sectPr>
          <w:pgSz w:w="12240" w:h="15840"/>
          <w:pgMar w:header="726" w:footer="1527" w:top="1200" w:bottom="1720" w:left="1540" w:right="15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sz w:val="15"/>
        </w:rPr>
      </w:pPr>
    </w:p>
    <w:tbl>
      <w:tblPr>
        <w:tblW w:w="0" w:type="auto"/>
        <w:jc w:val="left"/>
        <w:tblInd w:w="114" w:type="dxa"/>
        <w:tblBorders>
          <w:top w:val="thickThinMediumGap" w:sz="17" w:space="0" w:color="000000"/>
          <w:left w:val="thickThinMediumGap" w:sz="17" w:space="0" w:color="000000"/>
          <w:bottom w:val="thickThinMediumGap" w:sz="17" w:space="0" w:color="000000"/>
          <w:right w:val="thickThinMediumGap" w:sz="17" w:space="0" w:color="000000"/>
          <w:insideH w:val="thickThinMediumGap" w:sz="17" w:space="0" w:color="000000"/>
          <w:insideV w:val="thickThinMediumGap" w:sz="17" w:space="0" w:color="000000"/>
        </w:tblBorders>
        <w:tblLayout w:type="fixed"/>
        <w:tblCellMar>
          <w:top w:w="0" w:type="dxa"/>
          <w:left w:w="0" w:type="dxa"/>
          <w:bottom w:w="0" w:type="dxa"/>
          <w:right w:w="0" w:type="dxa"/>
        </w:tblCellMar>
        <w:tblLook w:val="01E0"/>
      </w:tblPr>
      <w:tblGrid>
        <w:gridCol w:w="5151"/>
        <w:gridCol w:w="2070"/>
        <w:gridCol w:w="1854"/>
      </w:tblGrid>
      <w:tr>
        <w:trPr>
          <w:trHeight w:val="577" w:hRule="exact"/>
        </w:trPr>
        <w:tc>
          <w:tcPr>
            <w:tcW w:w="5151" w:type="dxa"/>
            <w:tcBorders>
              <w:left w:val="nil"/>
              <w:bottom w:val="single" w:sz="12" w:space="0" w:color="000000"/>
              <w:right w:val="nil"/>
            </w:tcBorders>
          </w:tcPr>
          <w:p>
            <w:pPr>
              <w:pStyle w:val="TableParagraph"/>
              <w:spacing w:line="262" w:lineRule="exact"/>
              <w:ind w:left="124"/>
              <w:rPr>
                <w:b/>
                <w:sz w:val="24"/>
              </w:rPr>
            </w:pPr>
            <w:r>
              <w:rPr>
                <w:b/>
                <w:sz w:val="24"/>
              </w:rPr>
              <w:t>SOLUCIONES</w:t>
            </w:r>
          </w:p>
        </w:tc>
        <w:tc>
          <w:tcPr>
            <w:tcW w:w="2070" w:type="dxa"/>
            <w:tcBorders>
              <w:left w:val="nil"/>
              <w:bottom w:val="single" w:sz="12" w:space="0" w:color="000000"/>
              <w:right w:val="nil"/>
            </w:tcBorders>
          </w:tcPr>
          <w:p>
            <w:pPr>
              <w:pStyle w:val="TableParagraph"/>
              <w:spacing w:line="262" w:lineRule="exact"/>
              <w:ind w:left="294" w:right="363"/>
              <w:jc w:val="center"/>
              <w:rPr>
                <w:b/>
                <w:sz w:val="24"/>
              </w:rPr>
            </w:pPr>
            <w:r>
              <w:rPr>
                <w:b/>
                <w:sz w:val="24"/>
              </w:rPr>
              <w:t>CATÁLOGO</w:t>
            </w:r>
          </w:p>
        </w:tc>
        <w:tc>
          <w:tcPr>
            <w:tcW w:w="1854" w:type="dxa"/>
            <w:tcBorders>
              <w:left w:val="nil"/>
              <w:bottom w:val="single" w:sz="12" w:space="0" w:color="000000"/>
              <w:right w:val="nil"/>
            </w:tcBorders>
          </w:tcPr>
          <w:p>
            <w:pPr>
              <w:pStyle w:val="TableParagraph"/>
              <w:spacing w:line="262" w:lineRule="exact"/>
              <w:ind w:left="365" w:right="220"/>
              <w:jc w:val="center"/>
              <w:rPr>
                <w:b/>
                <w:sz w:val="24"/>
              </w:rPr>
            </w:pPr>
            <w:r>
              <w:rPr>
                <w:b/>
                <w:sz w:val="24"/>
              </w:rPr>
              <w:t>LOTE</w:t>
            </w:r>
          </w:p>
        </w:tc>
      </w:tr>
      <w:tr>
        <w:trPr>
          <w:trHeight w:val="375" w:hRule="exact"/>
        </w:trPr>
        <w:tc>
          <w:tcPr>
            <w:tcW w:w="5151" w:type="dxa"/>
            <w:tcBorders>
              <w:top w:val="single" w:sz="12" w:space="0" w:color="000000"/>
              <w:left w:val="nil"/>
              <w:bottom w:val="nil"/>
              <w:right w:val="nil"/>
            </w:tcBorders>
          </w:tcPr>
          <w:p>
            <w:pPr>
              <w:pStyle w:val="TableParagraph"/>
              <w:spacing w:line="248" w:lineRule="exact"/>
              <w:ind w:left="124"/>
              <w:rPr>
                <w:sz w:val="22"/>
              </w:rPr>
            </w:pPr>
            <w:r>
              <w:rPr>
                <w:sz w:val="22"/>
              </w:rPr>
              <w:t>Aceite de inmersión (Hycel, México)</w:t>
            </w:r>
          </w:p>
        </w:tc>
        <w:tc>
          <w:tcPr>
            <w:tcW w:w="2070" w:type="dxa"/>
            <w:tcBorders>
              <w:top w:val="single" w:sz="12" w:space="0" w:color="000000"/>
              <w:left w:val="nil"/>
              <w:bottom w:val="nil"/>
              <w:right w:val="nil"/>
            </w:tcBorders>
          </w:tcPr>
          <w:p>
            <w:pPr>
              <w:pStyle w:val="TableParagraph"/>
              <w:spacing w:line="248" w:lineRule="exact"/>
              <w:ind w:left="294" w:right="355"/>
              <w:jc w:val="center"/>
              <w:rPr>
                <w:sz w:val="22"/>
              </w:rPr>
            </w:pPr>
            <w:r>
              <w:rPr>
                <w:sz w:val="22"/>
              </w:rPr>
              <w:t>64287</w:t>
            </w:r>
          </w:p>
        </w:tc>
        <w:tc>
          <w:tcPr>
            <w:tcW w:w="1854" w:type="dxa"/>
            <w:tcBorders>
              <w:top w:val="single" w:sz="12" w:space="0" w:color="000000"/>
              <w:left w:val="nil"/>
              <w:bottom w:val="nil"/>
              <w:right w:val="nil"/>
            </w:tcBorders>
          </w:tcPr>
          <w:p>
            <w:pPr>
              <w:pStyle w:val="TableParagraph"/>
              <w:spacing w:line="248" w:lineRule="exact"/>
              <w:ind w:left="365" w:right="224"/>
              <w:jc w:val="center"/>
              <w:rPr>
                <w:sz w:val="22"/>
              </w:rPr>
            </w:pPr>
            <w:r>
              <w:rPr>
                <w:sz w:val="22"/>
              </w:rPr>
              <w:t>19436</w:t>
            </w:r>
          </w:p>
        </w:tc>
      </w:tr>
      <w:tr>
        <w:trPr>
          <w:trHeight w:val="454" w:hRule="exact"/>
        </w:trPr>
        <w:tc>
          <w:tcPr>
            <w:tcW w:w="5151" w:type="dxa"/>
            <w:tcBorders>
              <w:top w:val="nil"/>
              <w:left w:val="nil"/>
              <w:bottom w:val="nil"/>
              <w:right w:val="nil"/>
            </w:tcBorders>
          </w:tcPr>
          <w:p>
            <w:pPr>
              <w:pStyle w:val="TableParagraph"/>
              <w:spacing w:before="90"/>
              <w:ind w:left="124"/>
              <w:rPr>
                <w:sz w:val="22"/>
              </w:rPr>
            </w:pPr>
            <w:r>
              <w:rPr>
                <w:sz w:val="22"/>
              </w:rPr>
              <w:t>Glicerol (J.T. Baker, México)</w:t>
            </w:r>
          </w:p>
        </w:tc>
        <w:tc>
          <w:tcPr>
            <w:tcW w:w="2070" w:type="dxa"/>
            <w:tcBorders>
              <w:top w:val="nil"/>
              <w:left w:val="nil"/>
              <w:bottom w:val="nil"/>
              <w:right w:val="nil"/>
            </w:tcBorders>
          </w:tcPr>
          <w:p>
            <w:pPr>
              <w:pStyle w:val="TableParagraph"/>
              <w:spacing w:before="90"/>
              <w:ind w:left="294" w:right="361"/>
              <w:jc w:val="center"/>
              <w:rPr>
                <w:sz w:val="22"/>
              </w:rPr>
            </w:pPr>
            <w:r>
              <w:rPr>
                <w:sz w:val="22"/>
              </w:rPr>
              <w:t>2136-02</w:t>
            </w:r>
          </w:p>
        </w:tc>
        <w:tc>
          <w:tcPr>
            <w:tcW w:w="1854" w:type="dxa"/>
            <w:tcBorders>
              <w:top w:val="nil"/>
              <w:left w:val="nil"/>
              <w:bottom w:val="nil"/>
              <w:right w:val="nil"/>
            </w:tcBorders>
          </w:tcPr>
          <w:p>
            <w:pPr>
              <w:pStyle w:val="TableParagraph"/>
              <w:spacing w:before="90"/>
              <w:ind w:left="361" w:right="225"/>
              <w:jc w:val="center"/>
              <w:rPr>
                <w:sz w:val="22"/>
              </w:rPr>
            </w:pPr>
            <w:r>
              <w:rPr>
                <w:sz w:val="22"/>
              </w:rPr>
              <w:t>E37C52</w:t>
            </w:r>
          </w:p>
        </w:tc>
      </w:tr>
      <w:tr>
        <w:trPr>
          <w:trHeight w:val="454" w:hRule="exact"/>
        </w:trPr>
        <w:tc>
          <w:tcPr>
            <w:tcW w:w="5151" w:type="dxa"/>
            <w:tcBorders>
              <w:top w:val="nil"/>
              <w:left w:val="nil"/>
              <w:bottom w:val="nil"/>
              <w:right w:val="nil"/>
            </w:tcBorders>
          </w:tcPr>
          <w:p>
            <w:pPr>
              <w:pStyle w:val="TableParagraph"/>
              <w:spacing w:before="87"/>
              <w:ind w:left="124"/>
              <w:rPr>
                <w:sz w:val="22"/>
              </w:rPr>
            </w:pPr>
            <w:r>
              <w:rPr>
                <w:sz w:val="22"/>
              </w:rPr>
              <w:t>Lysostaphin (SIGMA, USA)</w:t>
            </w:r>
          </w:p>
        </w:tc>
        <w:tc>
          <w:tcPr>
            <w:tcW w:w="2070" w:type="dxa"/>
            <w:tcBorders>
              <w:top w:val="nil"/>
              <w:left w:val="nil"/>
              <w:bottom w:val="nil"/>
              <w:right w:val="nil"/>
            </w:tcBorders>
          </w:tcPr>
          <w:p>
            <w:pPr>
              <w:pStyle w:val="TableParagraph"/>
              <w:spacing w:before="87"/>
              <w:ind w:left="294" w:right="355"/>
              <w:jc w:val="center"/>
              <w:rPr>
                <w:sz w:val="22"/>
              </w:rPr>
            </w:pPr>
            <w:r>
              <w:rPr>
                <w:sz w:val="22"/>
              </w:rPr>
              <w:t>L-7386</w:t>
            </w:r>
          </w:p>
        </w:tc>
        <w:tc>
          <w:tcPr>
            <w:tcW w:w="1854" w:type="dxa"/>
            <w:tcBorders>
              <w:top w:val="nil"/>
              <w:left w:val="nil"/>
              <w:bottom w:val="nil"/>
              <w:right w:val="nil"/>
            </w:tcBorders>
          </w:tcPr>
          <w:p>
            <w:pPr>
              <w:pStyle w:val="TableParagraph"/>
              <w:spacing w:before="87"/>
              <w:ind w:left="361" w:right="225"/>
              <w:jc w:val="center"/>
              <w:rPr>
                <w:sz w:val="22"/>
              </w:rPr>
            </w:pPr>
            <w:r>
              <w:rPr>
                <w:sz w:val="22"/>
              </w:rPr>
              <w:t>87H4063</w:t>
            </w:r>
          </w:p>
        </w:tc>
      </w:tr>
      <w:tr>
        <w:trPr>
          <w:trHeight w:val="454" w:hRule="exact"/>
        </w:trPr>
        <w:tc>
          <w:tcPr>
            <w:tcW w:w="5151" w:type="dxa"/>
            <w:tcBorders>
              <w:top w:val="nil"/>
              <w:left w:val="nil"/>
              <w:bottom w:val="nil"/>
              <w:right w:val="nil"/>
            </w:tcBorders>
          </w:tcPr>
          <w:p>
            <w:pPr>
              <w:pStyle w:val="TableParagraph"/>
              <w:spacing w:before="90"/>
              <w:ind w:left="124"/>
              <w:rPr>
                <w:sz w:val="22"/>
              </w:rPr>
            </w:pPr>
            <w:r>
              <w:rPr>
                <w:sz w:val="22"/>
              </w:rPr>
              <w:t>Solución salina (J. T: Baker, USA)</w:t>
            </w:r>
          </w:p>
        </w:tc>
        <w:tc>
          <w:tcPr>
            <w:tcW w:w="2070" w:type="dxa"/>
            <w:tcBorders>
              <w:top w:val="nil"/>
              <w:left w:val="nil"/>
              <w:bottom w:val="nil"/>
              <w:right w:val="nil"/>
            </w:tcBorders>
          </w:tcPr>
          <w:p>
            <w:pPr>
              <w:pStyle w:val="TableParagraph"/>
              <w:spacing w:before="90"/>
              <w:ind w:left="294" w:right="361"/>
              <w:jc w:val="center"/>
              <w:rPr>
                <w:sz w:val="22"/>
              </w:rPr>
            </w:pPr>
            <w:r>
              <w:rPr>
                <w:sz w:val="22"/>
              </w:rPr>
              <w:t>3624-01</w:t>
            </w:r>
          </w:p>
        </w:tc>
        <w:tc>
          <w:tcPr>
            <w:tcW w:w="1854" w:type="dxa"/>
            <w:tcBorders>
              <w:top w:val="nil"/>
              <w:left w:val="nil"/>
              <w:bottom w:val="nil"/>
              <w:right w:val="nil"/>
            </w:tcBorders>
          </w:tcPr>
          <w:p>
            <w:pPr/>
          </w:p>
        </w:tc>
      </w:tr>
      <w:tr>
        <w:trPr>
          <w:trHeight w:val="706" w:hRule="exact"/>
        </w:trPr>
        <w:tc>
          <w:tcPr>
            <w:tcW w:w="5151" w:type="dxa"/>
            <w:tcBorders>
              <w:top w:val="nil"/>
              <w:left w:val="nil"/>
              <w:bottom w:val="nil"/>
              <w:right w:val="nil"/>
            </w:tcBorders>
          </w:tcPr>
          <w:p>
            <w:pPr>
              <w:pStyle w:val="TableParagraph"/>
              <w:spacing w:before="87"/>
              <w:ind w:left="124"/>
              <w:rPr>
                <w:sz w:val="22"/>
              </w:rPr>
            </w:pPr>
            <w:r>
              <w:rPr>
                <w:sz w:val="22"/>
              </w:rPr>
              <w:t>Kit para citometría de flujo: Annexin V-FITC (SIGMA, Sailt Louis, Missouri, USA)</w:t>
            </w:r>
          </w:p>
        </w:tc>
        <w:tc>
          <w:tcPr>
            <w:tcW w:w="2070" w:type="dxa"/>
            <w:tcBorders>
              <w:top w:val="nil"/>
              <w:left w:val="nil"/>
              <w:bottom w:val="nil"/>
              <w:right w:val="nil"/>
            </w:tcBorders>
          </w:tcPr>
          <w:p>
            <w:pPr>
              <w:pStyle w:val="TableParagraph"/>
              <w:spacing w:before="87"/>
              <w:ind w:left="294" w:right="352"/>
              <w:jc w:val="center"/>
              <w:rPr>
                <w:sz w:val="22"/>
              </w:rPr>
            </w:pPr>
            <w:r>
              <w:rPr>
                <w:sz w:val="22"/>
              </w:rPr>
              <w:t>APOAF</w:t>
            </w:r>
          </w:p>
        </w:tc>
        <w:tc>
          <w:tcPr>
            <w:tcW w:w="1854" w:type="dxa"/>
            <w:tcBorders>
              <w:top w:val="nil"/>
              <w:left w:val="nil"/>
              <w:bottom w:val="nil"/>
              <w:right w:val="nil"/>
            </w:tcBorders>
          </w:tcPr>
          <w:p>
            <w:pPr>
              <w:pStyle w:val="TableParagraph"/>
              <w:spacing w:before="87"/>
              <w:ind w:left="365" w:right="224"/>
              <w:jc w:val="center"/>
              <w:rPr>
                <w:sz w:val="22"/>
              </w:rPr>
            </w:pPr>
            <w:r>
              <w:rPr>
                <w:sz w:val="22"/>
              </w:rPr>
              <w:t>041M4087</w:t>
            </w:r>
          </w:p>
        </w:tc>
      </w:tr>
      <w:tr>
        <w:trPr>
          <w:trHeight w:val="451" w:hRule="exact"/>
        </w:trPr>
        <w:tc>
          <w:tcPr>
            <w:tcW w:w="5151" w:type="dxa"/>
            <w:tcBorders>
              <w:top w:val="nil"/>
              <w:left w:val="nil"/>
              <w:bottom w:val="nil"/>
              <w:right w:val="nil"/>
            </w:tcBorders>
          </w:tcPr>
          <w:p>
            <w:pPr>
              <w:pStyle w:val="TableParagraph"/>
              <w:spacing w:before="87"/>
              <w:ind w:left="124"/>
              <w:rPr>
                <w:sz w:val="22"/>
              </w:rPr>
            </w:pPr>
            <w:r>
              <w:rPr>
                <w:sz w:val="22"/>
              </w:rPr>
              <w:t>Colorante de Giemsa (SIGMA, México)</w:t>
            </w:r>
          </w:p>
        </w:tc>
        <w:tc>
          <w:tcPr>
            <w:tcW w:w="2070" w:type="dxa"/>
            <w:tcBorders>
              <w:top w:val="nil"/>
              <w:left w:val="nil"/>
              <w:bottom w:val="nil"/>
              <w:right w:val="nil"/>
            </w:tcBorders>
          </w:tcPr>
          <w:p>
            <w:pPr>
              <w:pStyle w:val="TableParagraph"/>
              <w:spacing w:before="87"/>
              <w:ind w:left="294" w:right="362"/>
              <w:jc w:val="center"/>
              <w:rPr>
                <w:sz w:val="22"/>
              </w:rPr>
            </w:pPr>
            <w:r>
              <w:rPr>
                <w:sz w:val="22"/>
              </w:rPr>
              <w:t>328</w:t>
            </w:r>
          </w:p>
        </w:tc>
        <w:tc>
          <w:tcPr>
            <w:tcW w:w="1854" w:type="dxa"/>
            <w:tcBorders>
              <w:top w:val="nil"/>
              <w:left w:val="nil"/>
              <w:bottom w:val="nil"/>
              <w:right w:val="nil"/>
            </w:tcBorders>
          </w:tcPr>
          <w:p>
            <w:pPr>
              <w:pStyle w:val="TableParagraph"/>
              <w:spacing w:before="87"/>
              <w:ind w:left="365" w:right="224"/>
              <w:jc w:val="center"/>
              <w:rPr>
                <w:sz w:val="22"/>
              </w:rPr>
            </w:pPr>
            <w:r>
              <w:rPr>
                <w:sz w:val="22"/>
              </w:rPr>
              <w:t>36190</w:t>
            </w:r>
          </w:p>
        </w:tc>
      </w:tr>
      <w:tr>
        <w:trPr>
          <w:trHeight w:val="454" w:hRule="exact"/>
        </w:trPr>
        <w:tc>
          <w:tcPr>
            <w:tcW w:w="5151" w:type="dxa"/>
            <w:tcBorders>
              <w:top w:val="nil"/>
              <w:left w:val="nil"/>
              <w:bottom w:val="nil"/>
              <w:right w:val="nil"/>
            </w:tcBorders>
          </w:tcPr>
          <w:p>
            <w:pPr>
              <w:pStyle w:val="TableParagraph"/>
              <w:spacing w:before="88"/>
              <w:ind w:left="124"/>
              <w:rPr>
                <w:sz w:val="22"/>
              </w:rPr>
            </w:pPr>
            <w:r>
              <w:rPr>
                <w:sz w:val="22"/>
              </w:rPr>
              <w:t>Colorante de Azul de tripán (SIGMA, México)</w:t>
            </w:r>
          </w:p>
        </w:tc>
        <w:tc>
          <w:tcPr>
            <w:tcW w:w="2070" w:type="dxa"/>
            <w:tcBorders>
              <w:top w:val="nil"/>
              <w:left w:val="nil"/>
              <w:bottom w:val="nil"/>
              <w:right w:val="nil"/>
            </w:tcBorders>
          </w:tcPr>
          <w:p>
            <w:pPr>
              <w:pStyle w:val="TableParagraph"/>
              <w:spacing w:before="88"/>
              <w:ind w:left="294" w:right="359"/>
              <w:jc w:val="center"/>
              <w:rPr>
                <w:sz w:val="22"/>
              </w:rPr>
            </w:pPr>
            <w:r>
              <w:rPr>
                <w:sz w:val="22"/>
              </w:rPr>
              <w:t>468</w:t>
            </w:r>
          </w:p>
        </w:tc>
        <w:tc>
          <w:tcPr>
            <w:tcW w:w="1854" w:type="dxa"/>
            <w:tcBorders>
              <w:top w:val="nil"/>
              <w:left w:val="nil"/>
              <w:bottom w:val="nil"/>
              <w:right w:val="nil"/>
            </w:tcBorders>
          </w:tcPr>
          <w:p>
            <w:pPr>
              <w:pStyle w:val="TableParagraph"/>
              <w:spacing w:before="88"/>
              <w:ind w:left="365" w:right="224"/>
              <w:jc w:val="center"/>
              <w:rPr>
                <w:sz w:val="22"/>
              </w:rPr>
            </w:pPr>
            <w:r>
              <w:rPr>
                <w:sz w:val="22"/>
              </w:rPr>
              <w:t>0983a</w:t>
            </w:r>
          </w:p>
        </w:tc>
      </w:tr>
      <w:tr>
        <w:trPr>
          <w:trHeight w:val="454" w:hRule="exact"/>
        </w:trPr>
        <w:tc>
          <w:tcPr>
            <w:tcW w:w="5151" w:type="dxa"/>
            <w:tcBorders>
              <w:top w:val="nil"/>
              <w:left w:val="nil"/>
              <w:bottom w:val="nil"/>
              <w:right w:val="nil"/>
            </w:tcBorders>
          </w:tcPr>
          <w:p>
            <w:pPr>
              <w:pStyle w:val="TableParagraph"/>
              <w:spacing w:before="90"/>
              <w:ind w:left="124"/>
              <w:rPr>
                <w:sz w:val="22"/>
              </w:rPr>
            </w:pPr>
            <w:r>
              <w:rPr>
                <w:sz w:val="22"/>
              </w:rPr>
              <w:t>Azul de metileno (Sigma, México)</w:t>
            </w:r>
          </w:p>
        </w:tc>
        <w:tc>
          <w:tcPr>
            <w:tcW w:w="2070" w:type="dxa"/>
            <w:tcBorders>
              <w:top w:val="nil"/>
              <w:left w:val="nil"/>
              <w:bottom w:val="nil"/>
              <w:right w:val="nil"/>
            </w:tcBorders>
          </w:tcPr>
          <w:p>
            <w:pPr>
              <w:pStyle w:val="TableParagraph"/>
              <w:spacing w:before="90"/>
              <w:ind w:left="294" w:right="359"/>
              <w:jc w:val="center"/>
              <w:rPr>
                <w:sz w:val="22"/>
              </w:rPr>
            </w:pPr>
            <w:r>
              <w:rPr>
                <w:sz w:val="22"/>
              </w:rPr>
              <w:t>407</w:t>
            </w:r>
          </w:p>
        </w:tc>
        <w:tc>
          <w:tcPr>
            <w:tcW w:w="1854" w:type="dxa"/>
            <w:tcBorders>
              <w:top w:val="nil"/>
              <w:left w:val="nil"/>
              <w:bottom w:val="nil"/>
              <w:right w:val="nil"/>
            </w:tcBorders>
          </w:tcPr>
          <w:p>
            <w:pPr>
              <w:pStyle w:val="TableParagraph"/>
              <w:spacing w:before="90"/>
              <w:ind w:left="365" w:right="222"/>
              <w:jc w:val="center"/>
              <w:rPr>
                <w:sz w:val="22"/>
              </w:rPr>
            </w:pPr>
            <w:r>
              <w:rPr>
                <w:sz w:val="22"/>
              </w:rPr>
              <w:t>783z</w:t>
            </w:r>
          </w:p>
        </w:tc>
      </w:tr>
      <w:tr>
        <w:trPr>
          <w:trHeight w:val="454" w:hRule="exact"/>
        </w:trPr>
        <w:tc>
          <w:tcPr>
            <w:tcW w:w="5151" w:type="dxa"/>
            <w:tcBorders>
              <w:top w:val="nil"/>
              <w:left w:val="nil"/>
              <w:bottom w:val="nil"/>
              <w:right w:val="nil"/>
            </w:tcBorders>
          </w:tcPr>
          <w:p>
            <w:pPr>
              <w:pStyle w:val="TableParagraph"/>
              <w:spacing w:before="87"/>
              <w:ind w:left="124"/>
              <w:rPr>
                <w:sz w:val="22"/>
              </w:rPr>
            </w:pPr>
            <w:r>
              <w:rPr>
                <w:sz w:val="22"/>
              </w:rPr>
              <w:t>Colorante de May Greenwald (SIGMA, México).</w:t>
            </w:r>
          </w:p>
        </w:tc>
        <w:tc>
          <w:tcPr>
            <w:tcW w:w="2070" w:type="dxa"/>
            <w:tcBorders>
              <w:top w:val="nil"/>
              <w:left w:val="nil"/>
              <w:bottom w:val="nil"/>
              <w:right w:val="nil"/>
            </w:tcBorders>
          </w:tcPr>
          <w:p>
            <w:pPr>
              <w:pStyle w:val="TableParagraph"/>
              <w:spacing w:before="87"/>
              <w:ind w:left="294" w:right="359"/>
              <w:jc w:val="center"/>
              <w:rPr>
                <w:sz w:val="22"/>
              </w:rPr>
            </w:pPr>
            <w:r>
              <w:rPr>
                <w:sz w:val="22"/>
              </w:rPr>
              <w:t>362</w:t>
            </w:r>
          </w:p>
        </w:tc>
        <w:tc>
          <w:tcPr>
            <w:tcW w:w="1854" w:type="dxa"/>
            <w:tcBorders>
              <w:top w:val="nil"/>
              <w:left w:val="nil"/>
              <w:bottom w:val="nil"/>
              <w:right w:val="nil"/>
            </w:tcBorders>
          </w:tcPr>
          <w:p>
            <w:pPr>
              <w:pStyle w:val="TableParagraph"/>
              <w:spacing w:before="87"/>
              <w:ind w:left="365" w:right="221"/>
              <w:jc w:val="center"/>
              <w:rPr>
                <w:sz w:val="22"/>
              </w:rPr>
            </w:pPr>
            <w:r>
              <w:rPr>
                <w:sz w:val="22"/>
              </w:rPr>
              <w:t>1289H</w:t>
            </w:r>
          </w:p>
        </w:tc>
      </w:tr>
      <w:tr>
        <w:trPr>
          <w:trHeight w:val="454" w:hRule="exact"/>
        </w:trPr>
        <w:tc>
          <w:tcPr>
            <w:tcW w:w="5151" w:type="dxa"/>
            <w:tcBorders>
              <w:top w:val="nil"/>
              <w:left w:val="nil"/>
              <w:bottom w:val="nil"/>
              <w:right w:val="nil"/>
            </w:tcBorders>
          </w:tcPr>
          <w:p>
            <w:pPr>
              <w:pStyle w:val="TableParagraph"/>
              <w:spacing w:before="90"/>
              <w:ind w:left="124"/>
              <w:rPr>
                <w:sz w:val="22"/>
              </w:rPr>
            </w:pPr>
            <w:r>
              <w:rPr>
                <w:sz w:val="22"/>
              </w:rPr>
              <w:t>Bromuro de Ethidio (PROMEGA, Madison USA)</w:t>
            </w:r>
          </w:p>
        </w:tc>
        <w:tc>
          <w:tcPr>
            <w:tcW w:w="2070" w:type="dxa"/>
            <w:tcBorders>
              <w:top w:val="nil"/>
              <w:left w:val="nil"/>
              <w:bottom w:val="nil"/>
              <w:right w:val="nil"/>
            </w:tcBorders>
          </w:tcPr>
          <w:p>
            <w:pPr>
              <w:pStyle w:val="TableParagraph"/>
              <w:spacing w:before="90"/>
              <w:ind w:left="294" w:right="355"/>
              <w:jc w:val="center"/>
              <w:rPr>
                <w:sz w:val="22"/>
              </w:rPr>
            </w:pPr>
            <w:r>
              <w:rPr>
                <w:sz w:val="22"/>
              </w:rPr>
              <w:t>H5041</w:t>
            </w:r>
          </w:p>
        </w:tc>
        <w:tc>
          <w:tcPr>
            <w:tcW w:w="1854" w:type="dxa"/>
            <w:tcBorders>
              <w:top w:val="nil"/>
              <w:left w:val="nil"/>
              <w:bottom w:val="nil"/>
              <w:right w:val="nil"/>
            </w:tcBorders>
          </w:tcPr>
          <w:p>
            <w:pPr>
              <w:pStyle w:val="TableParagraph"/>
              <w:spacing w:before="90"/>
              <w:ind w:left="365" w:right="225"/>
              <w:jc w:val="center"/>
              <w:rPr>
                <w:sz w:val="22"/>
              </w:rPr>
            </w:pPr>
            <w:r>
              <w:rPr>
                <w:sz w:val="22"/>
              </w:rPr>
              <w:t>0000043219</w:t>
            </w:r>
          </w:p>
        </w:tc>
      </w:tr>
      <w:tr>
        <w:trPr>
          <w:trHeight w:val="592" w:hRule="exact"/>
        </w:trPr>
        <w:tc>
          <w:tcPr>
            <w:tcW w:w="5151" w:type="dxa"/>
            <w:tcBorders>
              <w:top w:val="nil"/>
              <w:left w:val="nil"/>
              <w:bottom w:val="thinThickMediumGap" w:sz="17" w:space="0" w:color="000000"/>
              <w:right w:val="nil"/>
            </w:tcBorders>
          </w:tcPr>
          <w:p>
            <w:pPr>
              <w:pStyle w:val="TableParagraph"/>
              <w:spacing w:before="88"/>
              <w:ind w:left="124"/>
              <w:rPr>
                <w:sz w:val="22"/>
              </w:rPr>
            </w:pPr>
            <w:r>
              <w:rPr>
                <w:sz w:val="22"/>
              </w:rPr>
              <w:t>Naranja de Acridina (SIGMA, México)</w:t>
            </w:r>
          </w:p>
        </w:tc>
        <w:tc>
          <w:tcPr>
            <w:tcW w:w="2070" w:type="dxa"/>
            <w:tcBorders>
              <w:top w:val="nil"/>
              <w:left w:val="nil"/>
              <w:bottom w:val="thinThickMediumGap" w:sz="17" w:space="0" w:color="000000"/>
              <w:right w:val="nil"/>
            </w:tcBorders>
          </w:tcPr>
          <w:p>
            <w:pPr>
              <w:pStyle w:val="TableParagraph"/>
              <w:spacing w:before="88"/>
              <w:ind w:left="294" w:right="359"/>
              <w:jc w:val="center"/>
              <w:rPr>
                <w:sz w:val="22"/>
              </w:rPr>
            </w:pPr>
            <w:r>
              <w:rPr>
                <w:sz w:val="22"/>
              </w:rPr>
              <w:t>204</w:t>
            </w:r>
          </w:p>
        </w:tc>
        <w:tc>
          <w:tcPr>
            <w:tcW w:w="1854" w:type="dxa"/>
            <w:tcBorders>
              <w:top w:val="nil"/>
              <w:left w:val="nil"/>
              <w:bottom w:val="thinThickMediumGap" w:sz="17" w:space="0" w:color="000000"/>
              <w:right w:val="nil"/>
            </w:tcBorders>
          </w:tcPr>
          <w:p>
            <w:pPr>
              <w:pStyle w:val="TableParagraph"/>
              <w:spacing w:before="88"/>
              <w:ind w:left="365" w:right="224"/>
              <w:jc w:val="center"/>
              <w:rPr>
                <w:sz w:val="22"/>
              </w:rPr>
            </w:pPr>
            <w:r>
              <w:rPr>
                <w:sz w:val="22"/>
              </w:rPr>
              <w:t>51345</w:t>
            </w:r>
          </w:p>
        </w:tc>
      </w:tr>
    </w:tbl>
    <w:sectPr>
      <w:pgSz w:w="12240" w:h="15840"/>
      <w:pgMar w:header="726" w:footer="1527" w:top="1200" w:bottom="1720" w:left="1460" w:right="14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3568" from="83.543999pt,705.192017pt" to="528.453999pt,705.192017pt" stroked="true" strokeweight=".71997pt" strokecolor="#000000">
          <w10:wrap type="none"/>
        </v:line>
      </w:pict>
    </w:r>
    <w:r>
      <w:rPr/>
      <w:pict>
        <v:line style="position:absolute;mso-position-horizontal-relative:page;mso-position-vertical-relative:page;z-index:-93544" from="83.543999pt,703.392029pt" to="528.453999pt,703.392029pt" stroked="true" strokeweight="1.44pt" strokecolor="#000000">
          <w10:wrap type="none"/>
        </v:line>
      </w:pict>
    </w:r>
    <w:r>
      <w:rPr/>
      <w:pict>
        <v:shape style="position:absolute;margin-left:83.984001pt;margin-top:706.670105pt;width:144.2pt;height:13.05pt;mso-position-horizontal-relative:page;mso-position-vertical-relative:page;z-index:-93520" type="#_x0000_t202" filled="false" stroked="false">
          <v:textbox inset="0,0,0,0">
            <w:txbxContent>
              <w:p>
                <w:pPr>
                  <w:spacing w:line="246" w:lineRule="exact" w:before="0"/>
                  <w:ind w:left="20" w:right="-5" w:firstLine="0"/>
                  <w:jc w:val="left"/>
                  <w:rPr>
                    <w:sz w:val="22"/>
                  </w:rPr>
                </w:pPr>
                <w:r>
                  <w:rPr>
                    <w:sz w:val="22"/>
                  </w:rPr>
                  <w:t>NANCY MONTOYA GARCÍA</w:t>
                </w:r>
              </w:p>
            </w:txbxContent>
          </v:textbox>
          <w10:wrap type="none"/>
        </v:shape>
      </w:pict>
    </w:r>
    <w:r>
      <w:rPr/>
      <w:pict>
        <v:shape style="position:absolute;margin-left:512.299988pt;margin-top:706.670105pt;width:16.8pt;height:13.05pt;mso-position-horizontal-relative:page;mso-position-vertical-relative:page;z-index:-93496" type="#_x0000_t202" filled="false" stroked="false">
          <v:textbox inset="0,0,0,0">
            <w:txbxContent>
              <w:p>
                <w:pPr>
                  <w:spacing w:line="246" w:lineRule="exact" w:before="0"/>
                  <w:ind w:left="40" w:right="0" w:firstLine="0"/>
                  <w:jc w:val="left"/>
                  <w:rPr>
                    <w:sz w:val="22"/>
                  </w:rPr>
                </w:pPr>
                <w:r>
                  <w:rPr/>
                  <w:fldChar w:fldCharType="begin"/>
                </w:r>
                <w:r>
                  <w:rPr>
                    <w:sz w:val="22"/>
                  </w:rPr>
                  <w:instrText> PAGE  \* roman </w:instrText>
                </w:r>
                <w:r>
                  <w:rPr/>
                  <w:fldChar w:fldCharType="separate"/>
                </w:r>
                <w:r>
                  <w:rPr/>
                  <w:t>viii</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3472" from="83.543999pt,705.192017pt" to="528.453999pt,705.192017pt" stroked="true" strokeweight=".71997pt" strokecolor="#000000">
          <w10:wrap type="none"/>
        </v:line>
      </w:pict>
    </w:r>
    <w:r>
      <w:rPr/>
      <w:pict>
        <v:line style="position:absolute;mso-position-horizontal-relative:page;mso-position-vertical-relative:page;z-index:-93448" from="83.543999pt,703.392029pt" to="528.453999pt,703.392029pt" stroked="true" strokeweight="1.44pt" strokecolor="#000000">
          <w10:wrap type="none"/>
        </v:line>
      </w:pict>
    </w:r>
    <w:r>
      <w:rPr/>
      <w:pict>
        <v:shape style="position:absolute;margin-left:83.984001pt;margin-top:706.670105pt;width:144.2pt;height:13.05pt;mso-position-horizontal-relative:page;mso-position-vertical-relative:page;z-index:-93424" type="#_x0000_t202" filled="false" stroked="false">
          <v:textbox inset="0,0,0,0">
            <w:txbxContent>
              <w:p>
                <w:pPr>
                  <w:spacing w:line="246" w:lineRule="exact" w:before="0"/>
                  <w:ind w:left="20" w:right="-5" w:firstLine="0"/>
                  <w:jc w:val="left"/>
                  <w:rPr>
                    <w:sz w:val="22"/>
                  </w:rPr>
                </w:pPr>
                <w:r>
                  <w:rPr>
                    <w:sz w:val="22"/>
                  </w:rPr>
                  <w:t>NANCY MONTOYA GARCÍA</w:t>
                </w:r>
              </w:p>
            </w:txbxContent>
          </v:textbox>
          <w10:wrap type="none"/>
        </v:shape>
      </w:pict>
    </w:r>
    <w:r>
      <w:rPr/>
      <w:pict>
        <v:shape style="position:absolute;margin-left:512.299988pt;margin-top:706.670105pt;width:16.8pt;height:13.05pt;mso-position-horizontal-relative:page;mso-position-vertical-relative:page;z-index:-93400" type="#_x0000_t202" filled="false" stroked="false">
          <v:textbox inset="0,0,0,0">
            <w:txbxContent>
              <w:p>
                <w:pPr>
                  <w:spacing w:line="246" w:lineRule="exact" w:before="0"/>
                  <w:ind w:left="40" w:right="0" w:firstLine="0"/>
                  <w:jc w:val="left"/>
                  <w:rPr>
                    <w:sz w:val="22"/>
                  </w:rPr>
                </w:pPr>
                <w:r>
                  <w:rPr/>
                  <w:fldChar w:fldCharType="begin"/>
                </w:r>
                <w:r>
                  <w:rPr>
                    <w:sz w:val="22"/>
                  </w:rPr>
                  <w:instrText> PAGE  \* roman </w:instrText>
                </w:r>
                <w:r>
                  <w:rPr/>
                  <w:fldChar w:fldCharType="separate"/>
                </w:r>
                <w:r>
                  <w:rPr/>
                  <w:t>xiii</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3304" from="83.543999pt,705.192017pt" to="528.453999pt,705.192017pt" stroked="true" strokeweight=".71997pt" strokecolor="#000000">
          <w10:wrap type="none"/>
        </v:line>
      </w:pict>
    </w:r>
    <w:r>
      <w:rPr/>
      <w:pict>
        <v:line style="position:absolute;mso-position-horizontal-relative:page;mso-position-vertical-relative:page;z-index:-93280" from="83.543999pt,703.392029pt" to="528.453999pt,703.392029pt" stroked="true" strokeweight="1.44pt" strokecolor="#000000">
          <w10:wrap type="none"/>
        </v:line>
      </w:pict>
    </w:r>
    <w:r>
      <w:rPr/>
      <w:pict>
        <v:shape style="position:absolute;margin-left:83.984001pt;margin-top:706.670105pt;width:144.2pt;height:13.05pt;mso-position-horizontal-relative:page;mso-position-vertical-relative:page;z-index:-93256" type="#_x0000_t202" filled="false" stroked="false">
          <v:textbox inset="0,0,0,0">
            <w:txbxContent>
              <w:p>
                <w:pPr>
                  <w:spacing w:line="246" w:lineRule="exact" w:before="0"/>
                  <w:ind w:left="20" w:right="-5" w:firstLine="0"/>
                  <w:jc w:val="left"/>
                  <w:rPr>
                    <w:sz w:val="22"/>
                  </w:rPr>
                </w:pPr>
                <w:r>
                  <w:rPr>
                    <w:sz w:val="22"/>
                  </w:rPr>
                  <w:t>NANCY MONTOYA GARCÍA</w:t>
                </w:r>
              </w:p>
            </w:txbxContent>
          </v:textbox>
          <w10:wrap type="none"/>
        </v:shape>
      </w:pict>
    </w:r>
    <w:r>
      <w:rPr/>
      <w:pict>
        <v:shape style="position:absolute;margin-left:511.579987pt;margin-top:706.670105pt;width:17.45pt;height:13.05pt;mso-position-horizontal-relative:page;mso-position-vertical-relative:page;z-index:-93232" type="#_x0000_t202" filled="false" stroked="false">
          <v:textbox inset="0,0,0,0">
            <w:txbxContent>
              <w:p>
                <w:pPr>
                  <w:spacing w:line="246" w:lineRule="exact" w:before="0"/>
                  <w:ind w:left="40" w:right="0" w:firstLine="0"/>
                  <w:jc w:val="left"/>
                  <w:rPr>
                    <w:sz w:val="22"/>
                  </w:rPr>
                </w:pPr>
                <w:r>
                  <w:rPr/>
                  <w:fldChar w:fldCharType="begin"/>
                </w:r>
                <w:r>
                  <w:rPr>
                    <w:sz w:val="22"/>
                  </w:rPr>
                  <w:instrText> PAGE  \* roman </w:instrText>
                </w:r>
                <w:r>
                  <w:rPr/>
                  <w:fldChar w:fldCharType="separate"/>
                </w:r>
                <w:r>
                  <w:rPr/>
                  <w:t>xiv</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3208" from="83.543999pt,705.192017pt" to="528.453999pt,705.192017pt" stroked="true" strokeweight=".71997pt" strokecolor="#000000">
          <w10:wrap type="none"/>
        </v:line>
      </w:pict>
    </w:r>
    <w:r>
      <w:rPr/>
      <w:pict>
        <v:line style="position:absolute;mso-position-horizontal-relative:page;mso-position-vertical-relative:page;z-index:-93184" from="83.543999pt,703.392029pt" to="528.453999pt,703.392029pt" stroked="true" strokeweight="1.44pt" strokecolor="#000000">
          <w10:wrap type="none"/>
        </v:line>
      </w:pict>
    </w:r>
    <w:r>
      <w:rPr/>
      <w:pict>
        <v:shape style="position:absolute;margin-left:83.984001pt;margin-top:706.670105pt;width:144.2pt;height:13.05pt;mso-position-horizontal-relative:page;mso-position-vertical-relative:page;z-index:-93160" type="#_x0000_t202" filled="false" stroked="false">
          <v:textbox inset="0,0,0,0">
            <w:txbxContent>
              <w:p>
                <w:pPr>
                  <w:spacing w:line="246" w:lineRule="exact" w:before="0"/>
                  <w:ind w:left="20" w:right="-5" w:firstLine="0"/>
                  <w:jc w:val="left"/>
                  <w:rPr>
                    <w:sz w:val="22"/>
                  </w:rPr>
                </w:pPr>
                <w:r>
                  <w:rPr>
                    <w:sz w:val="22"/>
                  </w:rPr>
                  <w:t>NANCY MONTOYA GARCÍA</w:t>
                </w:r>
              </w:p>
            </w:txbxContent>
          </v:textbox>
          <w10:wrap type="none"/>
        </v:shape>
      </w:pict>
    </w:r>
    <w:r>
      <w:rPr/>
      <w:pict>
        <v:shape style="position:absolute;margin-left:512.780029pt;margin-top:706.670105pt;width:16.5pt;height:13.05pt;mso-position-horizontal-relative:page;mso-position-vertical-relative:page;z-index:-93136" type="#_x0000_t202" filled="false" stroked="false">
          <v:textbox inset="0,0,0,0">
            <w:txbxContent>
              <w:p>
                <w:pPr>
                  <w:spacing w:line="246" w:lineRule="exact" w:before="0"/>
                  <w:ind w:left="40" w:right="0" w:firstLine="0"/>
                  <w:jc w:val="left"/>
                  <w:rPr>
                    <w:sz w:val="22"/>
                  </w:rPr>
                </w:pPr>
                <w:r>
                  <w:rPr/>
                  <w:fldChar w:fldCharType="begin"/>
                </w:r>
                <w:r>
                  <w:rPr>
                    <w:sz w:val="22"/>
                  </w:rPr>
                  <w:instrText> PAGE </w:instrText>
                </w:r>
                <w:r>
                  <w:rPr/>
                  <w:fldChar w:fldCharType="separate"/>
                </w:r>
                <w:r>
                  <w:rPr/>
                  <w:t>10</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84001pt;margin-top:706.670105pt;width:144.2pt;height:13.05pt;mso-position-horizontal-relative:page;mso-position-vertical-relative:page;z-index:-93112" type="#_x0000_t202" filled="false" stroked="false">
          <v:textbox inset="0,0,0,0">
            <w:txbxContent>
              <w:p>
                <w:pPr>
                  <w:spacing w:line="246" w:lineRule="exact" w:before="0"/>
                  <w:ind w:left="20" w:right="-5" w:firstLine="0"/>
                  <w:jc w:val="left"/>
                  <w:rPr>
                    <w:sz w:val="22"/>
                  </w:rPr>
                </w:pPr>
                <w:r>
                  <w:rPr>
                    <w:sz w:val="22"/>
                  </w:rPr>
                  <w:t>NANCY MONTOYA GARCÍA</w:t>
                </w:r>
              </w:p>
            </w:txbxContent>
          </v:textbox>
          <w10:wrap type="none"/>
        </v:shape>
      </w:pict>
    </w:r>
    <w:r>
      <w:rPr/>
      <w:pict>
        <v:shape style="position:absolute;margin-left:512.780029pt;margin-top:706.670105pt;width:16.5pt;height:13.05pt;mso-position-horizontal-relative:page;mso-position-vertical-relative:page;z-index:-93088" type="#_x0000_t202" filled="false" stroked="false">
          <v:textbox inset="0,0,0,0">
            <w:txbxContent>
              <w:p>
                <w:pPr>
                  <w:spacing w:line="246" w:lineRule="exact" w:before="0"/>
                  <w:ind w:left="40" w:right="0" w:firstLine="0"/>
                  <w:jc w:val="left"/>
                  <w:rPr>
                    <w:sz w:val="22"/>
                  </w:rPr>
                </w:pPr>
                <w:r>
                  <w:rPr/>
                  <w:fldChar w:fldCharType="begin"/>
                </w:r>
                <w:r>
                  <w:rPr>
                    <w:sz w:val="22"/>
                  </w:rPr>
                  <w:instrText> PAGE </w:instrText>
                </w:r>
                <w:r>
                  <w:rPr/>
                  <w:fldChar w:fldCharType="separate"/>
                </w:r>
                <w:r>
                  <w:rPr/>
                  <w:t>51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3064" from="83.543999pt,705.192017pt" to="528.453999pt,705.192017pt" stroked="true" strokeweight=".71997pt" strokecolor="#000000">
          <w10:wrap type="none"/>
        </v:line>
      </w:pict>
    </w:r>
    <w:r>
      <w:rPr/>
      <w:pict>
        <v:line style="position:absolute;mso-position-horizontal-relative:page;mso-position-vertical-relative:page;z-index:-93040" from="83.543999pt,703.392029pt" to="528.453999pt,703.392029pt" stroked="true" strokeweight="1.44pt" strokecolor="#000000">
          <w10:wrap type="none"/>
        </v:line>
      </w:pict>
    </w:r>
    <w:r>
      <w:rPr/>
      <w:pict>
        <v:shape style="position:absolute;margin-left:83.984001pt;margin-top:706.670105pt;width:144.2pt;height:13.05pt;mso-position-horizontal-relative:page;mso-position-vertical-relative:page;z-index:-93016" type="#_x0000_t202" filled="false" stroked="false">
          <v:textbox inset="0,0,0,0">
            <w:txbxContent>
              <w:p>
                <w:pPr>
                  <w:spacing w:line="246" w:lineRule="exact" w:before="0"/>
                  <w:ind w:left="20" w:right="-5" w:firstLine="0"/>
                  <w:jc w:val="left"/>
                  <w:rPr>
                    <w:sz w:val="22"/>
                  </w:rPr>
                </w:pPr>
                <w:r>
                  <w:rPr>
                    <w:sz w:val="22"/>
                  </w:rPr>
                  <w:t>NANCY MONTOYA GARCÍA</w:t>
                </w:r>
              </w:p>
            </w:txbxContent>
          </v:textbox>
          <w10:wrap type="none"/>
        </v:shape>
      </w:pict>
    </w:r>
    <w:r>
      <w:rPr/>
      <w:pict>
        <v:shape style="position:absolute;margin-left:512.780029pt;margin-top:706.670105pt;width:16.5pt;height:13.05pt;mso-position-horizontal-relative:page;mso-position-vertical-relative:page;z-index:-92992" type="#_x0000_t202" filled="false" stroked="false">
          <v:textbox inset="0,0,0,0">
            <w:txbxContent>
              <w:p>
                <w:pPr>
                  <w:spacing w:line="246" w:lineRule="exact" w:before="0"/>
                  <w:ind w:left="40" w:right="0" w:firstLine="0"/>
                  <w:jc w:val="left"/>
                  <w:rPr>
                    <w:sz w:val="22"/>
                  </w:rPr>
                </w:pPr>
                <w:r>
                  <w:rPr/>
                  <w:fldChar w:fldCharType="begin"/>
                </w:r>
                <w:r>
                  <w:rPr>
                    <w:sz w:val="22"/>
                  </w:rPr>
                  <w:instrText> PAGE </w:instrText>
                </w:r>
                <w:r>
                  <w:rPr/>
                  <w:fldChar w:fldCharType="separate"/>
                </w:r>
                <w:r>
                  <w:rPr/>
                  <w:t>52</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2968" from="83.543999pt,705.192017pt" to="528.453999pt,705.192017pt" stroked="true" strokeweight=".71997pt" strokecolor="#000000">
          <w10:wrap type="none"/>
        </v:line>
      </w:pict>
    </w:r>
    <w:r>
      <w:rPr/>
      <w:pict>
        <v:line style="position:absolute;mso-position-horizontal-relative:page;mso-position-vertical-relative:page;z-index:-92944" from="83.543999pt,703.392029pt" to="528.453999pt,703.392029pt" stroked="true" strokeweight="1.44pt" strokecolor="#000000">
          <w10:wrap type="none"/>
        </v:line>
      </w:pict>
    </w:r>
    <w:r>
      <w:rPr/>
      <w:pict>
        <v:shape style="position:absolute;margin-left:83.984001pt;margin-top:706.670105pt;width:144.2pt;height:13.05pt;mso-position-horizontal-relative:page;mso-position-vertical-relative:page;z-index:-92920" type="#_x0000_t202" filled="false" stroked="false">
          <v:textbox inset="0,0,0,0">
            <w:txbxContent>
              <w:p>
                <w:pPr>
                  <w:spacing w:line="246" w:lineRule="exact" w:before="0"/>
                  <w:ind w:left="20" w:right="-5" w:firstLine="0"/>
                  <w:jc w:val="left"/>
                  <w:rPr>
                    <w:sz w:val="22"/>
                  </w:rPr>
                </w:pPr>
                <w:r>
                  <w:rPr>
                    <w:sz w:val="22"/>
                  </w:rPr>
                  <w:t>NANCY MONTOYA GARCÍA</w:t>
                </w:r>
              </w:p>
            </w:txbxContent>
          </v:textbox>
          <w10:wrap type="none"/>
        </v:shape>
      </w:pict>
    </w:r>
    <w:r>
      <w:rPr/>
      <w:pict>
        <v:shape style="position:absolute;margin-left:519.020020pt;margin-top:706.670105pt;width:10.15pt;height:13.05pt;mso-position-horizontal-relative:page;mso-position-vertical-relative:page;z-index:-92896" type="#_x0000_t202" filled="false" stroked="false">
          <v:textbox inset="0,0,0,0">
            <w:txbxContent>
              <w:p>
                <w:pPr>
                  <w:spacing w:line="246" w:lineRule="exact" w:before="0"/>
                  <w:ind w:left="40" w:right="0" w:firstLine="0"/>
                  <w:jc w:val="left"/>
                  <w:rPr>
                    <w:sz w:val="22"/>
                  </w:rPr>
                </w:pPr>
                <w:r>
                  <w:rPr/>
                  <w:fldChar w:fldCharType="begin"/>
                </w:r>
                <w:r>
                  <w:rPr>
                    <w:w w:val="100"/>
                    <w:sz w:val="22"/>
                  </w:rPr>
                  <w:instrText> PAGE </w:instrText>
                </w:r>
                <w:r>
                  <w:rPr/>
                  <w:fldChar w:fldCharType="separate"/>
                </w:r>
                <w:r>
                  <w:rPr/>
                  <w:t>1</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41791">
          <wp:simplePos x="0" y="0"/>
          <wp:positionH relativeFrom="page">
            <wp:posOffset>733425</wp:posOffset>
          </wp:positionH>
          <wp:positionV relativeFrom="page">
            <wp:posOffset>776605</wp:posOffset>
          </wp:positionV>
          <wp:extent cx="1152525" cy="1032509"/>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1" cstate="print"/>
                  <a:stretch>
                    <a:fillRect/>
                  </a:stretch>
                </pic:blipFill>
                <pic:spPr>
                  <a:xfrm>
                    <a:off x="0" y="0"/>
                    <a:ext cx="1152525" cy="1032509"/>
                  </a:xfrm>
                  <a:prstGeom prst="rect">
                    <a:avLst/>
                  </a:prstGeom>
                </pic:spPr>
              </pic:pic>
            </a:graphicData>
          </a:graphic>
        </wp:anchor>
      </w:drawing>
    </w:r>
    <w:r>
      <w:rPr/>
      <w:pict>
        <v:shapetype id="_x0000_t202" o:spt="202" coordsize="21600,21600" path="m,l,21600r21600,l21600,xe">
          <v:stroke joinstyle="miter"/>
          <v:path gradientshapeok="t" o:connecttype="rect"/>
        </v:shapetype>
        <v:shape style="position:absolute;margin-left:160.589996pt;margin-top:71.020416pt;width:360.8pt;height:15.95pt;mso-position-horizontal-relative:page;mso-position-vertical-relative:page;z-index:-93640" type="#_x0000_t202" filled="false" stroked="false">
          <v:textbox inset="0,0,0,0">
            <w:txbxContent>
              <w:p>
                <w:pPr>
                  <w:spacing w:line="305" w:lineRule="exact" w:before="0"/>
                  <w:ind w:left="20" w:right="-12" w:firstLine="0"/>
                  <w:jc w:val="left"/>
                  <w:rPr>
                    <w:b/>
                    <w:sz w:val="28"/>
                  </w:rPr>
                </w:pPr>
                <w:r>
                  <w:rPr>
                    <w:b/>
                    <w:sz w:val="28"/>
                  </w:rPr>
                  <w:t>UNIVERSIDAD AUTÓNOMA DEL ESTADO DE MÉXICO</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3616" from="83.543999pt,60.5pt" to="528.453999pt,60.5pt" stroked="true" strokeweight=".48pt" strokecolor="#000000">
          <w10:wrap type="none"/>
        </v:line>
      </w:pict>
    </w:r>
    <w:r>
      <w:rPr/>
      <w:pict>
        <v:shape style="position:absolute;margin-left:174.75pt;margin-top:35.309929pt;width:353.45pt;height:22.9pt;mso-position-horizontal-relative:page;mso-position-vertical-relative:page;z-index:-93592" type="#_x0000_t202" filled="false" stroked="false">
          <v:textbox inset="0,0,0,0">
            <w:txbxContent>
              <w:p>
                <w:pPr>
                  <w:spacing w:line="206" w:lineRule="exact" w:before="0"/>
                  <w:ind w:left="20" w:right="0" w:firstLine="0"/>
                  <w:jc w:val="left"/>
                  <w:rPr>
                    <w:sz w:val="18"/>
                  </w:rPr>
                </w:pPr>
                <w:r>
                  <w:rPr>
                    <w:sz w:val="18"/>
                  </w:rPr>
                  <w:t>EVALUACIÓN </w:t>
                </w:r>
                <w:r>
                  <w:rPr>
                    <w:i/>
                    <w:sz w:val="18"/>
                  </w:rPr>
                  <w:t>In vitro </w:t>
                </w:r>
                <w:r>
                  <w:rPr>
                    <w:sz w:val="18"/>
                  </w:rPr>
                  <w:t>DE LA APOPTOSIS DE NEUTRÓFILOS DE VACAS LECHERAS</w:t>
                </w:r>
              </w:p>
              <w:p>
                <w:pPr>
                  <w:spacing w:before="28"/>
                  <w:ind w:left="788" w:right="0" w:firstLine="0"/>
                  <w:jc w:val="left"/>
                  <w:rPr>
                    <w:i/>
                    <w:sz w:val="18"/>
                  </w:rPr>
                </w:pPr>
                <w:r>
                  <w:rPr>
                    <w:sz w:val="18"/>
                  </w:rPr>
                  <w:t>INDUCIDA POR LOS TIPOS CAPSULARES 5 Y 8 DE </w:t>
                </w:r>
                <w:r>
                  <w:rPr>
                    <w:i/>
                    <w:sz w:val="18"/>
                  </w:rPr>
                  <w:t>Staphylococcus aureus</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4.75pt;margin-top:35.309929pt;width:353.45pt;height:22.9pt;mso-position-horizontal-relative:page;mso-position-vertical-relative:page;z-index:-93376" type="#_x0000_t202" filled="false" stroked="false">
          <v:textbox inset="0,0,0,0">
            <w:txbxContent>
              <w:p>
                <w:pPr>
                  <w:spacing w:line="206" w:lineRule="exact" w:before="0"/>
                  <w:ind w:left="20" w:right="0" w:firstLine="0"/>
                  <w:jc w:val="left"/>
                  <w:rPr>
                    <w:sz w:val="18"/>
                  </w:rPr>
                </w:pPr>
                <w:r>
                  <w:rPr>
                    <w:sz w:val="18"/>
                  </w:rPr>
                  <w:t>EVALUACIÓN </w:t>
                </w:r>
                <w:r>
                  <w:rPr>
                    <w:i/>
                    <w:sz w:val="18"/>
                  </w:rPr>
                  <w:t>In vitro </w:t>
                </w:r>
                <w:r>
                  <w:rPr>
                    <w:sz w:val="18"/>
                  </w:rPr>
                  <w:t>DE LA APOPTOSIS DE NEUTRÓFILOS DE VACAS LECHERAS</w:t>
                </w:r>
              </w:p>
              <w:p>
                <w:pPr>
                  <w:spacing w:before="28"/>
                  <w:ind w:left="788" w:right="0" w:firstLine="0"/>
                  <w:jc w:val="left"/>
                  <w:rPr>
                    <w:i/>
                    <w:sz w:val="18"/>
                  </w:rPr>
                </w:pPr>
                <w:r>
                  <w:rPr>
                    <w:sz w:val="18"/>
                  </w:rPr>
                  <w:t>INDUCIDA POR LOS TIPOS CAPSULARES 5 Y 8 DE </w:t>
                </w:r>
                <w:r>
                  <w:rPr>
                    <w:i/>
                    <w:sz w:val="18"/>
                  </w:rPr>
                  <w:t>Staphylococcus aureus</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3352" from="83.543999pt,60.5pt" to="528.453999pt,60.5pt" stroked="true" strokeweight=".48pt" strokecolor="#000000">
          <w10:wrap type="none"/>
        </v:line>
      </w:pict>
    </w:r>
    <w:r>
      <w:rPr/>
      <w:pict>
        <v:shape style="position:absolute;margin-left:174.75pt;margin-top:35.309929pt;width:353.45pt;height:22.9pt;mso-position-horizontal-relative:page;mso-position-vertical-relative:page;z-index:-93328" type="#_x0000_t202" filled="false" stroked="false">
          <v:textbox inset="0,0,0,0">
            <w:txbxContent>
              <w:p>
                <w:pPr>
                  <w:spacing w:line="206" w:lineRule="exact" w:before="0"/>
                  <w:ind w:left="20" w:right="0" w:firstLine="0"/>
                  <w:jc w:val="left"/>
                  <w:rPr>
                    <w:sz w:val="18"/>
                  </w:rPr>
                </w:pPr>
                <w:r>
                  <w:rPr>
                    <w:sz w:val="18"/>
                  </w:rPr>
                  <w:t>EVALUACIÓN </w:t>
                </w:r>
                <w:r>
                  <w:rPr>
                    <w:i/>
                    <w:sz w:val="18"/>
                  </w:rPr>
                  <w:t>In vitro </w:t>
                </w:r>
                <w:r>
                  <w:rPr>
                    <w:sz w:val="18"/>
                  </w:rPr>
                  <w:t>DE LA APOPTOSIS DE NEUTRÓFILOS DE VACAS LECHERAS</w:t>
                </w:r>
              </w:p>
              <w:p>
                <w:pPr>
                  <w:spacing w:before="28"/>
                  <w:ind w:left="788" w:right="0" w:firstLine="0"/>
                  <w:jc w:val="left"/>
                  <w:rPr>
                    <w:i/>
                    <w:sz w:val="18"/>
                  </w:rPr>
                </w:pPr>
                <w:r>
                  <w:rPr>
                    <w:sz w:val="18"/>
                  </w:rPr>
                  <w:t>INDUCIDA POR LOS TIPOS CAPSULARES 5 Y 8 DE </w:t>
                </w:r>
                <w:r>
                  <w:rPr>
                    <w:i/>
                    <w:sz w:val="18"/>
                  </w:rPr>
                  <w:t>Staphylococcus aureus</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9">
    <w:multiLevelType w:val="hybridMultilevel"/>
    <w:lvl w:ilvl="0">
      <w:start w:val="8"/>
      <w:numFmt w:val="decimal"/>
      <w:lvlText w:val="%1."/>
      <w:lvlJc w:val="left"/>
      <w:pPr>
        <w:ind w:left="467" w:hanging="308"/>
        <w:jc w:val="left"/>
      </w:pPr>
      <w:rPr>
        <w:rFonts w:hint="default" w:ascii="Arial" w:hAnsi="Arial" w:eastAsia="Arial" w:cs="Arial"/>
        <w:b/>
        <w:bCs/>
        <w:spacing w:val="-2"/>
        <w:w w:val="99"/>
        <w:sz w:val="28"/>
        <w:szCs w:val="28"/>
      </w:rPr>
    </w:lvl>
    <w:lvl w:ilvl="1">
      <w:start w:val="1"/>
      <w:numFmt w:val="bullet"/>
      <w:lvlText w:val="•"/>
      <w:lvlJc w:val="left"/>
      <w:pPr>
        <w:ind w:left="1330" w:hanging="308"/>
      </w:pPr>
      <w:rPr>
        <w:rFonts w:hint="default"/>
      </w:rPr>
    </w:lvl>
    <w:lvl w:ilvl="2">
      <w:start w:val="1"/>
      <w:numFmt w:val="bullet"/>
      <w:lvlText w:val="•"/>
      <w:lvlJc w:val="left"/>
      <w:pPr>
        <w:ind w:left="2200" w:hanging="308"/>
      </w:pPr>
      <w:rPr>
        <w:rFonts w:hint="default"/>
      </w:rPr>
    </w:lvl>
    <w:lvl w:ilvl="3">
      <w:start w:val="1"/>
      <w:numFmt w:val="bullet"/>
      <w:lvlText w:val="•"/>
      <w:lvlJc w:val="left"/>
      <w:pPr>
        <w:ind w:left="3070" w:hanging="308"/>
      </w:pPr>
      <w:rPr>
        <w:rFonts w:hint="default"/>
      </w:rPr>
    </w:lvl>
    <w:lvl w:ilvl="4">
      <w:start w:val="1"/>
      <w:numFmt w:val="bullet"/>
      <w:lvlText w:val="•"/>
      <w:lvlJc w:val="left"/>
      <w:pPr>
        <w:ind w:left="3940" w:hanging="308"/>
      </w:pPr>
      <w:rPr>
        <w:rFonts w:hint="default"/>
      </w:rPr>
    </w:lvl>
    <w:lvl w:ilvl="5">
      <w:start w:val="1"/>
      <w:numFmt w:val="bullet"/>
      <w:lvlText w:val="•"/>
      <w:lvlJc w:val="left"/>
      <w:pPr>
        <w:ind w:left="4810" w:hanging="308"/>
      </w:pPr>
      <w:rPr>
        <w:rFonts w:hint="default"/>
      </w:rPr>
    </w:lvl>
    <w:lvl w:ilvl="6">
      <w:start w:val="1"/>
      <w:numFmt w:val="bullet"/>
      <w:lvlText w:val="•"/>
      <w:lvlJc w:val="left"/>
      <w:pPr>
        <w:ind w:left="5680" w:hanging="308"/>
      </w:pPr>
      <w:rPr>
        <w:rFonts w:hint="default"/>
      </w:rPr>
    </w:lvl>
    <w:lvl w:ilvl="7">
      <w:start w:val="1"/>
      <w:numFmt w:val="bullet"/>
      <w:lvlText w:val="•"/>
      <w:lvlJc w:val="left"/>
      <w:pPr>
        <w:ind w:left="6550" w:hanging="308"/>
      </w:pPr>
      <w:rPr>
        <w:rFonts w:hint="default"/>
      </w:rPr>
    </w:lvl>
    <w:lvl w:ilvl="8">
      <w:start w:val="1"/>
      <w:numFmt w:val="bullet"/>
      <w:lvlText w:val="•"/>
      <w:lvlJc w:val="left"/>
      <w:pPr>
        <w:ind w:left="7420" w:hanging="308"/>
      </w:pPr>
      <w:rPr>
        <w:rFonts w:hint="default"/>
      </w:rPr>
    </w:lvl>
  </w:abstractNum>
  <w:abstractNum w:abstractNumId="8">
    <w:multiLevelType w:val="hybridMultilevel"/>
    <w:lvl w:ilvl="0">
      <w:start w:val="1"/>
      <w:numFmt w:val="decimal"/>
      <w:lvlText w:val="%1."/>
      <w:lvlJc w:val="left"/>
      <w:pPr>
        <w:ind w:left="139" w:hanging="269"/>
        <w:jc w:val="left"/>
      </w:pPr>
      <w:rPr>
        <w:rFonts w:hint="default"/>
        <w:w w:val="99"/>
      </w:rPr>
    </w:lvl>
    <w:lvl w:ilvl="1">
      <w:start w:val="1"/>
      <w:numFmt w:val="bullet"/>
      <w:lvlText w:val="•"/>
      <w:lvlJc w:val="left"/>
      <w:pPr>
        <w:ind w:left="1038" w:hanging="269"/>
      </w:pPr>
      <w:rPr>
        <w:rFonts w:hint="default"/>
      </w:rPr>
    </w:lvl>
    <w:lvl w:ilvl="2">
      <w:start w:val="1"/>
      <w:numFmt w:val="bullet"/>
      <w:lvlText w:val="•"/>
      <w:lvlJc w:val="left"/>
      <w:pPr>
        <w:ind w:left="1936" w:hanging="269"/>
      </w:pPr>
      <w:rPr>
        <w:rFonts w:hint="default"/>
      </w:rPr>
    </w:lvl>
    <w:lvl w:ilvl="3">
      <w:start w:val="1"/>
      <w:numFmt w:val="bullet"/>
      <w:lvlText w:val="•"/>
      <w:lvlJc w:val="left"/>
      <w:pPr>
        <w:ind w:left="2834" w:hanging="269"/>
      </w:pPr>
      <w:rPr>
        <w:rFonts w:hint="default"/>
      </w:rPr>
    </w:lvl>
    <w:lvl w:ilvl="4">
      <w:start w:val="1"/>
      <w:numFmt w:val="bullet"/>
      <w:lvlText w:val="•"/>
      <w:lvlJc w:val="left"/>
      <w:pPr>
        <w:ind w:left="3732" w:hanging="269"/>
      </w:pPr>
      <w:rPr>
        <w:rFonts w:hint="default"/>
      </w:rPr>
    </w:lvl>
    <w:lvl w:ilvl="5">
      <w:start w:val="1"/>
      <w:numFmt w:val="bullet"/>
      <w:lvlText w:val="•"/>
      <w:lvlJc w:val="left"/>
      <w:pPr>
        <w:ind w:left="4630" w:hanging="269"/>
      </w:pPr>
      <w:rPr>
        <w:rFonts w:hint="default"/>
      </w:rPr>
    </w:lvl>
    <w:lvl w:ilvl="6">
      <w:start w:val="1"/>
      <w:numFmt w:val="bullet"/>
      <w:lvlText w:val="•"/>
      <w:lvlJc w:val="left"/>
      <w:pPr>
        <w:ind w:left="5528" w:hanging="269"/>
      </w:pPr>
      <w:rPr>
        <w:rFonts w:hint="default"/>
      </w:rPr>
    </w:lvl>
    <w:lvl w:ilvl="7">
      <w:start w:val="1"/>
      <w:numFmt w:val="bullet"/>
      <w:lvlText w:val="•"/>
      <w:lvlJc w:val="left"/>
      <w:pPr>
        <w:ind w:left="6426" w:hanging="269"/>
      </w:pPr>
      <w:rPr>
        <w:rFonts w:hint="default"/>
      </w:rPr>
    </w:lvl>
    <w:lvl w:ilvl="8">
      <w:start w:val="1"/>
      <w:numFmt w:val="bullet"/>
      <w:lvlText w:val="•"/>
      <w:lvlJc w:val="left"/>
      <w:pPr>
        <w:ind w:left="7324" w:hanging="269"/>
      </w:pPr>
      <w:rPr>
        <w:rFonts w:hint="default"/>
      </w:rPr>
    </w:lvl>
  </w:abstractNum>
  <w:abstractNum w:abstractNumId="7">
    <w:multiLevelType w:val="hybridMultilevel"/>
    <w:lvl w:ilvl="0">
      <w:start w:val="7"/>
      <w:numFmt w:val="decimal"/>
      <w:lvlText w:val="%1"/>
      <w:lvlJc w:val="left"/>
      <w:pPr>
        <w:ind w:left="563" w:hanging="404"/>
        <w:jc w:val="left"/>
      </w:pPr>
      <w:rPr>
        <w:rFonts w:hint="default"/>
      </w:rPr>
    </w:lvl>
    <w:lvl w:ilvl="1">
      <w:start w:val="1"/>
      <w:numFmt w:val="decimal"/>
      <w:lvlText w:val="%1.%2"/>
      <w:lvlJc w:val="left"/>
      <w:pPr>
        <w:ind w:left="563" w:hanging="404"/>
        <w:jc w:val="left"/>
      </w:pPr>
      <w:rPr>
        <w:rFonts w:hint="default" w:ascii="Arial" w:hAnsi="Arial" w:eastAsia="Arial" w:cs="Arial"/>
        <w:b/>
        <w:bCs/>
        <w:w w:val="99"/>
        <w:sz w:val="24"/>
        <w:szCs w:val="24"/>
      </w:rPr>
    </w:lvl>
    <w:lvl w:ilvl="2">
      <w:start w:val="1"/>
      <w:numFmt w:val="lowerLetter"/>
      <w:lvlText w:val="%3)"/>
      <w:lvlJc w:val="left"/>
      <w:pPr>
        <w:ind w:left="2652" w:hanging="341"/>
        <w:jc w:val="left"/>
      </w:pPr>
      <w:rPr>
        <w:rFonts w:hint="default" w:ascii="Arial" w:hAnsi="Arial" w:eastAsia="Arial" w:cs="Arial"/>
        <w:spacing w:val="-2"/>
        <w:w w:val="100"/>
        <w:sz w:val="20"/>
        <w:szCs w:val="20"/>
      </w:rPr>
    </w:lvl>
    <w:lvl w:ilvl="3">
      <w:start w:val="1"/>
      <w:numFmt w:val="bullet"/>
      <w:lvlText w:val="•"/>
      <w:lvlJc w:val="left"/>
      <w:pPr>
        <w:ind w:left="4104" w:hanging="341"/>
      </w:pPr>
      <w:rPr>
        <w:rFonts w:hint="default"/>
      </w:rPr>
    </w:lvl>
    <w:lvl w:ilvl="4">
      <w:start w:val="1"/>
      <w:numFmt w:val="bullet"/>
      <w:lvlText w:val="•"/>
      <w:lvlJc w:val="left"/>
      <w:pPr>
        <w:ind w:left="4826" w:hanging="341"/>
      </w:pPr>
      <w:rPr>
        <w:rFonts w:hint="default"/>
      </w:rPr>
    </w:lvl>
    <w:lvl w:ilvl="5">
      <w:start w:val="1"/>
      <w:numFmt w:val="bullet"/>
      <w:lvlText w:val="•"/>
      <w:lvlJc w:val="left"/>
      <w:pPr>
        <w:ind w:left="5548" w:hanging="341"/>
      </w:pPr>
      <w:rPr>
        <w:rFonts w:hint="default"/>
      </w:rPr>
    </w:lvl>
    <w:lvl w:ilvl="6">
      <w:start w:val="1"/>
      <w:numFmt w:val="bullet"/>
      <w:lvlText w:val="•"/>
      <w:lvlJc w:val="left"/>
      <w:pPr>
        <w:ind w:left="6271" w:hanging="341"/>
      </w:pPr>
      <w:rPr>
        <w:rFonts w:hint="default"/>
      </w:rPr>
    </w:lvl>
    <w:lvl w:ilvl="7">
      <w:start w:val="1"/>
      <w:numFmt w:val="bullet"/>
      <w:lvlText w:val="•"/>
      <w:lvlJc w:val="left"/>
      <w:pPr>
        <w:ind w:left="6993" w:hanging="341"/>
      </w:pPr>
      <w:rPr>
        <w:rFonts w:hint="default"/>
      </w:rPr>
    </w:lvl>
    <w:lvl w:ilvl="8">
      <w:start w:val="1"/>
      <w:numFmt w:val="bullet"/>
      <w:lvlText w:val="•"/>
      <w:lvlJc w:val="left"/>
      <w:pPr>
        <w:ind w:left="7715" w:hanging="341"/>
      </w:pPr>
      <w:rPr>
        <w:rFonts w:hint="default"/>
      </w:rPr>
    </w:lvl>
  </w:abstractNum>
  <w:abstractNum w:abstractNumId="6">
    <w:multiLevelType w:val="hybridMultilevel"/>
    <w:lvl w:ilvl="0">
      <w:start w:val="6"/>
      <w:numFmt w:val="decimal"/>
      <w:lvlText w:val="%1"/>
      <w:lvlJc w:val="left"/>
      <w:pPr>
        <w:ind w:left="563" w:hanging="404"/>
        <w:jc w:val="left"/>
      </w:pPr>
      <w:rPr>
        <w:rFonts w:hint="default"/>
      </w:rPr>
    </w:lvl>
    <w:lvl w:ilvl="1">
      <w:start w:val="7"/>
      <w:numFmt w:val="decimal"/>
      <w:lvlText w:val="%1.%2"/>
      <w:lvlJc w:val="left"/>
      <w:pPr>
        <w:ind w:left="563" w:hanging="404"/>
        <w:jc w:val="left"/>
      </w:pPr>
      <w:rPr>
        <w:rFonts w:hint="default"/>
        <w:b/>
        <w:bCs/>
        <w:w w:val="99"/>
      </w:rPr>
    </w:lvl>
    <w:lvl w:ilvl="2">
      <w:start w:val="1"/>
      <w:numFmt w:val="bullet"/>
      <w:lvlText w:val="•"/>
      <w:lvlJc w:val="left"/>
      <w:pPr>
        <w:ind w:left="1728" w:hanging="404"/>
      </w:pPr>
      <w:rPr>
        <w:rFonts w:hint="default"/>
      </w:rPr>
    </w:lvl>
    <w:lvl w:ilvl="3">
      <w:start w:val="1"/>
      <w:numFmt w:val="bullet"/>
      <w:lvlText w:val="•"/>
      <w:lvlJc w:val="left"/>
      <w:pPr>
        <w:ind w:left="2657" w:hanging="404"/>
      </w:pPr>
      <w:rPr>
        <w:rFonts w:hint="default"/>
      </w:rPr>
    </w:lvl>
    <w:lvl w:ilvl="4">
      <w:start w:val="1"/>
      <w:numFmt w:val="bullet"/>
      <w:lvlText w:val="•"/>
      <w:lvlJc w:val="left"/>
      <w:pPr>
        <w:ind w:left="3586" w:hanging="404"/>
      </w:pPr>
      <w:rPr>
        <w:rFonts w:hint="default"/>
      </w:rPr>
    </w:lvl>
    <w:lvl w:ilvl="5">
      <w:start w:val="1"/>
      <w:numFmt w:val="bullet"/>
      <w:lvlText w:val="•"/>
      <w:lvlJc w:val="left"/>
      <w:pPr>
        <w:ind w:left="4515" w:hanging="404"/>
      </w:pPr>
      <w:rPr>
        <w:rFonts w:hint="default"/>
      </w:rPr>
    </w:lvl>
    <w:lvl w:ilvl="6">
      <w:start w:val="1"/>
      <w:numFmt w:val="bullet"/>
      <w:lvlText w:val="•"/>
      <w:lvlJc w:val="left"/>
      <w:pPr>
        <w:ind w:left="5444" w:hanging="404"/>
      </w:pPr>
      <w:rPr>
        <w:rFonts w:hint="default"/>
      </w:rPr>
    </w:lvl>
    <w:lvl w:ilvl="7">
      <w:start w:val="1"/>
      <w:numFmt w:val="bullet"/>
      <w:lvlText w:val="•"/>
      <w:lvlJc w:val="left"/>
      <w:pPr>
        <w:ind w:left="6373" w:hanging="404"/>
      </w:pPr>
      <w:rPr>
        <w:rFonts w:hint="default"/>
      </w:rPr>
    </w:lvl>
    <w:lvl w:ilvl="8">
      <w:start w:val="1"/>
      <w:numFmt w:val="bullet"/>
      <w:lvlText w:val="•"/>
      <w:lvlJc w:val="left"/>
      <w:pPr>
        <w:ind w:left="7302" w:hanging="404"/>
      </w:pPr>
      <w:rPr>
        <w:rFonts w:hint="default"/>
      </w:rPr>
    </w:lvl>
  </w:abstractNum>
  <w:abstractNum w:abstractNumId="5">
    <w:multiLevelType w:val="hybridMultilevel"/>
    <w:lvl w:ilvl="0">
      <w:start w:val="6"/>
      <w:numFmt w:val="decimal"/>
      <w:lvlText w:val="%1"/>
      <w:lvlJc w:val="left"/>
      <w:pPr>
        <w:ind w:left="563" w:hanging="404"/>
        <w:jc w:val="left"/>
      </w:pPr>
      <w:rPr>
        <w:rFonts w:hint="default"/>
      </w:rPr>
    </w:lvl>
    <w:lvl w:ilvl="1">
      <w:start w:val="2"/>
      <w:numFmt w:val="decimal"/>
      <w:lvlText w:val="%1.%2"/>
      <w:lvlJc w:val="left"/>
      <w:pPr>
        <w:ind w:left="563" w:hanging="404"/>
        <w:jc w:val="right"/>
      </w:pPr>
      <w:rPr>
        <w:rFonts w:hint="default" w:ascii="Arial" w:hAnsi="Arial" w:eastAsia="Arial" w:cs="Arial"/>
        <w:b/>
        <w:bCs/>
        <w:w w:val="99"/>
        <w:sz w:val="24"/>
        <w:szCs w:val="24"/>
      </w:rPr>
    </w:lvl>
    <w:lvl w:ilvl="2">
      <w:start w:val="1"/>
      <w:numFmt w:val="bullet"/>
      <w:lvlText w:val="•"/>
      <w:lvlJc w:val="left"/>
      <w:pPr>
        <w:ind w:left="2280" w:hanging="404"/>
      </w:pPr>
      <w:rPr>
        <w:rFonts w:hint="default"/>
      </w:rPr>
    </w:lvl>
    <w:lvl w:ilvl="3">
      <w:start w:val="1"/>
      <w:numFmt w:val="bullet"/>
      <w:lvlText w:val="•"/>
      <w:lvlJc w:val="left"/>
      <w:pPr>
        <w:ind w:left="3140" w:hanging="404"/>
      </w:pPr>
      <w:rPr>
        <w:rFonts w:hint="default"/>
      </w:rPr>
    </w:lvl>
    <w:lvl w:ilvl="4">
      <w:start w:val="1"/>
      <w:numFmt w:val="bullet"/>
      <w:lvlText w:val="•"/>
      <w:lvlJc w:val="left"/>
      <w:pPr>
        <w:ind w:left="4000" w:hanging="404"/>
      </w:pPr>
      <w:rPr>
        <w:rFonts w:hint="default"/>
      </w:rPr>
    </w:lvl>
    <w:lvl w:ilvl="5">
      <w:start w:val="1"/>
      <w:numFmt w:val="bullet"/>
      <w:lvlText w:val="•"/>
      <w:lvlJc w:val="left"/>
      <w:pPr>
        <w:ind w:left="4860" w:hanging="404"/>
      </w:pPr>
      <w:rPr>
        <w:rFonts w:hint="default"/>
      </w:rPr>
    </w:lvl>
    <w:lvl w:ilvl="6">
      <w:start w:val="1"/>
      <w:numFmt w:val="bullet"/>
      <w:lvlText w:val="•"/>
      <w:lvlJc w:val="left"/>
      <w:pPr>
        <w:ind w:left="5720" w:hanging="404"/>
      </w:pPr>
      <w:rPr>
        <w:rFonts w:hint="default"/>
      </w:rPr>
    </w:lvl>
    <w:lvl w:ilvl="7">
      <w:start w:val="1"/>
      <w:numFmt w:val="bullet"/>
      <w:lvlText w:val="•"/>
      <w:lvlJc w:val="left"/>
      <w:pPr>
        <w:ind w:left="6580" w:hanging="404"/>
      </w:pPr>
      <w:rPr>
        <w:rFonts w:hint="default"/>
      </w:rPr>
    </w:lvl>
    <w:lvl w:ilvl="8">
      <w:start w:val="1"/>
      <w:numFmt w:val="bullet"/>
      <w:lvlText w:val="•"/>
      <w:lvlJc w:val="left"/>
      <w:pPr>
        <w:ind w:left="7440" w:hanging="404"/>
      </w:pPr>
      <w:rPr>
        <w:rFonts w:hint="default"/>
      </w:rPr>
    </w:lvl>
  </w:abstractNum>
  <w:abstractNum w:abstractNumId="4">
    <w:multiLevelType w:val="hybridMultilevel"/>
    <w:lvl w:ilvl="0">
      <w:start w:val="3"/>
      <w:numFmt w:val="decimal"/>
      <w:lvlText w:val="%1."/>
      <w:lvlJc w:val="left"/>
      <w:pPr>
        <w:ind w:left="520" w:hanging="361"/>
        <w:jc w:val="left"/>
      </w:pPr>
      <w:rPr>
        <w:rFonts w:hint="default"/>
        <w:b/>
        <w:bCs/>
        <w:spacing w:val="-2"/>
        <w:w w:val="100"/>
      </w:rPr>
    </w:lvl>
    <w:lvl w:ilvl="1">
      <w:start w:val="1"/>
      <w:numFmt w:val="bullet"/>
      <w:lvlText w:val=""/>
      <w:lvlJc w:val="left"/>
      <w:pPr>
        <w:ind w:left="880" w:hanging="346"/>
      </w:pPr>
      <w:rPr>
        <w:rFonts w:hint="default" w:ascii="Symbol" w:hAnsi="Symbol" w:eastAsia="Symbol" w:cs="Symbol"/>
        <w:w w:val="100"/>
        <w:sz w:val="24"/>
        <w:szCs w:val="24"/>
      </w:rPr>
    </w:lvl>
    <w:lvl w:ilvl="2">
      <w:start w:val="1"/>
      <w:numFmt w:val="bullet"/>
      <w:lvlText w:val="•"/>
      <w:lvlJc w:val="left"/>
      <w:pPr>
        <w:ind w:left="1800" w:hanging="346"/>
      </w:pPr>
      <w:rPr>
        <w:rFonts w:hint="default"/>
      </w:rPr>
    </w:lvl>
    <w:lvl w:ilvl="3">
      <w:start w:val="1"/>
      <w:numFmt w:val="bullet"/>
      <w:lvlText w:val="•"/>
      <w:lvlJc w:val="left"/>
      <w:pPr>
        <w:ind w:left="2720" w:hanging="346"/>
      </w:pPr>
      <w:rPr>
        <w:rFonts w:hint="default"/>
      </w:rPr>
    </w:lvl>
    <w:lvl w:ilvl="4">
      <w:start w:val="1"/>
      <w:numFmt w:val="bullet"/>
      <w:lvlText w:val="•"/>
      <w:lvlJc w:val="left"/>
      <w:pPr>
        <w:ind w:left="3640" w:hanging="346"/>
      </w:pPr>
      <w:rPr>
        <w:rFonts w:hint="default"/>
      </w:rPr>
    </w:lvl>
    <w:lvl w:ilvl="5">
      <w:start w:val="1"/>
      <w:numFmt w:val="bullet"/>
      <w:lvlText w:val="•"/>
      <w:lvlJc w:val="left"/>
      <w:pPr>
        <w:ind w:left="4560" w:hanging="346"/>
      </w:pPr>
      <w:rPr>
        <w:rFonts w:hint="default"/>
      </w:rPr>
    </w:lvl>
    <w:lvl w:ilvl="6">
      <w:start w:val="1"/>
      <w:numFmt w:val="bullet"/>
      <w:lvlText w:val="•"/>
      <w:lvlJc w:val="left"/>
      <w:pPr>
        <w:ind w:left="5480" w:hanging="346"/>
      </w:pPr>
      <w:rPr>
        <w:rFonts w:hint="default"/>
      </w:rPr>
    </w:lvl>
    <w:lvl w:ilvl="7">
      <w:start w:val="1"/>
      <w:numFmt w:val="bullet"/>
      <w:lvlText w:val="•"/>
      <w:lvlJc w:val="left"/>
      <w:pPr>
        <w:ind w:left="6400" w:hanging="346"/>
      </w:pPr>
      <w:rPr>
        <w:rFonts w:hint="default"/>
      </w:rPr>
    </w:lvl>
    <w:lvl w:ilvl="8">
      <w:start w:val="1"/>
      <w:numFmt w:val="bullet"/>
      <w:lvlText w:val="•"/>
      <w:lvlJc w:val="left"/>
      <w:pPr>
        <w:ind w:left="7320" w:hanging="346"/>
      </w:pPr>
      <w:rPr>
        <w:rFonts w:hint="default"/>
      </w:rPr>
    </w:lvl>
  </w:abstractNum>
  <w:abstractNum w:abstractNumId="3">
    <w:multiLevelType w:val="hybridMultilevel"/>
    <w:lvl w:ilvl="0">
      <w:start w:val="1"/>
      <w:numFmt w:val="decimal"/>
      <w:lvlText w:val="%1."/>
      <w:lvlJc w:val="left"/>
      <w:pPr>
        <w:ind w:left="467" w:hanging="308"/>
        <w:jc w:val="left"/>
      </w:pPr>
      <w:rPr>
        <w:rFonts w:hint="default" w:ascii="Arial" w:hAnsi="Arial" w:eastAsia="Arial" w:cs="Arial"/>
        <w:b/>
        <w:bCs/>
        <w:spacing w:val="-2"/>
        <w:w w:val="99"/>
        <w:sz w:val="28"/>
        <w:szCs w:val="28"/>
      </w:rPr>
    </w:lvl>
    <w:lvl w:ilvl="1">
      <w:start w:val="1"/>
      <w:numFmt w:val="bullet"/>
      <w:lvlText w:val="•"/>
      <w:lvlJc w:val="left"/>
      <w:pPr>
        <w:ind w:left="1330" w:hanging="308"/>
      </w:pPr>
      <w:rPr>
        <w:rFonts w:hint="default"/>
      </w:rPr>
    </w:lvl>
    <w:lvl w:ilvl="2">
      <w:start w:val="1"/>
      <w:numFmt w:val="bullet"/>
      <w:lvlText w:val="•"/>
      <w:lvlJc w:val="left"/>
      <w:pPr>
        <w:ind w:left="2200" w:hanging="308"/>
      </w:pPr>
      <w:rPr>
        <w:rFonts w:hint="default"/>
      </w:rPr>
    </w:lvl>
    <w:lvl w:ilvl="3">
      <w:start w:val="1"/>
      <w:numFmt w:val="bullet"/>
      <w:lvlText w:val="•"/>
      <w:lvlJc w:val="left"/>
      <w:pPr>
        <w:ind w:left="3070" w:hanging="308"/>
      </w:pPr>
      <w:rPr>
        <w:rFonts w:hint="default"/>
      </w:rPr>
    </w:lvl>
    <w:lvl w:ilvl="4">
      <w:start w:val="1"/>
      <w:numFmt w:val="bullet"/>
      <w:lvlText w:val="•"/>
      <w:lvlJc w:val="left"/>
      <w:pPr>
        <w:ind w:left="3940" w:hanging="308"/>
      </w:pPr>
      <w:rPr>
        <w:rFonts w:hint="default"/>
      </w:rPr>
    </w:lvl>
    <w:lvl w:ilvl="5">
      <w:start w:val="1"/>
      <w:numFmt w:val="bullet"/>
      <w:lvlText w:val="•"/>
      <w:lvlJc w:val="left"/>
      <w:pPr>
        <w:ind w:left="4810" w:hanging="308"/>
      </w:pPr>
      <w:rPr>
        <w:rFonts w:hint="default"/>
      </w:rPr>
    </w:lvl>
    <w:lvl w:ilvl="6">
      <w:start w:val="1"/>
      <w:numFmt w:val="bullet"/>
      <w:lvlText w:val="•"/>
      <w:lvlJc w:val="left"/>
      <w:pPr>
        <w:ind w:left="5680" w:hanging="308"/>
      </w:pPr>
      <w:rPr>
        <w:rFonts w:hint="default"/>
      </w:rPr>
    </w:lvl>
    <w:lvl w:ilvl="7">
      <w:start w:val="1"/>
      <w:numFmt w:val="bullet"/>
      <w:lvlText w:val="•"/>
      <w:lvlJc w:val="left"/>
      <w:pPr>
        <w:ind w:left="6550" w:hanging="308"/>
      </w:pPr>
      <w:rPr>
        <w:rFonts w:hint="default"/>
      </w:rPr>
    </w:lvl>
    <w:lvl w:ilvl="8">
      <w:start w:val="1"/>
      <w:numFmt w:val="bullet"/>
      <w:lvlText w:val="•"/>
      <w:lvlJc w:val="left"/>
      <w:pPr>
        <w:ind w:left="7420" w:hanging="308"/>
      </w:pPr>
      <w:rPr>
        <w:rFonts w:hint="default"/>
      </w:rPr>
    </w:lvl>
  </w:abstractNum>
  <w:abstractNum w:abstractNumId="2">
    <w:multiLevelType w:val="hybridMultilevel"/>
    <w:lvl w:ilvl="0">
      <w:start w:val="7"/>
      <w:numFmt w:val="decimal"/>
      <w:lvlText w:val="%1"/>
      <w:lvlJc w:val="left"/>
      <w:pPr>
        <w:ind w:left="783" w:hanging="403"/>
        <w:jc w:val="left"/>
      </w:pPr>
      <w:rPr>
        <w:rFonts w:hint="default"/>
      </w:rPr>
    </w:lvl>
    <w:lvl w:ilvl="1">
      <w:start w:val="1"/>
      <w:numFmt w:val="decimal"/>
      <w:lvlText w:val="%1.%2"/>
      <w:lvlJc w:val="left"/>
      <w:pPr>
        <w:ind w:left="783" w:hanging="403"/>
        <w:jc w:val="left"/>
      </w:pPr>
      <w:rPr>
        <w:rFonts w:hint="default" w:ascii="Arial" w:hAnsi="Arial" w:eastAsia="Arial" w:cs="Arial"/>
        <w:w w:val="99"/>
        <w:sz w:val="24"/>
        <w:szCs w:val="24"/>
      </w:rPr>
    </w:lvl>
    <w:lvl w:ilvl="2">
      <w:start w:val="1"/>
      <w:numFmt w:val="decimal"/>
      <w:lvlText w:val="%1.%2.%3"/>
      <w:lvlJc w:val="left"/>
      <w:pPr>
        <w:ind w:left="1205" w:hanging="604"/>
        <w:jc w:val="left"/>
      </w:pPr>
      <w:rPr>
        <w:rFonts w:hint="default" w:ascii="Arial" w:hAnsi="Arial" w:eastAsia="Arial" w:cs="Arial"/>
        <w:w w:val="99"/>
        <w:sz w:val="24"/>
        <w:szCs w:val="24"/>
      </w:rPr>
    </w:lvl>
    <w:lvl w:ilvl="3">
      <w:start w:val="1"/>
      <w:numFmt w:val="bullet"/>
      <w:lvlText w:val="•"/>
      <w:lvlJc w:val="left"/>
      <w:pPr>
        <w:ind w:left="2968" w:hanging="604"/>
      </w:pPr>
      <w:rPr>
        <w:rFonts w:hint="default"/>
      </w:rPr>
    </w:lvl>
    <w:lvl w:ilvl="4">
      <w:start w:val="1"/>
      <w:numFmt w:val="bullet"/>
      <w:lvlText w:val="•"/>
      <w:lvlJc w:val="left"/>
      <w:pPr>
        <w:ind w:left="3853" w:hanging="604"/>
      </w:pPr>
      <w:rPr>
        <w:rFonts w:hint="default"/>
      </w:rPr>
    </w:lvl>
    <w:lvl w:ilvl="5">
      <w:start w:val="1"/>
      <w:numFmt w:val="bullet"/>
      <w:lvlText w:val="•"/>
      <w:lvlJc w:val="left"/>
      <w:pPr>
        <w:ind w:left="4737" w:hanging="604"/>
      </w:pPr>
      <w:rPr>
        <w:rFonts w:hint="default"/>
      </w:rPr>
    </w:lvl>
    <w:lvl w:ilvl="6">
      <w:start w:val="1"/>
      <w:numFmt w:val="bullet"/>
      <w:lvlText w:val="•"/>
      <w:lvlJc w:val="left"/>
      <w:pPr>
        <w:ind w:left="5622" w:hanging="604"/>
      </w:pPr>
      <w:rPr>
        <w:rFonts w:hint="default"/>
      </w:rPr>
    </w:lvl>
    <w:lvl w:ilvl="7">
      <w:start w:val="1"/>
      <w:numFmt w:val="bullet"/>
      <w:lvlText w:val="•"/>
      <w:lvlJc w:val="left"/>
      <w:pPr>
        <w:ind w:left="6506" w:hanging="604"/>
      </w:pPr>
      <w:rPr>
        <w:rFonts w:hint="default"/>
      </w:rPr>
    </w:lvl>
    <w:lvl w:ilvl="8">
      <w:start w:val="1"/>
      <w:numFmt w:val="bullet"/>
      <w:lvlText w:val="•"/>
      <w:lvlJc w:val="left"/>
      <w:pPr>
        <w:ind w:left="7391" w:hanging="604"/>
      </w:pPr>
      <w:rPr>
        <w:rFonts w:hint="default"/>
      </w:rPr>
    </w:lvl>
  </w:abstractNum>
  <w:abstractNum w:abstractNumId="1">
    <w:multiLevelType w:val="hybridMultilevel"/>
    <w:lvl w:ilvl="0">
      <w:start w:val="6"/>
      <w:numFmt w:val="decimal"/>
      <w:lvlText w:val="%1"/>
      <w:lvlJc w:val="left"/>
      <w:pPr>
        <w:ind w:left="783" w:hanging="403"/>
        <w:jc w:val="left"/>
      </w:pPr>
      <w:rPr>
        <w:rFonts w:hint="default"/>
      </w:rPr>
    </w:lvl>
    <w:lvl w:ilvl="1">
      <w:start w:val="2"/>
      <w:numFmt w:val="decimal"/>
      <w:lvlText w:val="%1.%2"/>
      <w:lvlJc w:val="left"/>
      <w:pPr>
        <w:ind w:left="783" w:hanging="403"/>
        <w:jc w:val="left"/>
      </w:pPr>
      <w:rPr>
        <w:rFonts w:hint="default" w:ascii="Arial" w:hAnsi="Arial" w:eastAsia="Arial" w:cs="Arial"/>
        <w:w w:val="99"/>
        <w:sz w:val="24"/>
        <w:szCs w:val="24"/>
      </w:rPr>
    </w:lvl>
    <w:lvl w:ilvl="2">
      <w:start w:val="1"/>
      <w:numFmt w:val="bullet"/>
      <w:lvlText w:val="•"/>
      <w:lvlJc w:val="left"/>
      <w:pPr>
        <w:ind w:left="2084" w:hanging="403"/>
      </w:pPr>
      <w:rPr>
        <w:rFonts w:hint="default"/>
      </w:rPr>
    </w:lvl>
    <w:lvl w:ilvl="3">
      <w:start w:val="1"/>
      <w:numFmt w:val="bullet"/>
      <w:lvlText w:val="•"/>
      <w:lvlJc w:val="left"/>
      <w:pPr>
        <w:ind w:left="2968" w:hanging="403"/>
      </w:pPr>
      <w:rPr>
        <w:rFonts w:hint="default"/>
      </w:rPr>
    </w:lvl>
    <w:lvl w:ilvl="4">
      <w:start w:val="1"/>
      <w:numFmt w:val="bullet"/>
      <w:lvlText w:val="•"/>
      <w:lvlJc w:val="left"/>
      <w:pPr>
        <w:ind w:left="3853" w:hanging="403"/>
      </w:pPr>
      <w:rPr>
        <w:rFonts w:hint="default"/>
      </w:rPr>
    </w:lvl>
    <w:lvl w:ilvl="5">
      <w:start w:val="1"/>
      <w:numFmt w:val="bullet"/>
      <w:lvlText w:val="•"/>
      <w:lvlJc w:val="left"/>
      <w:pPr>
        <w:ind w:left="4737" w:hanging="403"/>
      </w:pPr>
      <w:rPr>
        <w:rFonts w:hint="default"/>
      </w:rPr>
    </w:lvl>
    <w:lvl w:ilvl="6">
      <w:start w:val="1"/>
      <w:numFmt w:val="bullet"/>
      <w:lvlText w:val="•"/>
      <w:lvlJc w:val="left"/>
      <w:pPr>
        <w:ind w:left="5622" w:hanging="403"/>
      </w:pPr>
      <w:rPr>
        <w:rFonts w:hint="default"/>
      </w:rPr>
    </w:lvl>
    <w:lvl w:ilvl="7">
      <w:start w:val="1"/>
      <w:numFmt w:val="bullet"/>
      <w:lvlText w:val="•"/>
      <w:lvlJc w:val="left"/>
      <w:pPr>
        <w:ind w:left="6506" w:hanging="403"/>
      </w:pPr>
      <w:rPr>
        <w:rFonts w:hint="default"/>
      </w:rPr>
    </w:lvl>
    <w:lvl w:ilvl="8">
      <w:start w:val="1"/>
      <w:numFmt w:val="bullet"/>
      <w:lvlText w:val="•"/>
      <w:lvlJc w:val="left"/>
      <w:pPr>
        <w:ind w:left="7391" w:hanging="403"/>
      </w:pPr>
      <w:rPr>
        <w:rFonts w:hint="default"/>
      </w:rPr>
    </w:lvl>
  </w:abstractNum>
  <w:abstractNum w:abstractNumId="0">
    <w:multiLevelType w:val="hybridMultilevel"/>
    <w:lvl w:ilvl="0">
      <w:start w:val="1"/>
      <w:numFmt w:val="decimal"/>
      <w:lvlText w:val="%1."/>
      <w:lvlJc w:val="left"/>
      <w:pPr>
        <w:ind w:left="428" w:hanging="269"/>
        <w:jc w:val="left"/>
      </w:pPr>
      <w:rPr>
        <w:rFonts w:hint="default" w:ascii="Arial" w:hAnsi="Arial" w:eastAsia="Arial" w:cs="Arial"/>
        <w:w w:val="99"/>
        <w:sz w:val="24"/>
        <w:szCs w:val="24"/>
      </w:rPr>
    </w:lvl>
    <w:lvl w:ilvl="1">
      <w:start w:val="1"/>
      <w:numFmt w:val="decimal"/>
      <w:lvlText w:val="%1.%2."/>
      <w:lvlJc w:val="left"/>
      <w:pPr>
        <w:ind w:left="851" w:hanging="471"/>
        <w:jc w:val="left"/>
      </w:pPr>
      <w:rPr>
        <w:rFonts w:hint="default" w:ascii="Arial" w:hAnsi="Arial" w:eastAsia="Arial" w:cs="Arial"/>
        <w:w w:val="99"/>
        <w:sz w:val="24"/>
        <w:szCs w:val="24"/>
      </w:rPr>
    </w:lvl>
    <w:lvl w:ilvl="2">
      <w:start w:val="1"/>
      <w:numFmt w:val="bullet"/>
      <w:lvlText w:val="•"/>
      <w:lvlJc w:val="left"/>
      <w:pPr>
        <w:ind w:left="1782" w:hanging="471"/>
      </w:pPr>
      <w:rPr>
        <w:rFonts w:hint="default"/>
      </w:rPr>
    </w:lvl>
    <w:lvl w:ilvl="3">
      <w:start w:val="1"/>
      <w:numFmt w:val="bullet"/>
      <w:lvlText w:val="•"/>
      <w:lvlJc w:val="left"/>
      <w:pPr>
        <w:ind w:left="2704" w:hanging="471"/>
      </w:pPr>
      <w:rPr>
        <w:rFonts w:hint="default"/>
      </w:rPr>
    </w:lvl>
    <w:lvl w:ilvl="4">
      <w:start w:val="1"/>
      <w:numFmt w:val="bullet"/>
      <w:lvlText w:val="•"/>
      <w:lvlJc w:val="left"/>
      <w:pPr>
        <w:ind w:left="3626" w:hanging="471"/>
      </w:pPr>
      <w:rPr>
        <w:rFonts w:hint="default"/>
      </w:rPr>
    </w:lvl>
    <w:lvl w:ilvl="5">
      <w:start w:val="1"/>
      <w:numFmt w:val="bullet"/>
      <w:lvlText w:val="•"/>
      <w:lvlJc w:val="left"/>
      <w:pPr>
        <w:ind w:left="4548" w:hanging="471"/>
      </w:pPr>
      <w:rPr>
        <w:rFonts w:hint="default"/>
      </w:rPr>
    </w:lvl>
    <w:lvl w:ilvl="6">
      <w:start w:val="1"/>
      <w:numFmt w:val="bullet"/>
      <w:lvlText w:val="•"/>
      <w:lvlJc w:val="left"/>
      <w:pPr>
        <w:ind w:left="5471" w:hanging="471"/>
      </w:pPr>
      <w:rPr>
        <w:rFonts w:hint="default"/>
      </w:rPr>
    </w:lvl>
    <w:lvl w:ilvl="7">
      <w:start w:val="1"/>
      <w:numFmt w:val="bullet"/>
      <w:lvlText w:val="•"/>
      <w:lvlJc w:val="left"/>
      <w:pPr>
        <w:ind w:left="6393" w:hanging="471"/>
      </w:pPr>
      <w:rPr>
        <w:rFonts w:hint="default"/>
      </w:rPr>
    </w:lvl>
    <w:lvl w:ilvl="8">
      <w:start w:val="1"/>
      <w:numFmt w:val="bullet"/>
      <w:lvlText w:val="•"/>
      <w:lvlJc w:val="left"/>
      <w:pPr>
        <w:ind w:left="7315" w:hanging="471"/>
      </w:pPr>
      <w:rPr>
        <w:rFonts w:hint="default"/>
      </w:rPr>
    </w:lvl>
  </w:abstract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242"/>
      <w:ind w:left="428" w:hanging="269"/>
    </w:pPr>
    <w:rPr>
      <w:rFonts w:ascii="Arial" w:hAnsi="Arial" w:eastAsia="Arial" w:cs="Arial"/>
      <w:sz w:val="24"/>
      <w:szCs w:val="24"/>
    </w:rPr>
  </w:style>
  <w:style w:styleId="TOC2" w:type="paragraph">
    <w:name w:val="TOC 2"/>
    <w:basedOn w:val="Normal"/>
    <w:uiPriority w:val="1"/>
    <w:qFormat/>
    <w:pPr>
      <w:spacing w:before="237"/>
      <w:ind w:left="851" w:hanging="471"/>
    </w:pPr>
    <w:rPr>
      <w:rFonts w:ascii="Arial" w:hAnsi="Arial" w:eastAsia="Arial" w:cs="Arial"/>
      <w:sz w:val="24"/>
      <w:szCs w:val="24"/>
    </w:rPr>
  </w:style>
  <w:style w:styleId="TOC3" w:type="paragraph">
    <w:name w:val="TOC 3"/>
    <w:basedOn w:val="Normal"/>
    <w:uiPriority w:val="1"/>
    <w:qFormat/>
    <w:pPr>
      <w:spacing w:before="242"/>
      <w:ind w:left="783" w:hanging="403"/>
    </w:pPr>
    <w:rPr>
      <w:rFonts w:ascii="Arial" w:hAnsi="Arial" w:eastAsia="Arial" w:cs="Arial"/>
      <w:sz w:val="24"/>
      <w:szCs w:val="24"/>
    </w:rPr>
  </w:style>
  <w:style w:styleId="TOC4" w:type="paragraph">
    <w:name w:val="TOC 4"/>
    <w:basedOn w:val="Normal"/>
    <w:uiPriority w:val="1"/>
    <w:qFormat/>
    <w:pPr>
      <w:spacing w:before="242"/>
      <w:ind w:left="1205" w:hanging="604"/>
    </w:pPr>
    <w:rPr>
      <w:rFonts w:ascii="Arial" w:hAnsi="Arial" w:eastAsia="Arial" w:cs="Arial"/>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63"/>
      <w:ind w:left="467"/>
      <w:outlineLvl w:val="1"/>
    </w:pPr>
    <w:rPr>
      <w:rFonts w:ascii="Arial" w:hAnsi="Arial" w:eastAsia="Arial" w:cs="Arial"/>
      <w:b/>
      <w:bCs/>
      <w:sz w:val="28"/>
      <w:szCs w:val="28"/>
    </w:rPr>
  </w:style>
  <w:style w:styleId="Heading2" w:type="paragraph">
    <w:name w:val="Heading 2"/>
    <w:basedOn w:val="Normal"/>
    <w:uiPriority w:val="1"/>
    <w:qFormat/>
    <w:pPr>
      <w:ind w:left="159"/>
      <w:jc w:val="both"/>
      <w:outlineLvl w:val="2"/>
    </w:pPr>
    <w:rPr>
      <w:rFonts w:ascii="Arial" w:hAnsi="Arial" w:eastAsia="Arial" w:cs="Arial"/>
      <w:b/>
      <w:bCs/>
      <w:sz w:val="26"/>
      <w:szCs w:val="26"/>
    </w:rPr>
  </w:style>
  <w:style w:styleId="Heading3" w:type="paragraph">
    <w:name w:val="Heading 3"/>
    <w:basedOn w:val="Normal"/>
    <w:uiPriority w:val="1"/>
    <w:qFormat/>
    <w:pPr>
      <w:ind w:left="159" w:right="3245"/>
      <w:outlineLvl w:val="3"/>
    </w:pPr>
    <w:rPr>
      <w:rFonts w:ascii="Arial" w:hAnsi="Arial" w:eastAsia="Arial" w:cs="Arial"/>
      <w:b/>
      <w:bCs/>
      <w:sz w:val="24"/>
      <w:szCs w:val="24"/>
    </w:rPr>
  </w:style>
  <w:style w:styleId="Heading4" w:type="paragraph">
    <w:name w:val="Heading 4"/>
    <w:basedOn w:val="Normal"/>
    <w:uiPriority w:val="1"/>
    <w:qFormat/>
    <w:pPr>
      <w:ind w:left="159"/>
      <w:jc w:val="both"/>
      <w:outlineLvl w:val="4"/>
    </w:pPr>
    <w:rPr>
      <w:rFonts w:ascii="Arial" w:hAnsi="Arial" w:eastAsia="Arial" w:cs="Arial"/>
      <w:b/>
      <w:bCs/>
      <w:i/>
      <w:sz w:val="24"/>
      <w:szCs w:val="24"/>
    </w:rPr>
  </w:style>
  <w:style w:styleId="ListParagraph" w:type="paragraph">
    <w:name w:val="List Paragraph"/>
    <w:basedOn w:val="Normal"/>
    <w:uiPriority w:val="1"/>
    <w:qFormat/>
    <w:pPr>
      <w:spacing w:before="8"/>
      <w:ind w:left="159"/>
    </w:pPr>
    <w:rPr>
      <w:rFonts w:ascii="Arial" w:hAnsi="Arial" w:eastAsia="Arial" w:cs="Arial"/>
    </w:rPr>
  </w:style>
  <w:style w:styleId="TableParagraph" w:type="paragraph">
    <w:name w:val="Table Paragraph"/>
    <w:basedOn w:val="Normal"/>
    <w:uiPriority w:val="1"/>
    <w:qFormat/>
    <w:pPr>
      <w:ind w:left="200"/>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header" Target="header2.xml"/><Relationship Id="rId7" Type="http://schemas.openxmlformats.org/officeDocument/2006/relationships/header" Target="header3.xml"/><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header" Target="header4.xml"/><Relationship Id="rId11" Type="http://schemas.openxmlformats.org/officeDocument/2006/relationships/header" Target="header5.xml"/><Relationship Id="rId12" Type="http://schemas.openxmlformats.org/officeDocument/2006/relationships/footer" Target="footer3.xml"/><Relationship Id="rId13" Type="http://schemas.openxmlformats.org/officeDocument/2006/relationships/footer" Target="footer4.xml"/><Relationship Id="rId14" Type="http://schemas.openxmlformats.org/officeDocument/2006/relationships/image" Target="media/image2.jpeg"/><Relationship Id="rId15" Type="http://schemas.openxmlformats.org/officeDocument/2006/relationships/image" Target="media/image3.jpeg"/><Relationship Id="rId16" Type="http://schemas.openxmlformats.org/officeDocument/2006/relationships/image" Target="media/image4.jpeg"/><Relationship Id="rId17" Type="http://schemas.openxmlformats.org/officeDocument/2006/relationships/image" Target="media/image5.jpeg"/><Relationship Id="rId18" Type="http://schemas.openxmlformats.org/officeDocument/2006/relationships/hyperlink" Target="http://www.ncbi.nlm.nih.gov/pubmed?term=Smits%20E%5BAuthor%5D&amp;amp;cauthor=true&amp;amp;cauthor_uid=10438317" TargetMode="External"/><Relationship Id="rId19" Type="http://schemas.openxmlformats.org/officeDocument/2006/relationships/image" Target="media/image6.jpeg"/><Relationship Id="rId20" Type="http://schemas.openxmlformats.org/officeDocument/2006/relationships/image" Target="media/image7.jpeg"/><Relationship Id="rId21" Type="http://schemas.openxmlformats.org/officeDocument/2006/relationships/image" Target="media/image8.jpeg"/><Relationship Id="rId22" Type="http://schemas.openxmlformats.org/officeDocument/2006/relationships/image" Target="media/image9.jpeg"/><Relationship Id="rId23" Type="http://schemas.openxmlformats.org/officeDocument/2006/relationships/image" Target="media/image10.jpeg"/><Relationship Id="rId24" Type="http://schemas.openxmlformats.org/officeDocument/2006/relationships/image" Target="media/image11.png"/><Relationship Id="rId25" Type="http://schemas.openxmlformats.org/officeDocument/2006/relationships/image" Target="media/image12.png"/><Relationship Id="rId26" Type="http://schemas.openxmlformats.org/officeDocument/2006/relationships/image" Target="media/image13.jpeg"/><Relationship Id="rId27" Type="http://schemas.openxmlformats.org/officeDocument/2006/relationships/image" Target="media/image14.png"/><Relationship Id="rId28" Type="http://schemas.openxmlformats.org/officeDocument/2006/relationships/image" Target="media/image15.png"/><Relationship Id="rId29" Type="http://schemas.openxmlformats.org/officeDocument/2006/relationships/image" Target="media/image16.png"/><Relationship Id="rId30" Type="http://schemas.openxmlformats.org/officeDocument/2006/relationships/image" Target="media/image17.png"/><Relationship Id="rId31" Type="http://schemas.openxmlformats.org/officeDocument/2006/relationships/image" Target="media/image18.png"/><Relationship Id="rId32" Type="http://schemas.openxmlformats.org/officeDocument/2006/relationships/image" Target="media/image19.jpeg"/><Relationship Id="rId33" Type="http://schemas.openxmlformats.org/officeDocument/2006/relationships/image" Target="media/image20.jpeg"/><Relationship Id="rId34" Type="http://schemas.openxmlformats.org/officeDocument/2006/relationships/image" Target="media/image21.png"/><Relationship Id="rId35" Type="http://schemas.openxmlformats.org/officeDocument/2006/relationships/image" Target="media/image22.png"/><Relationship Id="rId36" Type="http://schemas.openxmlformats.org/officeDocument/2006/relationships/image" Target="media/image23.jpeg"/><Relationship Id="rId37" Type="http://schemas.openxmlformats.org/officeDocument/2006/relationships/image" Target="media/image24.jpeg"/><Relationship Id="rId38" Type="http://schemas.openxmlformats.org/officeDocument/2006/relationships/image" Target="media/image25.jpeg"/><Relationship Id="rId39" Type="http://schemas.openxmlformats.org/officeDocument/2006/relationships/image" Target="media/image26.jpeg"/><Relationship Id="rId40" Type="http://schemas.openxmlformats.org/officeDocument/2006/relationships/image" Target="media/image27.png"/><Relationship Id="rId41" Type="http://schemas.openxmlformats.org/officeDocument/2006/relationships/image" Target="media/image28.jpeg"/><Relationship Id="rId42" Type="http://schemas.openxmlformats.org/officeDocument/2006/relationships/image" Target="media/image29.jpeg"/><Relationship Id="rId43" Type="http://schemas.openxmlformats.org/officeDocument/2006/relationships/hyperlink" Target="mailto:vvo@uaemex.mx" TargetMode="External"/><Relationship Id="rId44" Type="http://schemas.openxmlformats.org/officeDocument/2006/relationships/footer" Target="footer5.xml"/><Relationship Id="rId45" Type="http://schemas.openxmlformats.org/officeDocument/2006/relationships/footer" Target="footer6.xml"/><Relationship Id="rId46" Type="http://schemas.openxmlformats.org/officeDocument/2006/relationships/hyperlink" Target="http://www.ncbi.nlm.nih.gov/pubmed?term=Burvenich%20C%5BAuthor%5D&amp;amp;cauthor=true&amp;amp;cauthor_uid=10438317" TargetMode="External"/><Relationship Id="rId47" Type="http://schemas.openxmlformats.org/officeDocument/2006/relationships/hyperlink" Target="http://www.ncbi.nlm.nih.gov/pubmed?term=Guidry%20AJ%5BAuthor%5D&amp;amp;cauthor=true&amp;amp;cauthor_uid=10438317" TargetMode="External"/><Relationship Id="rId48" Type="http://schemas.openxmlformats.org/officeDocument/2006/relationships/hyperlink" Target="http://www.ncbi.nlm.nih.gov/pubmed?term=Heyneman%20R%5BAuthor%5D&amp;amp;cauthor=true&amp;amp;cauthor_uid=10438317" TargetMode="External"/><Relationship Id="rId49" Type="http://schemas.openxmlformats.org/officeDocument/2006/relationships/hyperlink" Target="http://www.ncbi.nlm.nih.gov/pubmed?term=Massart-Le%C3%ABn%20A%5BAuthor%5D&amp;amp;cauthor=true&amp;amp;cauthor_uid=10438317" TargetMode="External"/><Relationship Id="rId50" Type="http://schemas.openxmlformats.org/officeDocument/2006/relationships/image" Target="media/image30.jpeg"/><Relationship Id="rId51" Type="http://schemas.openxmlformats.org/officeDocument/2006/relationships/hyperlink" Target="http://www.ncbi.nlm.nih.gov/pubmed/10438317" TargetMode="External"/><Relationship Id="rId52" Type="http://schemas.openxmlformats.org/officeDocument/2006/relationships/footer" Target="footer7.xml"/><Relationship Id="rId53" Type="http://schemas.openxmlformats.org/officeDocument/2006/relationships/numbering" Target="numbering.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juan</dc:creator>
  <dc:title>VACAS LECHERAS INDUCIDA POR LOS TIPOS CAPSULARERS 5 Y 8 DE Staphylococcus aureus</dc:title>
  <dcterms:created xsi:type="dcterms:W3CDTF">2017-05-26T17:52:36Z</dcterms:created>
  <dcterms:modified xsi:type="dcterms:W3CDTF">2017-05-26T17:52:36Z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2013-11-07T00:00:00Z</vt:filetime>
  </property>
  <property fmtid="{D5CDD505-2E9C-101B-9397-08002B2CF9AE}" pid="3" name="Creator">
    <vt:lpwstr>Microsoft® Word 2010</vt:lpwstr>
  </property>
  <property fmtid="{D5CDD505-2E9C-101B-9397-08002B2CF9AE}" pid="4" name="LastSaved">
    <vt:filetime>2017-05-26T00:00:00Z</vt:filetime>
  </property>
</Properties>
</file>