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3"/>
        <w:rPr>
          <w:sz w:val="21"/>
        </w:rPr>
      </w:pPr>
    </w:p>
    <w:p>
      <w:pPr>
        <w:spacing w:before="63"/>
        <w:ind w:left="2499" w:right="226" w:firstLine="0"/>
        <w:jc w:val="center"/>
        <w:rPr>
          <w:sz w:val="28"/>
        </w:rPr>
      </w:pPr>
      <w:r>
        <w:rPr/>
        <w:drawing>
          <wp:anchor distT="0" distB="0" distL="0" distR="0" allowOverlap="1" layoutInCell="1" locked="0" behindDoc="0" simplePos="0" relativeHeight="1096">
            <wp:simplePos x="0" y="0"/>
            <wp:positionH relativeFrom="page">
              <wp:posOffset>626109</wp:posOffset>
            </wp:positionH>
            <wp:positionV relativeFrom="paragraph">
              <wp:posOffset>-91944</wp:posOffset>
            </wp:positionV>
            <wp:extent cx="1152525" cy="1032509"/>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152525" cy="1032509"/>
                    </a:xfrm>
                    <a:prstGeom prst="rect">
                      <a:avLst/>
                    </a:prstGeom>
                  </pic:spPr>
                </pic:pic>
              </a:graphicData>
            </a:graphic>
          </wp:anchor>
        </w:drawing>
      </w:r>
      <w:r>
        <w:rPr>
          <w:sz w:val="28"/>
        </w:rPr>
        <w:t>UNIVERSIDAD AUTÓNOMA DEL ESTADO DE MÉXICO</w:t>
      </w:r>
    </w:p>
    <w:p>
      <w:pPr>
        <w:pStyle w:val="BodyText"/>
        <w:spacing w:before="11"/>
        <w:rPr>
          <w:sz w:val="27"/>
        </w:rPr>
      </w:pPr>
    </w:p>
    <w:p>
      <w:pPr>
        <w:spacing w:before="0"/>
        <w:ind w:left="2500" w:right="211" w:firstLine="0"/>
        <w:jc w:val="center"/>
        <w:rPr>
          <w:sz w:val="28"/>
        </w:rPr>
      </w:pPr>
      <w:r>
        <w:rPr/>
        <w:pict>
          <v:line style="position:absolute;mso-position-horizontal-relative:page;mso-position-vertical-relative:paragraph;z-index:0;mso-wrap-distance-left:0;mso-wrap-distance-right:0" from="496.4pt,38.220287pt" to="219pt,38.270287pt" stroked="true" strokeweight="1pt" strokecolor="#000000">
            <w10:wrap type="topAndBottom"/>
          </v:line>
        </w:pict>
      </w:r>
      <w:r>
        <w:rPr/>
        <w:pict>
          <v:line style="position:absolute;mso-position-horizontal-relative:page;mso-position-vertical-relative:paragraph;z-index:1072" from="96.199997pt,56.220287pt" to="97.599997pt,481.420287pt" stroked="true" strokeweight="2.75pt" strokecolor="#000000">
            <w10:wrap type="none"/>
          </v:line>
        </w:pict>
      </w:r>
      <w:r>
        <w:rPr>
          <w:sz w:val="28"/>
        </w:rPr>
        <w:t>PROGRAMA MAESTRIA Y DOCTORADO EN CIENCIAS AGROPECUARIAS Y RECURSOS NATURALES</w:t>
      </w:r>
    </w:p>
    <w:p>
      <w:pPr>
        <w:pStyle w:val="BodyText"/>
        <w:spacing w:before="10"/>
        <w:rPr>
          <w:sz w:val="5"/>
        </w:rPr>
      </w:pPr>
    </w:p>
    <w:p>
      <w:pPr>
        <w:pStyle w:val="BodyText"/>
        <w:spacing w:line="50" w:lineRule="exact"/>
        <w:ind w:left="2768"/>
        <w:rPr>
          <w:sz w:val="5"/>
        </w:rPr>
      </w:pPr>
      <w:r>
        <w:rPr>
          <w:position w:val="0"/>
          <w:sz w:val="5"/>
        </w:rPr>
        <w:pict>
          <v:group style="width:341.5pt;height:2.5pt;mso-position-horizontal-relative:char;mso-position-vertical-relative:line" coordorigin="0,0" coordsize="6830,50">
            <v:line style="position:absolute" from="6820,10" to="10,40" stroked="true" strokeweight="1pt" strokecolor="#000000"/>
          </v:group>
        </w:pict>
      </w:r>
      <w:r>
        <w:rPr>
          <w:position w:val="0"/>
          <w:sz w:val="5"/>
        </w:rPr>
      </w:r>
    </w:p>
    <w:p>
      <w:pPr>
        <w:pStyle w:val="BodyText"/>
        <w:rPr>
          <w:sz w:val="28"/>
        </w:rPr>
      </w:pPr>
    </w:p>
    <w:p>
      <w:pPr>
        <w:pStyle w:val="BodyText"/>
        <w:rPr>
          <w:sz w:val="28"/>
        </w:rPr>
      </w:pPr>
    </w:p>
    <w:p>
      <w:pPr>
        <w:pStyle w:val="BodyText"/>
        <w:rPr>
          <w:sz w:val="28"/>
        </w:rPr>
      </w:pPr>
    </w:p>
    <w:p>
      <w:pPr>
        <w:pStyle w:val="BodyText"/>
        <w:spacing w:before="10"/>
        <w:rPr>
          <w:sz w:val="27"/>
        </w:rPr>
      </w:pPr>
    </w:p>
    <w:p>
      <w:pPr>
        <w:spacing w:before="0"/>
        <w:ind w:left="2500" w:right="225" w:firstLine="0"/>
        <w:jc w:val="center"/>
        <w:rPr>
          <w:sz w:val="28"/>
        </w:rPr>
      </w:pPr>
      <w:r>
        <w:rPr>
          <w:sz w:val="28"/>
        </w:rPr>
        <w:t>CARGA PARASITARIA Y SU POSIBLE EFECTO EN ALGUNOS PARÁMETROS MORFOMÉTRICOS DE</w:t>
      </w:r>
    </w:p>
    <w:p>
      <w:pPr>
        <w:spacing w:line="322" w:lineRule="exact" w:before="0"/>
        <w:ind w:left="2500" w:right="226" w:firstLine="0"/>
        <w:jc w:val="center"/>
        <w:rPr>
          <w:sz w:val="28"/>
        </w:rPr>
      </w:pPr>
      <w:r>
        <w:rPr>
          <w:i/>
          <w:sz w:val="28"/>
        </w:rPr>
        <w:t>Girardinichthys multiradiatus </w:t>
      </w:r>
      <w:r>
        <w:rPr>
          <w:sz w:val="28"/>
        </w:rPr>
        <w:t>(Cyprinidontiformes: Goodeidae)</w:t>
      </w:r>
    </w:p>
    <w:p>
      <w:pPr>
        <w:pStyle w:val="BodyText"/>
        <w:rPr>
          <w:sz w:val="28"/>
        </w:rPr>
      </w:pPr>
    </w:p>
    <w:p>
      <w:pPr>
        <w:pStyle w:val="BodyText"/>
        <w:rPr>
          <w:sz w:val="28"/>
        </w:rPr>
      </w:pPr>
    </w:p>
    <w:p>
      <w:pPr>
        <w:pStyle w:val="BodyText"/>
        <w:spacing w:before="2"/>
        <w:rPr>
          <w:sz w:val="27"/>
        </w:rPr>
      </w:pPr>
    </w:p>
    <w:p>
      <w:pPr>
        <w:tabs>
          <w:tab w:pos="2983" w:val="left" w:leader="none"/>
          <w:tab w:pos="3689" w:val="left" w:leader="none"/>
          <w:tab w:pos="4366" w:val="left" w:leader="none"/>
          <w:tab w:pos="4933" w:val="left" w:leader="none"/>
        </w:tabs>
        <w:spacing w:before="0"/>
        <w:ind w:left="2278" w:right="0" w:firstLine="0"/>
        <w:jc w:val="center"/>
        <w:rPr>
          <w:sz w:val="52"/>
        </w:rPr>
      </w:pPr>
      <w:r>
        <w:rPr>
          <w:sz w:val="52"/>
        </w:rPr>
        <w:t>T</w:t>
        <w:tab/>
        <w:t>E</w:t>
        <w:tab/>
        <w:t>S</w:t>
        <w:tab/>
        <w:t>I</w:t>
        <w:tab/>
        <w:t>S</w:t>
      </w:r>
    </w:p>
    <w:p>
      <w:pPr>
        <w:pStyle w:val="BodyText"/>
        <w:rPr>
          <w:sz w:val="52"/>
        </w:rPr>
      </w:pPr>
    </w:p>
    <w:p>
      <w:pPr>
        <w:spacing w:before="377"/>
        <w:ind w:left="2500" w:right="215" w:firstLine="0"/>
        <w:jc w:val="center"/>
        <w:rPr>
          <w:sz w:val="28"/>
        </w:rPr>
      </w:pPr>
      <w:r>
        <w:rPr>
          <w:sz w:val="28"/>
        </w:rPr>
        <w:t>QUE PARA OBTENER EL GRADO DE</w:t>
      </w:r>
    </w:p>
    <w:p>
      <w:pPr>
        <w:spacing w:before="4"/>
        <w:ind w:left="2495" w:right="226" w:firstLine="0"/>
        <w:jc w:val="center"/>
        <w:rPr>
          <w:b/>
          <w:sz w:val="28"/>
        </w:rPr>
      </w:pPr>
      <w:r>
        <w:rPr>
          <w:b/>
          <w:sz w:val="28"/>
        </w:rPr>
        <w:t>Maestra en Ciencias Agropecuarias y Recursos Naturales</w:t>
      </w:r>
    </w:p>
    <w:p>
      <w:pPr>
        <w:pStyle w:val="BodyText"/>
        <w:rPr>
          <w:b/>
          <w:sz w:val="28"/>
        </w:rPr>
      </w:pPr>
    </w:p>
    <w:p>
      <w:pPr>
        <w:pStyle w:val="BodyText"/>
        <w:rPr>
          <w:b/>
          <w:sz w:val="28"/>
        </w:rPr>
      </w:pPr>
    </w:p>
    <w:p>
      <w:pPr>
        <w:pStyle w:val="BodyText"/>
        <w:spacing w:before="10"/>
        <w:rPr>
          <w:b/>
          <w:sz w:val="27"/>
        </w:rPr>
      </w:pPr>
    </w:p>
    <w:p>
      <w:pPr>
        <w:spacing w:before="0"/>
        <w:ind w:left="2500" w:right="213" w:firstLine="0"/>
        <w:jc w:val="center"/>
        <w:rPr>
          <w:sz w:val="28"/>
        </w:rPr>
      </w:pPr>
      <w:r>
        <w:rPr>
          <w:sz w:val="28"/>
        </w:rPr>
        <w:t>PRESENTA:</w:t>
      </w:r>
    </w:p>
    <w:p>
      <w:pPr>
        <w:pStyle w:val="BodyText"/>
        <w:spacing w:before="10"/>
        <w:rPr>
          <w:sz w:val="27"/>
        </w:rPr>
      </w:pPr>
    </w:p>
    <w:p>
      <w:pPr>
        <w:spacing w:before="0"/>
        <w:ind w:left="2500" w:right="222" w:firstLine="0"/>
        <w:jc w:val="center"/>
        <w:rPr>
          <w:sz w:val="28"/>
        </w:rPr>
      </w:pPr>
      <w:r>
        <w:rPr>
          <w:sz w:val="28"/>
        </w:rPr>
        <w:t>ROSARIO AZUCENA GÓMEZ NAVARRETE</w:t>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8"/>
        <w:rPr>
          <w:sz w:val="27"/>
        </w:rPr>
      </w:pPr>
    </w:p>
    <w:p>
      <w:pPr>
        <w:spacing w:before="0"/>
        <w:ind w:left="6260" w:right="0" w:firstLine="0"/>
        <w:jc w:val="left"/>
        <w:rPr>
          <w:sz w:val="21"/>
        </w:rPr>
      </w:pPr>
      <w:r>
        <w:rPr>
          <w:sz w:val="21"/>
        </w:rPr>
        <w:t>TOLUCA, ESTADO DE MÉXICO, 2013.</w:t>
      </w:r>
    </w:p>
    <w:p>
      <w:pPr>
        <w:spacing w:after="0"/>
        <w:jc w:val="left"/>
        <w:rPr>
          <w:sz w:val="21"/>
        </w:rPr>
        <w:sectPr>
          <w:footerReference w:type="default" r:id="rId5"/>
          <w:type w:val="continuous"/>
          <w:pgSz w:w="12240" w:h="15840"/>
          <w:pgMar w:footer="1304" w:top="1500" w:bottom="1500" w:left="880" w:right="1400"/>
          <w:pgNumType w:start="1"/>
        </w:sectPr>
      </w:pPr>
    </w:p>
    <w:p>
      <w:pPr>
        <w:pStyle w:val="BodyText"/>
        <w:spacing w:before="3"/>
        <w:rPr>
          <w:sz w:val="21"/>
        </w:rPr>
      </w:pPr>
    </w:p>
    <w:p>
      <w:pPr>
        <w:spacing w:before="63"/>
        <w:ind w:left="2499" w:right="226" w:firstLine="0"/>
        <w:jc w:val="center"/>
        <w:rPr>
          <w:sz w:val="28"/>
        </w:rPr>
      </w:pPr>
      <w:r>
        <w:rPr/>
        <w:drawing>
          <wp:anchor distT="0" distB="0" distL="0" distR="0" allowOverlap="1" layoutInCell="1" locked="0" behindDoc="0" simplePos="0" relativeHeight="1192">
            <wp:simplePos x="0" y="0"/>
            <wp:positionH relativeFrom="page">
              <wp:posOffset>626109</wp:posOffset>
            </wp:positionH>
            <wp:positionV relativeFrom="paragraph">
              <wp:posOffset>-91944</wp:posOffset>
            </wp:positionV>
            <wp:extent cx="1152525" cy="1032509"/>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152525" cy="1032509"/>
                    </a:xfrm>
                    <a:prstGeom prst="rect">
                      <a:avLst/>
                    </a:prstGeom>
                  </pic:spPr>
                </pic:pic>
              </a:graphicData>
            </a:graphic>
          </wp:anchor>
        </w:drawing>
      </w:r>
      <w:r>
        <w:rPr>
          <w:sz w:val="28"/>
        </w:rPr>
        <w:t>UNIVERSIDAD AUTÓNOMA DEL ESTADO DE MÉXICO</w:t>
      </w:r>
    </w:p>
    <w:p>
      <w:pPr>
        <w:pStyle w:val="BodyText"/>
        <w:spacing w:before="11"/>
        <w:rPr>
          <w:sz w:val="27"/>
        </w:rPr>
      </w:pPr>
    </w:p>
    <w:p>
      <w:pPr>
        <w:spacing w:before="0"/>
        <w:ind w:left="2500" w:right="218" w:firstLine="0"/>
        <w:jc w:val="center"/>
        <w:rPr>
          <w:sz w:val="28"/>
        </w:rPr>
      </w:pPr>
      <w:r>
        <w:rPr/>
        <w:pict>
          <v:line style="position:absolute;mso-position-horizontal-relative:page;mso-position-vertical-relative:paragraph;z-index:1120;mso-wrap-distance-left:0;mso-wrap-distance-right:0" from="496.4pt,38.220287pt" to="219pt,38.270287pt" stroked="true" strokeweight="1pt" strokecolor="#000000">
            <w10:wrap type="topAndBottom"/>
          </v:line>
        </w:pict>
      </w:r>
      <w:r>
        <w:rPr/>
        <w:pict>
          <v:line style="position:absolute;mso-position-horizontal-relative:page;mso-position-vertical-relative:paragraph;z-index:1168" from="96.199997pt,56.220287pt" to="97.599997pt,481.420287pt" stroked="true" strokeweight="2.75pt" strokecolor="#000000">
            <w10:wrap type="none"/>
          </v:line>
        </w:pict>
      </w:r>
      <w:r>
        <w:rPr>
          <w:sz w:val="28"/>
        </w:rPr>
        <w:t>PROGRAMA MAESTRIA Y DOCTORADO EN CIENCIAS AGROPECUARIAS Y RECURSOS NATURALES</w:t>
      </w:r>
    </w:p>
    <w:p>
      <w:pPr>
        <w:pStyle w:val="BodyText"/>
        <w:spacing w:before="10"/>
        <w:rPr>
          <w:sz w:val="5"/>
        </w:rPr>
      </w:pPr>
    </w:p>
    <w:p>
      <w:pPr>
        <w:pStyle w:val="BodyText"/>
        <w:spacing w:line="50" w:lineRule="exact"/>
        <w:ind w:left="2768"/>
        <w:rPr>
          <w:sz w:val="5"/>
        </w:rPr>
      </w:pPr>
      <w:r>
        <w:rPr>
          <w:position w:val="0"/>
          <w:sz w:val="5"/>
        </w:rPr>
        <w:pict>
          <v:group style="width:341.5pt;height:2.5pt;mso-position-horizontal-relative:char;mso-position-vertical-relative:line" coordorigin="0,0" coordsize="6830,50">
            <v:line style="position:absolute" from="6820,10" to="10,40" stroked="true" strokeweight="1pt" strokecolor="#000000"/>
          </v:group>
        </w:pict>
      </w:r>
      <w:r>
        <w:rPr>
          <w:position w:val="0"/>
          <w:sz w:val="5"/>
        </w:rPr>
      </w:r>
    </w:p>
    <w:p>
      <w:pPr>
        <w:pStyle w:val="BodyText"/>
        <w:rPr>
          <w:sz w:val="28"/>
        </w:rPr>
      </w:pPr>
    </w:p>
    <w:p>
      <w:pPr>
        <w:pStyle w:val="BodyText"/>
        <w:rPr>
          <w:sz w:val="28"/>
        </w:rPr>
      </w:pPr>
    </w:p>
    <w:p>
      <w:pPr>
        <w:pStyle w:val="BodyText"/>
        <w:rPr>
          <w:sz w:val="28"/>
        </w:rPr>
      </w:pPr>
    </w:p>
    <w:p>
      <w:pPr>
        <w:pStyle w:val="BodyText"/>
        <w:spacing w:before="10"/>
        <w:rPr>
          <w:sz w:val="27"/>
        </w:rPr>
      </w:pPr>
    </w:p>
    <w:p>
      <w:pPr>
        <w:spacing w:before="0"/>
        <w:ind w:left="2500" w:right="225" w:firstLine="0"/>
        <w:jc w:val="center"/>
        <w:rPr>
          <w:sz w:val="28"/>
        </w:rPr>
      </w:pPr>
      <w:r>
        <w:rPr>
          <w:sz w:val="28"/>
        </w:rPr>
        <w:t>CARGA PARASITARIA Y SU POSIBLE EFECTO EN ALGUNOS PARÁMETROS MORFOMÉTRICOS DE</w:t>
      </w:r>
    </w:p>
    <w:p>
      <w:pPr>
        <w:spacing w:line="322" w:lineRule="exact" w:before="0"/>
        <w:ind w:left="2500" w:right="226" w:firstLine="0"/>
        <w:jc w:val="center"/>
        <w:rPr>
          <w:sz w:val="28"/>
        </w:rPr>
      </w:pPr>
      <w:r>
        <w:rPr>
          <w:i/>
          <w:sz w:val="28"/>
        </w:rPr>
        <w:t>Girardinichthys multiradiatus </w:t>
      </w:r>
      <w:r>
        <w:rPr>
          <w:sz w:val="28"/>
        </w:rPr>
        <w:t>(Cyprinidontiformes: Goodeidae)</w:t>
      </w:r>
    </w:p>
    <w:p>
      <w:pPr>
        <w:pStyle w:val="BodyText"/>
        <w:rPr>
          <w:sz w:val="28"/>
        </w:rPr>
      </w:pPr>
    </w:p>
    <w:p>
      <w:pPr>
        <w:pStyle w:val="BodyText"/>
        <w:spacing w:before="2"/>
        <w:rPr>
          <w:sz w:val="27"/>
        </w:rPr>
      </w:pPr>
    </w:p>
    <w:p>
      <w:pPr>
        <w:tabs>
          <w:tab w:pos="2983" w:val="left" w:leader="none"/>
          <w:tab w:pos="3689" w:val="left" w:leader="none"/>
          <w:tab w:pos="4366" w:val="left" w:leader="none"/>
          <w:tab w:pos="4933" w:val="left" w:leader="none"/>
        </w:tabs>
        <w:spacing w:before="1"/>
        <w:ind w:left="2278" w:right="0" w:firstLine="0"/>
        <w:jc w:val="center"/>
        <w:rPr>
          <w:sz w:val="52"/>
        </w:rPr>
      </w:pPr>
      <w:r>
        <w:rPr>
          <w:sz w:val="52"/>
        </w:rPr>
        <w:t>T</w:t>
        <w:tab/>
        <w:t>E</w:t>
        <w:tab/>
        <w:t>S</w:t>
        <w:tab/>
        <w:t>I</w:t>
        <w:tab/>
        <w:t>S</w:t>
      </w:r>
    </w:p>
    <w:p>
      <w:pPr>
        <w:pStyle w:val="BodyText"/>
        <w:spacing w:before="9"/>
        <w:rPr>
          <w:sz w:val="56"/>
        </w:rPr>
      </w:pPr>
    </w:p>
    <w:p>
      <w:pPr>
        <w:spacing w:before="0"/>
        <w:ind w:left="2500" w:right="222" w:firstLine="0"/>
        <w:jc w:val="center"/>
        <w:rPr>
          <w:sz w:val="28"/>
        </w:rPr>
      </w:pPr>
      <w:r>
        <w:rPr>
          <w:sz w:val="28"/>
        </w:rPr>
        <w:t>QUE PARA OBTENER EL GRADO DE</w:t>
      </w:r>
    </w:p>
    <w:p>
      <w:pPr>
        <w:spacing w:before="4"/>
        <w:ind w:left="2495" w:right="226" w:firstLine="0"/>
        <w:jc w:val="center"/>
        <w:rPr>
          <w:b/>
          <w:sz w:val="28"/>
        </w:rPr>
      </w:pPr>
      <w:r>
        <w:rPr>
          <w:b/>
          <w:sz w:val="28"/>
        </w:rPr>
        <w:t>Maestra en Ciencias Agropecuarias y Recursos Naturales</w:t>
      </w:r>
    </w:p>
    <w:p>
      <w:pPr>
        <w:pStyle w:val="BodyText"/>
        <w:rPr>
          <w:b/>
          <w:sz w:val="28"/>
        </w:rPr>
      </w:pPr>
    </w:p>
    <w:p>
      <w:pPr>
        <w:pStyle w:val="BodyText"/>
        <w:rPr>
          <w:b/>
          <w:sz w:val="28"/>
        </w:rPr>
      </w:pPr>
    </w:p>
    <w:p>
      <w:pPr>
        <w:pStyle w:val="BodyText"/>
        <w:spacing w:before="10"/>
        <w:rPr>
          <w:b/>
          <w:sz w:val="27"/>
        </w:rPr>
      </w:pPr>
    </w:p>
    <w:p>
      <w:pPr>
        <w:spacing w:before="0"/>
        <w:ind w:left="2500" w:right="213" w:firstLine="0"/>
        <w:jc w:val="center"/>
        <w:rPr>
          <w:sz w:val="28"/>
        </w:rPr>
      </w:pPr>
      <w:r>
        <w:rPr>
          <w:sz w:val="28"/>
        </w:rPr>
        <w:t>PRESENTA:</w:t>
      </w:r>
    </w:p>
    <w:p>
      <w:pPr>
        <w:pStyle w:val="BodyText"/>
        <w:spacing w:before="10"/>
        <w:rPr>
          <w:sz w:val="27"/>
        </w:rPr>
      </w:pPr>
    </w:p>
    <w:p>
      <w:pPr>
        <w:spacing w:before="0"/>
        <w:ind w:left="2500" w:right="222" w:firstLine="0"/>
        <w:jc w:val="center"/>
        <w:rPr>
          <w:sz w:val="28"/>
        </w:rPr>
      </w:pPr>
      <w:r>
        <w:rPr>
          <w:sz w:val="28"/>
        </w:rPr>
        <w:t>ROSARIO AZUCENA GÓMEZ NAVARRETE</w:t>
      </w:r>
    </w:p>
    <w:p>
      <w:pPr>
        <w:pStyle w:val="BodyText"/>
        <w:rPr>
          <w:sz w:val="28"/>
        </w:rPr>
      </w:pPr>
    </w:p>
    <w:p>
      <w:pPr>
        <w:pStyle w:val="BodyText"/>
        <w:spacing w:before="9"/>
        <w:rPr>
          <w:sz w:val="27"/>
        </w:rPr>
      </w:pPr>
    </w:p>
    <w:p>
      <w:pPr>
        <w:pStyle w:val="BodyText"/>
        <w:spacing w:line="275" w:lineRule="exact" w:before="1"/>
        <w:ind w:left="2500" w:right="218"/>
        <w:jc w:val="center"/>
      </w:pPr>
      <w:r>
        <w:rPr/>
        <w:t>Comité Tutorial:</w:t>
      </w:r>
    </w:p>
    <w:p>
      <w:pPr>
        <w:pStyle w:val="BodyText"/>
        <w:spacing w:line="275" w:lineRule="exact"/>
        <w:ind w:left="2500" w:right="216"/>
        <w:jc w:val="center"/>
      </w:pPr>
      <w:r>
        <w:rPr/>
        <w:t>DRA. PETRA SÁNCHEZ NAVA</w:t>
      </w:r>
    </w:p>
    <w:p>
      <w:pPr>
        <w:pStyle w:val="BodyText"/>
        <w:spacing w:line="274" w:lineRule="exact" w:before="7"/>
        <w:ind w:left="3473" w:right="1194"/>
        <w:jc w:val="center"/>
      </w:pPr>
      <w:r>
        <w:rPr/>
        <w:t>DR. CONSTANTINO DE JESÚS MACÍAS GARCIA DRA. MÓNICA VANESSA GARDUÑO PAZ.</w:t>
      </w:r>
    </w:p>
    <w:p>
      <w:pPr>
        <w:pStyle w:val="BodyText"/>
      </w:pPr>
    </w:p>
    <w:p>
      <w:pPr>
        <w:pStyle w:val="BodyText"/>
      </w:pPr>
    </w:p>
    <w:p>
      <w:pPr>
        <w:pStyle w:val="BodyText"/>
      </w:pPr>
    </w:p>
    <w:p>
      <w:pPr>
        <w:pStyle w:val="BodyText"/>
      </w:pPr>
    </w:p>
    <w:p>
      <w:pPr>
        <w:pStyle w:val="BodyText"/>
      </w:pPr>
    </w:p>
    <w:p>
      <w:pPr>
        <w:pStyle w:val="BodyText"/>
        <w:spacing w:before="8"/>
        <w:rPr>
          <w:sz w:val="19"/>
        </w:rPr>
      </w:pPr>
    </w:p>
    <w:p>
      <w:pPr>
        <w:spacing w:before="0"/>
        <w:ind w:left="6260" w:right="0" w:firstLine="0"/>
        <w:jc w:val="left"/>
        <w:rPr>
          <w:sz w:val="21"/>
        </w:rPr>
      </w:pPr>
      <w:r>
        <w:rPr>
          <w:sz w:val="21"/>
        </w:rPr>
        <w:t>TOLUCA, ESTADO DE MÉXICO, 2013.</w:t>
      </w:r>
    </w:p>
    <w:p>
      <w:pPr>
        <w:spacing w:after="0"/>
        <w:jc w:val="left"/>
        <w:rPr>
          <w:sz w:val="21"/>
        </w:rPr>
        <w:sectPr>
          <w:pgSz w:w="12240" w:h="15840"/>
          <w:pgMar w:header="0" w:footer="1304" w:top="1500" w:bottom="1560" w:left="880" w:right="1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spacing w:line="275" w:lineRule="exact" w:before="0"/>
        <w:ind w:left="1012" w:right="0" w:firstLine="0"/>
        <w:jc w:val="left"/>
        <w:rPr>
          <w:b/>
          <w:i/>
          <w:sz w:val="24"/>
        </w:rPr>
      </w:pPr>
      <w:r>
        <w:rPr>
          <w:b/>
          <w:i/>
          <w:sz w:val="24"/>
        </w:rPr>
        <w:t>A mi madre y hermanos por su apoyo inigualable y a mi sobrino por los enormes</w:t>
      </w:r>
    </w:p>
    <w:p>
      <w:pPr>
        <w:spacing w:line="275" w:lineRule="exact" w:before="0"/>
        <w:ind w:left="5910" w:right="0" w:firstLine="0"/>
        <w:jc w:val="left"/>
        <w:rPr>
          <w:b/>
          <w:i/>
          <w:sz w:val="24"/>
        </w:rPr>
      </w:pPr>
      <w:r>
        <w:rPr>
          <w:b/>
          <w:i/>
          <w:sz w:val="24"/>
        </w:rPr>
        <w:t>momentos que me ha regalado.</w:t>
      </w:r>
    </w:p>
    <w:p>
      <w:pPr>
        <w:spacing w:after="0" w:line="275" w:lineRule="exact"/>
        <w:jc w:val="left"/>
        <w:rPr>
          <w:sz w:val="24"/>
        </w:rPr>
        <w:sectPr>
          <w:pgSz w:w="12240" w:h="15840"/>
          <w:pgMar w:header="0" w:footer="1304" w:top="1500" w:bottom="1560" w:left="1720" w:right="1420"/>
        </w:sectPr>
      </w:pPr>
    </w:p>
    <w:p>
      <w:pPr>
        <w:pStyle w:val="BodyText"/>
        <w:spacing w:before="1"/>
        <w:rPr>
          <w:b/>
          <w:i/>
          <w:sz w:val="21"/>
        </w:rPr>
      </w:pPr>
    </w:p>
    <w:p>
      <w:pPr>
        <w:pStyle w:val="Heading1"/>
        <w:ind w:left="3430" w:right="3400"/>
        <w:jc w:val="center"/>
      </w:pPr>
      <w:r>
        <w:rPr/>
        <w:t>RESUMEN</w:t>
      </w:r>
    </w:p>
    <w:p>
      <w:pPr>
        <w:pStyle w:val="BodyText"/>
        <w:spacing w:before="7"/>
        <w:rPr>
          <w:b/>
          <w:sz w:val="23"/>
        </w:rPr>
      </w:pPr>
    </w:p>
    <w:p>
      <w:pPr>
        <w:pStyle w:val="BodyText"/>
        <w:ind w:left="152" w:right="115"/>
        <w:jc w:val="both"/>
      </w:pPr>
      <w:r>
        <w:rPr/>
        <w:t>Se analizaron bases de datos pertenecientes a dos poblaciones naturales del pez vivíparo </w:t>
      </w:r>
      <w:r>
        <w:rPr>
          <w:i/>
        </w:rPr>
        <w:t>Girardinichthys multiradiatus </w:t>
      </w:r>
      <w:r>
        <w:rPr/>
        <w:t>en el Estado de México, con datos morfométricos de los organismos, y parámetros de infección como son carga, prevalencia, abundancia, e intensidad de infección; mediante un Análisis de Componentes Principales (PCA), establecimos los datos morfométricos que presentaban el mayor peso estadístico y posteriormente determinamos </w:t>
      </w:r>
      <w:r>
        <w:rPr>
          <w:spacing w:val="-3"/>
        </w:rPr>
        <w:t>las </w:t>
      </w:r>
      <w:r>
        <w:rPr/>
        <w:t>especies parásitas </w:t>
      </w:r>
      <w:r>
        <w:rPr>
          <w:spacing w:val="-3"/>
        </w:rPr>
        <w:t>mas </w:t>
      </w:r>
      <w:r>
        <w:rPr/>
        <w:t>abundantes (</w:t>
      </w:r>
      <w:r>
        <w:rPr>
          <w:i/>
        </w:rPr>
        <w:t>Tylodelphys sp</w:t>
      </w:r>
      <w:r>
        <w:rPr/>
        <w:t>., </w:t>
      </w:r>
      <w:r>
        <w:rPr>
          <w:i/>
        </w:rPr>
        <w:t>B. </w:t>
      </w:r>
      <w:r>
        <w:rPr>
          <w:i/>
        </w:rPr>
        <w:t>acheiloghnathi </w:t>
      </w:r>
      <w:r>
        <w:rPr/>
        <w:t>y </w:t>
      </w:r>
      <w:r>
        <w:rPr>
          <w:i/>
        </w:rPr>
        <w:t>Valipora campylancristrota</w:t>
      </w:r>
      <w:r>
        <w:rPr/>
        <w:t>) y a través de un Análisis de varianza  factorial (ANCOVA) determinamos el efecto del peso y </w:t>
      </w:r>
      <w:r>
        <w:rPr>
          <w:spacing w:val="-3"/>
        </w:rPr>
        <w:t>la </w:t>
      </w:r>
      <w:r>
        <w:rPr/>
        <w:t>talla en </w:t>
      </w:r>
      <w:r>
        <w:rPr>
          <w:spacing w:val="-3"/>
        </w:rPr>
        <w:t>la </w:t>
      </w:r>
      <w:r>
        <w:rPr/>
        <w:t>intensidad parasitaria de cada una de </w:t>
      </w:r>
      <w:r>
        <w:rPr>
          <w:spacing w:val="-5"/>
        </w:rPr>
        <w:t>la </w:t>
      </w:r>
      <w:r>
        <w:rPr/>
        <w:t>especies parásitas en </w:t>
      </w:r>
      <w:r>
        <w:rPr>
          <w:i/>
        </w:rPr>
        <w:t>G. multiradiatus</w:t>
      </w:r>
      <w:r>
        <w:rPr/>
        <w:t>, así como del sexo y </w:t>
      </w:r>
      <w:r>
        <w:rPr>
          <w:spacing w:val="-3"/>
        </w:rPr>
        <w:t>la </w:t>
      </w:r>
      <w:r>
        <w:rPr/>
        <w:t>localidad a </w:t>
      </w:r>
      <w:r>
        <w:rPr>
          <w:spacing w:val="-3"/>
        </w:rPr>
        <w:t>la </w:t>
      </w:r>
      <w:r>
        <w:rPr/>
        <w:t>que pertenecían. También analizamos si existía relación entre </w:t>
      </w:r>
      <w:r>
        <w:rPr>
          <w:spacing w:val="-5"/>
        </w:rPr>
        <w:t>la </w:t>
      </w:r>
      <w:r>
        <w:rPr/>
        <w:t>intensidad parasitaria y  </w:t>
      </w:r>
      <w:r>
        <w:rPr>
          <w:spacing w:val="-3"/>
        </w:rPr>
        <w:t>la </w:t>
      </w:r>
      <w:r>
        <w:rPr/>
        <w:t>talla, peso, profundidad corporal y tamaño </w:t>
      </w:r>
      <w:r>
        <w:rPr>
          <w:spacing w:val="-3"/>
        </w:rPr>
        <w:t>de </w:t>
      </w:r>
      <w:r>
        <w:rPr/>
        <w:t>aletas (éste </w:t>
      </w:r>
      <w:r>
        <w:rPr>
          <w:spacing w:val="-4"/>
        </w:rPr>
        <w:t>ultimo </w:t>
      </w:r>
      <w:r>
        <w:rPr/>
        <w:t>parámetro sólo en machos) mediante un análisis de regresión</w:t>
      </w:r>
      <w:r>
        <w:rPr>
          <w:spacing w:val="-20"/>
        </w:rPr>
        <w:t> </w:t>
      </w:r>
      <w:r>
        <w:rPr/>
        <w:t>simple.</w:t>
      </w:r>
    </w:p>
    <w:p>
      <w:pPr>
        <w:pStyle w:val="BodyText"/>
      </w:pPr>
    </w:p>
    <w:p>
      <w:pPr>
        <w:pStyle w:val="BodyText"/>
        <w:ind w:left="152" w:right="121"/>
        <w:jc w:val="both"/>
      </w:pPr>
      <w:r>
        <w:rPr/>
        <w:t>Diferencias poblacionales en las características del hábitat pueden dar lugar a diferencias </w:t>
      </w:r>
      <w:r>
        <w:rPr>
          <w:spacing w:val="4"/>
        </w:rPr>
        <w:t>en </w:t>
      </w:r>
      <w:r>
        <w:rPr>
          <w:spacing w:val="-3"/>
        </w:rPr>
        <w:t>la </w:t>
      </w:r>
      <w:r>
        <w:rPr/>
        <w:t>vulnerabilidad frente a parásitos. En éste trabajo analizamos </w:t>
      </w:r>
      <w:r>
        <w:rPr>
          <w:spacing w:val="-5"/>
        </w:rPr>
        <w:t>la </w:t>
      </w:r>
      <w:r>
        <w:rPr/>
        <w:t>asociación entre </w:t>
      </w:r>
      <w:r>
        <w:rPr>
          <w:spacing w:val="-3"/>
        </w:rPr>
        <w:t>la </w:t>
      </w:r>
      <w:r>
        <w:rPr/>
        <w:t>presencia de parásitos, y </w:t>
      </w:r>
      <w:r>
        <w:rPr>
          <w:spacing w:val="-5"/>
        </w:rPr>
        <w:t>la </w:t>
      </w:r>
      <w:r>
        <w:rPr/>
        <w:t>talla y peso de dos poblaciones de </w:t>
      </w:r>
      <w:r>
        <w:rPr>
          <w:i/>
        </w:rPr>
        <w:t>Girardinichthys </w:t>
      </w:r>
      <w:r>
        <w:rPr>
          <w:i/>
        </w:rPr>
        <w:t>multiradiatus</w:t>
      </w:r>
      <w:r>
        <w:rPr/>
        <w:t>. </w:t>
      </w:r>
      <w:r>
        <w:rPr>
          <w:spacing w:val="-3"/>
        </w:rPr>
        <w:t>Solo </w:t>
      </w:r>
      <w:r>
        <w:rPr/>
        <w:t>para el caso de </w:t>
      </w:r>
      <w:r>
        <w:rPr>
          <w:spacing w:val="-5"/>
        </w:rPr>
        <w:t>la </w:t>
      </w:r>
      <w:r>
        <w:rPr/>
        <w:t>metacercaria de </w:t>
      </w:r>
      <w:r>
        <w:rPr>
          <w:i/>
        </w:rPr>
        <w:t>Tylodelphys </w:t>
      </w:r>
      <w:r>
        <w:rPr/>
        <w:t>sp. comprobamos que éste parásito </w:t>
      </w:r>
      <w:r>
        <w:rPr>
          <w:spacing w:val="-3"/>
        </w:rPr>
        <w:t>no </w:t>
      </w:r>
      <w:r>
        <w:rPr/>
        <w:t>se encuentra con </w:t>
      </w:r>
      <w:r>
        <w:rPr>
          <w:spacing w:val="-5"/>
        </w:rPr>
        <w:t>la </w:t>
      </w:r>
      <w:r>
        <w:rPr/>
        <w:t>misma probabilidad en los peces de todas </w:t>
      </w:r>
      <w:r>
        <w:rPr>
          <w:spacing w:val="-3"/>
        </w:rPr>
        <w:t>las </w:t>
      </w:r>
      <w:r>
        <w:rPr/>
        <w:t>tallas, edades o sexos., por </w:t>
      </w:r>
      <w:r>
        <w:rPr>
          <w:spacing w:val="-3"/>
        </w:rPr>
        <w:t>ejemplo </w:t>
      </w:r>
      <w:r>
        <w:rPr/>
        <w:t>determinamos que </w:t>
      </w:r>
      <w:r>
        <w:rPr>
          <w:spacing w:val="-3"/>
        </w:rPr>
        <w:t>la </w:t>
      </w:r>
      <w:r>
        <w:rPr/>
        <w:t>intensidad parasitaria se correlaciona positivamente con el peso de los machos de ambas localidades </w:t>
      </w:r>
      <w:r>
        <w:rPr>
          <w:spacing w:val="-5"/>
        </w:rPr>
        <w:t>ya </w:t>
      </w:r>
      <w:r>
        <w:rPr/>
        <w:t>que los </w:t>
      </w:r>
      <w:r>
        <w:rPr>
          <w:spacing w:val="-3"/>
        </w:rPr>
        <w:t>mas </w:t>
      </w:r>
      <w:r>
        <w:rPr/>
        <w:t>pesados son los mas parasitados, mientras que en las hembras de San Juanico </w:t>
      </w:r>
      <w:r>
        <w:rPr>
          <w:spacing w:val="-3"/>
        </w:rPr>
        <w:t>no </w:t>
      </w:r>
      <w:r>
        <w:rPr/>
        <w:t>se ven afectadas por </w:t>
      </w:r>
      <w:r>
        <w:rPr>
          <w:spacing w:val="-3"/>
        </w:rPr>
        <w:t>la </w:t>
      </w:r>
      <w:r>
        <w:rPr/>
        <w:t>carga parasitaria a diferencia de </w:t>
      </w:r>
      <w:r>
        <w:rPr>
          <w:spacing w:val="-3"/>
        </w:rPr>
        <w:t>las </w:t>
      </w:r>
      <w:r>
        <w:rPr/>
        <w:t>hembras y machos de Chicnahuapan que son mayormente parasitados entre </w:t>
      </w:r>
      <w:r>
        <w:rPr>
          <w:spacing w:val="-4"/>
        </w:rPr>
        <w:t>mas </w:t>
      </w:r>
      <w:r>
        <w:rPr/>
        <w:t>pesados y anchos son. Estas diferencias probablemente se deben a diferencias sexuales en </w:t>
      </w:r>
      <w:r>
        <w:rPr>
          <w:spacing w:val="-5"/>
        </w:rPr>
        <w:t>la </w:t>
      </w:r>
      <w:r>
        <w:rPr/>
        <w:t>conducta sexual y al dimorfismo sexual, que es marcado en esta</w:t>
      </w:r>
      <w:r>
        <w:rPr>
          <w:spacing w:val="-12"/>
        </w:rPr>
        <w:t> </w:t>
      </w:r>
      <w:r>
        <w:rPr/>
        <w:t>especie.</w:t>
      </w:r>
    </w:p>
    <w:p>
      <w:pPr>
        <w:pStyle w:val="BodyText"/>
        <w:ind w:left="152" w:right="122"/>
        <w:jc w:val="both"/>
      </w:pPr>
      <w:r>
        <w:rPr/>
        <w:t>Adicionalmente encontramos una relación significativa entre la carga parasitaria de estos peces y algunos parámetros morfométricos. Finalmente, encontramos que las asociaciones entre intensidad parasitaria y la morfometría incluyendo el peso en cada sexo difieren entre localidades, lo que puede ser una consecuencia directa de la estructura del hábitat sobre la exposición a parásitos, o indirecta, como resultado de diferencias en la intensidad con que opera la selección sexual en ambas localidades.</w:t>
      </w:r>
    </w:p>
    <w:p>
      <w:pPr>
        <w:pStyle w:val="BodyText"/>
      </w:pPr>
    </w:p>
    <w:p>
      <w:pPr>
        <w:pStyle w:val="BodyText"/>
        <w:spacing w:before="9"/>
        <w:rPr>
          <w:sz w:val="23"/>
        </w:rPr>
      </w:pPr>
    </w:p>
    <w:p>
      <w:pPr>
        <w:spacing w:line="242" w:lineRule="auto" w:before="0"/>
        <w:ind w:left="152" w:right="130" w:firstLine="0"/>
        <w:jc w:val="both"/>
        <w:rPr>
          <w:sz w:val="24"/>
        </w:rPr>
      </w:pPr>
      <w:r>
        <w:rPr>
          <w:sz w:val="24"/>
        </w:rPr>
        <w:t>Palabras clave: </w:t>
      </w:r>
      <w:r>
        <w:rPr>
          <w:i/>
          <w:sz w:val="24"/>
        </w:rPr>
        <w:t>Girardinichthys multiradiatus</w:t>
      </w:r>
      <w:r>
        <w:rPr>
          <w:sz w:val="24"/>
        </w:rPr>
        <w:t>; intensidad parasitaria; poblaciones; talla corporal; especificidad hospedera.</w:t>
      </w:r>
    </w:p>
    <w:p>
      <w:pPr>
        <w:spacing w:after="0" w:line="242" w:lineRule="auto"/>
        <w:jc w:val="both"/>
        <w:rPr>
          <w:sz w:val="24"/>
        </w:rPr>
        <w:sectPr>
          <w:pgSz w:w="12240" w:h="15840"/>
          <w:pgMar w:header="0" w:footer="1304" w:top="1500" w:bottom="1560" w:left="1720" w:right="1400"/>
        </w:sectPr>
      </w:pPr>
    </w:p>
    <w:p>
      <w:pPr>
        <w:pStyle w:val="BodyText"/>
        <w:rPr>
          <w:sz w:val="20"/>
        </w:rPr>
      </w:pPr>
    </w:p>
    <w:p>
      <w:pPr>
        <w:pStyle w:val="BodyText"/>
        <w:spacing w:before="10"/>
      </w:pPr>
    </w:p>
    <w:p>
      <w:pPr>
        <w:pStyle w:val="Heading1"/>
        <w:ind w:left="3430" w:right="3398"/>
        <w:jc w:val="center"/>
      </w:pPr>
      <w:r>
        <w:rPr/>
        <w:t>ABSTRACT</w:t>
      </w:r>
    </w:p>
    <w:p>
      <w:pPr>
        <w:pStyle w:val="BodyText"/>
        <w:spacing w:before="7"/>
        <w:rPr>
          <w:b/>
          <w:sz w:val="23"/>
        </w:rPr>
      </w:pPr>
    </w:p>
    <w:p>
      <w:pPr>
        <w:pStyle w:val="BodyText"/>
        <w:ind w:left="152" w:right="117"/>
        <w:jc w:val="both"/>
      </w:pPr>
      <w:r>
        <w:rPr>
          <w:spacing w:val="-3"/>
        </w:rPr>
        <w:t>We </w:t>
      </w:r>
      <w:r>
        <w:rPr/>
        <w:t>analyze two natural populations databases of viviparous fish </w:t>
      </w:r>
      <w:r>
        <w:rPr>
          <w:i/>
        </w:rPr>
        <w:t>Girardinichthys </w:t>
      </w:r>
      <w:r>
        <w:rPr>
          <w:i/>
        </w:rPr>
        <w:t>multiradiatus </w:t>
      </w:r>
      <w:r>
        <w:rPr>
          <w:spacing w:val="-3"/>
        </w:rPr>
        <w:t>in </w:t>
      </w:r>
      <w:r>
        <w:rPr/>
        <w:t>the State of Mexico we consider morphometric parameters of each organism i.e. body size, weight, body depth, </w:t>
      </w:r>
      <w:r>
        <w:rPr>
          <w:spacing w:val="-3"/>
        </w:rPr>
        <w:t>size </w:t>
      </w:r>
      <w:r>
        <w:rPr/>
        <w:t>of </w:t>
      </w:r>
      <w:r>
        <w:rPr>
          <w:spacing w:val="-3"/>
        </w:rPr>
        <w:t>fins </w:t>
      </w:r>
      <w:r>
        <w:rPr/>
        <w:t>(the latter parameter only </w:t>
      </w:r>
      <w:r>
        <w:rPr>
          <w:spacing w:val="-3"/>
        </w:rPr>
        <w:t>in </w:t>
      </w:r>
      <w:r>
        <w:rPr/>
        <w:t>males) and the infection parameters utilized are parasite load, prevalence (% infected) and mean intensity of infection (number of parasites per infected fish). The potential relationships among the studied morphometric variables were analyzed using a Principal Component Analysis (PCA) and determine the </w:t>
      </w:r>
      <w:r>
        <w:rPr>
          <w:spacing w:val="-3"/>
        </w:rPr>
        <w:t>most </w:t>
      </w:r>
      <w:r>
        <w:rPr/>
        <w:t>abundant parasite species (</w:t>
      </w:r>
      <w:r>
        <w:rPr>
          <w:i/>
        </w:rPr>
        <w:t>Tylodelphys </w:t>
      </w:r>
      <w:r>
        <w:rPr/>
        <w:t>sp., </w:t>
      </w:r>
      <w:r>
        <w:rPr>
          <w:i/>
        </w:rPr>
        <w:t>B. </w:t>
      </w:r>
      <w:r>
        <w:rPr>
          <w:i/>
        </w:rPr>
        <w:t>acheiloghnathi </w:t>
      </w:r>
      <w:r>
        <w:rPr/>
        <w:t>and </w:t>
      </w:r>
      <w:r>
        <w:rPr>
          <w:i/>
        </w:rPr>
        <w:t>Valipora campylancristrota</w:t>
      </w:r>
      <w:r>
        <w:rPr/>
        <w:t>) and through a factorial analysis </w:t>
      </w:r>
      <w:r>
        <w:rPr>
          <w:spacing w:val="7"/>
        </w:rPr>
        <w:t>of </w:t>
      </w:r>
      <w:r>
        <w:rPr/>
        <w:t>variance (ANCOVA) we determine the effect of weight and body size </w:t>
      </w:r>
      <w:r>
        <w:rPr>
          <w:spacing w:val="-3"/>
        </w:rPr>
        <w:t>in </w:t>
      </w:r>
      <w:r>
        <w:rPr/>
        <w:t>the intensity </w:t>
      </w:r>
      <w:r>
        <w:rPr>
          <w:spacing w:val="7"/>
        </w:rPr>
        <w:t>of </w:t>
      </w:r>
      <w:r>
        <w:rPr/>
        <w:t>infection of each parasite species </w:t>
      </w:r>
      <w:r>
        <w:rPr>
          <w:spacing w:val="-3"/>
        </w:rPr>
        <w:t>in </w:t>
      </w:r>
      <w:r>
        <w:rPr>
          <w:i/>
        </w:rPr>
        <w:t>G. multiradiatus </w:t>
      </w:r>
      <w:r>
        <w:rPr/>
        <w:t>besides the sex and population of the organism. </w:t>
      </w:r>
      <w:r>
        <w:rPr>
          <w:spacing w:val="-3"/>
        </w:rPr>
        <w:t>We </w:t>
      </w:r>
      <w:r>
        <w:rPr/>
        <w:t>also analyzed whether there was relation between intensity </w:t>
      </w:r>
      <w:r>
        <w:rPr>
          <w:spacing w:val="4"/>
        </w:rPr>
        <w:t>of </w:t>
      </w:r>
      <w:r>
        <w:rPr/>
        <w:t>infection and morphometric parameters using a Simple Regression</w:t>
      </w:r>
      <w:r>
        <w:rPr>
          <w:spacing w:val="-36"/>
        </w:rPr>
        <w:t> </w:t>
      </w:r>
      <w:r>
        <w:rPr/>
        <w:t>Analysis.</w:t>
      </w:r>
    </w:p>
    <w:p>
      <w:pPr>
        <w:pStyle w:val="BodyText"/>
      </w:pPr>
    </w:p>
    <w:p>
      <w:pPr>
        <w:pStyle w:val="BodyText"/>
        <w:ind w:left="152" w:right="116"/>
        <w:jc w:val="both"/>
      </w:pPr>
      <w:r>
        <w:rPr/>
        <w:t>Population differences </w:t>
      </w:r>
      <w:r>
        <w:rPr>
          <w:spacing w:val="-3"/>
        </w:rPr>
        <w:t>in </w:t>
      </w:r>
      <w:r>
        <w:rPr/>
        <w:t>habitat characteristics may lead to differences </w:t>
      </w:r>
      <w:r>
        <w:rPr>
          <w:spacing w:val="-3"/>
        </w:rPr>
        <w:t>in </w:t>
      </w:r>
      <w:r>
        <w:rPr/>
        <w:t>vulnerability </w:t>
      </w:r>
      <w:r>
        <w:rPr>
          <w:spacing w:val="2"/>
        </w:rPr>
        <w:t>to </w:t>
      </w:r>
      <w:r>
        <w:rPr/>
        <w:t>parasites. The present study examines the association between the presence of parasites,  and the size and weight of two natural populations of </w:t>
      </w:r>
      <w:r>
        <w:rPr>
          <w:i/>
        </w:rPr>
        <w:t>Girardinichthys multiradiatus</w:t>
      </w:r>
      <w:r>
        <w:rPr/>
        <w:t>. </w:t>
      </w:r>
      <w:r>
        <w:rPr>
          <w:spacing w:val="2"/>
        </w:rPr>
        <w:t>Only </w:t>
      </w:r>
      <w:r>
        <w:rPr>
          <w:spacing w:val="-3"/>
        </w:rPr>
        <w:t>in </w:t>
      </w:r>
      <w:r>
        <w:rPr/>
        <w:t>the case </w:t>
      </w:r>
      <w:r>
        <w:rPr>
          <w:spacing w:val="4"/>
        </w:rPr>
        <w:t>of </w:t>
      </w:r>
      <w:r>
        <w:rPr/>
        <w:t>the metacercaria </w:t>
      </w:r>
      <w:r>
        <w:rPr>
          <w:spacing w:val="4"/>
        </w:rPr>
        <w:t>of </w:t>
      </w:r>
      <w:r>
        <w:rPr>
          <w:i/>
        </w:rPr>
        <w:t>Tylodelphys </w:t>
      </w:r>
      <w:r>
        <w:rPr/>
        <w:t>sp. found that this parasite </w:t>
      </w:r>
      <w:r>
        <w:rPr>
          <w:spacing w:val="-3"/>
        </w:rPr>
        <w:t>is </w:t>
      </w:r>
      <w:r>
        <w:rPr/>
        <w:t>not found with equal probability </w:t>
      </w:r>
      <w:r>
        <w:rPr>
          <w:spacing w:val="-3"/>
        </w:rPr>
        <w:t>in </w:t>
      </w:r>
      <w:r>
        <w:rPr/>
        <w:t>fish of all sizes, ages and sexes, for example determine that parasite intensity correlates positively with the size and weight of the males, while </w:t>
      </w:r>
      <w:r>
        <w:rPr>
          <w:spacing w:val="-3"/>
        </w:rPr>
        <w:t>in </w:t>
      </w:r>
      <w:r>
        <w:rPr/>
        <w:t>San Juanico females present lower intensity. These differences are probably due </w:t>
      </w:r>
      <w:r>
        <w:rPr>
          <w:spacing w:val="2"/>
        </w:rPr>
        <w:t>to </w:t>
      </w:r>
      <w:r>
        <w:rPr/>
        <w:t>sex differences in sexual behavior and sexual dimorphism, which </w:t>
      </w:r>
      <w:r>
        <w:rPr>
          <w:spacing w:val="-3"/>
        </w:rPr>
        <w:t>is </w:t>
      </w:r>
      <w:r>
        <w:rPr/>
        <w:t>marked </w:t>
      </w:r>
      <w:r>
        <w:rPr>
          <w:spacing w:val="-3"/>
        </w:rPr>
        <w:t>in </w:t>
      </w:r>
      <w:r>
        <w:rPr/>
        <w:t>this</w:t>
      </w:r>
      <w:r>
        <w:rPr>
          <w:spacing w:val="-10"/>
        </w:rPr>
        <w:t> </w:t>
      </w:r>
      <w:r>
        <w:rPr/>
        <w:t>species.</w:t>
      </w:r>
    </w:p>
    <w:p>
      <w:pPr>
        <w:pStyle w:val="BodyText"/>
      </w:pPr>
    </w:p>
    <w:p>
      <w:pPr>
        <w:pStyle w:val="BodyText"/>
        <w:ind w:left="152" w:right="129"/>
        <w:jc w:val="both"/>
      </w:pPr>
      <w:r>
        <w:rPr/>
        <w:t>Additionally, we found a significant relationship between the parasite load and some morphometric parameters. Finally, we found that associations between parasite intensity and size </w:t>
      </w:r>
      <w:r>
        <w:rPr>
          <w:spacing w:val="-3"/>
        </w:rPr>
        <w:t>in </w:t>
      </w:r>
      <w:r>
        <w:rPr/>
        <w:t>each sex differ between locations, which </w:t>
      </w:r>
      <w:r>
        <w:rPr>
          <w:spacing w:val="-3"/>
        </w:rPr>
        <w:t>may be </w:t>
      </w:r>
      <w:r>
        <w:rPr/>
        <w:t>a direct consequence of habitat structure on exposure to parasites, or indirectly, as a </w:t>
      </w:r>
      <w:r>
        <w:rPr>
          <w:spacing w:val="-3"/>
        </w:rPr>
        <w:t>result </w:t>
      </w:r>
      <w:r>
        <w:rPr/>
        <w:t>of differences </w:t>
      </w:r>
      <w:r>
        <w:rPr>
          <w:spacing w:val="-3"/>
        </w:rPr>
        <w:t>in </w:t>
      </w:r>
      <w:r>
        <w:rPr/>
        <w:t>the intensity with which operates sexual selection </w:t>
      </w:r>
      <w:r>
        <w:rPr>
          <w:spacing w:val="-3"/>
        </w:rPr>
        <w:t>in </w:t>
      </w:r>
      <w:r>
        <w:rPr/>
        <w:t>both</w:t>
      </w:r>
      <w:r>
        <w:rPr>
          <w:spacing w:val="-19"/>
        </w:rPr>
        <w:t> </w:t>
      </w:r>
      <w:r>
        <w:rPr/>
        <w:t>locations.</w:t>
      </w:r>
    </w:p>
    <w:p>
      <w:pPr>
        <w:pStyle w:val="BodyText"/>
      </w:pPr>
    </w:p>
    <w:p>
      <w:pPr>
        <w:pStyle w:val="BodyText"/>
      </w:pPr>
    </w:p>
    <w:p>
      <w:pPr>
        <w:pStyle w:val="BodyText"/>
      </w:pPr>
    </w:p>
    <w:p>
      <w:pPr>
        <w:spacing w:line="242" w:lineRule="auto" w:before="0"/>
        <w:ind w:left="152" w:right="115" w:firstLine="0"/>
        <w:jc w:val="both"/>
        <w:rPr>
          <w:sz w:val="24"/>
        </w:rPr>
      </w:pPr>
      <w:r>
        <w:rPr>
          <w:b/>
          <w:sz w:val="24"/>
        </w:rPr>
        <w:t>KEYWORDS: </w:t>
      </w:r>
      <w:r>
        <w:rPr>
          <w:i/>
          <w:sz w:val="24"/>
        </w:rPr>
        <w:t>Girardinichthys multiradiatus</w:t>
      </w:r>
      <w:r>
        <w:rPr>
          <w:sz w:val="24"/>
        </w:rPr>
        <w:t>; intensity of infection, populations, body size, host-specificity.</w:t>
      </w:r>
    </w:p>
    <w:p>
      <w:pPr>
        <w:spacing w:after="0" w:line="242" w:lineRule="auto"/>
        <w:jc w:val="both"/>
        <w:rPr>
          <w:sz w:val="24"/>
        </w:rPr>
        <w:sectPr>
          <w:pgSz w:w="12240" w:h="15840"/>
          <w:pgMar w:header="0" w:footer="1304" w:top="1500" w:bottom="1560" w:left="1720" w:right="1400"/>
        </w:sectPr>
      </w:pPr>
    </w:p>
    <w:p>
      <w:pPr>
        <w:pStyle w:val="BodyText"/>
        <w:spacing w:before="1"/>
        <w:rPr>
          <w:sz w:val="21"/>
        </w:rPr>
      </w:pPr>
    </w:p>
    <w:p>
      <w:pPr>
        <w:pStyle w:val="Heading1"/>
      </w:pPr>
      <w:r>
        <w:rPr/>
        <w:t>AGRADECIMIENTOS</w:t>
      </w:r>
    </w:p>
    <w:p>
      <w:pPr>
        <w:pStyle w:val="BodyText"/>
        <w:rPr>
          <w:b/>
        </w:rPr>
      </w:pPr>
    </w:p>
    <w:p>
      <w:pPr>
        <w:pStyle w:val="BodyText"/>
        <w:spacing w:before="4"/>
        <w:rPr>
          <w:b/>
          <w:sz w:val="23"/>
        </w:rPr>
      </w:pPr>
    </w:p>
    <w:p>
      <w:pPr>
        <w:pStyle w:val="BodyText"/>
        <w:spacing w:line="480" w:lineRule="auto" w:before="1"/>
        <w:ind w:left="152" w:right="116"/>
        <w:jc w:val="both"/>
      </w:pPr>
      <w:r>
        <w:rPr/>
        <w:t>En primer lugar agradezco a CONACyT por otorgarme el apoyo económico No. 60877, el cual me permitió continuar con mi preparación académica.</w:t>
      </w:r>
    </w:p>
    <w:p>
      <w:pPr>
        <w:pStyle w:val="BodyText"/>
        <w:spacing w:line="480" w:lineRule="auto" w:before="10"/>
        <w:ind w:left="152" w:right="128"/>
        <w:jc w:val="both"/>
      </w:pPr>
      <w:r>
        <w:rPr/>
        <w:t>También quiero agradecer a COMECyT por la beca de titulación 12BTM0100, sin la cual no hubiera logrado culminar éste trabajo.</w:t>
      </w:r>
    </w:p>
    <w:p>
      <w:pPr>
        <w:pStyle w:val="BodyText"/>
        <w:spacing w:line="480" w:lineRule="auto" w:before="10"/>
        <w:ind w:left="152" w:right="125"/>
        <w:jc w:val="both"/>
      </w:pPr>
      <w:r>
        <w:rPr/>
        <w:t>Quiero mostrar mi agradecimiento a mi directora de Tesis, la Dra. PETRA SÁNCHEZ NAVA por compartir conmigo todos sus conocimientos y consejos y por darme la oportunidad de trabajar con ella.</w:t>
      </w:r>
    </w:p>
    <w:p>
      <w:pPr>
        <w:pStyle w:val="BodyText"/>
        <w:spacing w:line="480" w:lineRule="auto" w:before="10"/>
        <w:ind w:left="152" w:right="124"/>
        <w:jc w:val="both"/>
      </w:pPr>
      <w:r>
        <w:rPr/>
        <w:t>También creo que es justo mostrar mi agradecimiento al Dr. Constantino Macías García y a la Dra. Mónica Vanessa Garduño Paz por su experiencia, apoyo, opinión y sugerencias en este trabajo les estaré agradecida siempre.</w:t>
      </w:r>
    </w:p>
    <w:p>
      <w:pPr>
        <w:pStyle w:val="BodyText"/>
        <w:spacing w:before="10"/>
        <w:ind w:left="152"/>
        <w:jc w:val="both"/>
      </w:pPr>
      <w:r>
        <w:rPr/>
        <w:t>Agradezco también al comité evaluador de éste trabajo por brindarme su experiencia.</w:t>
      </w:r>
    </w:p>
    <w:p>
      <w:pPr>
        <w:pStyle w:val="BodyText"/>
      </w:pPr>
    </w:p>
    <w:p>
      <w:pPr>
        <w:pStyle w:val="BodyText"/>
        <w:spacing w:line="480" w:lineRule="auto"/>
        <w:ind w:left="152" w:right="115"/>
        <w:jc w:val="both"/>
      </w:pPr>
      <w:r>
        <w:rPr/>
        <w:t>Con todo mi corazón quiero agradecer a mi gran amiga y compañera de carrera por que siempre ha estado ahí, pues juntas empezamos en esto compartiéndolo, logros, problemas y experiencias.</w:t>
      </w:r>
    </w:p>
    <w:p>
      <w:pPr>
        <w:pStyle w:val="BodyText"/>
        <w:spacing w:line="480" w:lineRule="auto" w:before="10"/>
        <w:ind w:left="152" w:right="122"/>
        <w:jc w:val="both"/>
      </w:pPr>
      <w:r>
        <w:rPr/>
        <w:t>Agradezco el apoyo en todos los aspectos de </w:t>
      </w:r>
      <w:r>
        <w:rPr>
          <w:spacing w:val="-3"/>
        </w:rPr>
        <w:t>mi </w:t>
      </w:r>
      <w:r>
        <w:rPr/>
        <w:t>persona especial, gracias por estar a mi  lado en estos momentos</w:t>
      </w:r>
      <w:r>
        <w:rPr>
          <w:spacing w:val="-9"/>
        </w:rPr>
        <w:t> </w:t>
      </w:r>
      <w:r>
        <w:rPr/>
        <w:t>V.L.V.</w:t>
      </w:r>
    </w:p>
    <w:p>
      <w:pPr>
        <w:pStyle w:val="BodyText"/>
        <w:spacing w:line="480" w:lineRule="auto" w:before="10"/>
        <w:ind w:left="152" w:right="125"/>
        <w:jc w:val="both"/>
      </w:pPr>
      <w:r>
        <w:rPr/>
        <w:t>Finalmente y con gran afecto, mi gratitud a mi MADRE y mis hermanos pues no cabe la menor duda que he llegado hasta aquí gracias al esfuerzo que ellos realizaron y al resto de mis familiares que me han apoyado y confiado en mi siempre.</w:t>
      </w:r>
    </w:p>
    <w:p>
      <w:pPr>
        <w:pStyle w:val="BodyText"/>
      </w:pPr>
    </w:p>
    <w:p>
      <w:pPr>
        <w:pStyle w:val="BodyText"/>
        <w:spacing w:before="3"/>
        <w:rPr>
          <w:sz w:val="25"/>
        </w:rPr>
      </w:pPr>
    </w:p>
    <w:p>
      <w:pPr>
        <w:pStyle w:val="Heading1"/>
        <w:spacing w:before="0"/>
        <w:ind w:left="3430" w:right="3408"/>
        <w:jc w:val="center"/>
      </w:pPr>
      <w:r>
        <w:rPr/>
        <w:t>GRACIAS A TODOS</w:t>
      </w:r>
    </w:p>
    <w:p>
      <w:pPr>
        <w:spacing w:after="0"/>
        <w:jc w:val="center"/>
        <w:sectPr>
          <w:pgSz w:w="12240" w:h="15840"/>
          <w:pgMar w:header="0" w:footer="1304" w:top="1500" w:bottom="1560" w:left="1720" w:right="1400"/>
        </w:sectPr>
      </w:pPr>
    </w:p>
    <w:p>
      <w:pPr>
        <w:pStyle w:val="BodyText"/>
        <w:spacing w:before="8"/>
        <w:rPr>
          <w:b/>
          <w:sz w:val="21"/>
        </w:rPr>
      </w:pPr>
    </w:p>
    <w:p>
      <w:pPr>
        <w:spacing w:before="63"/>
        <w:ind w:left="152" w:right="0" w:firstLine="0"/>
        <w:jc w:val="left"/>
        <w:rPr>
          <w:b/>
          <w:sz w:val="28"/>
        </w:rPr>
      </w:pPr>
      <w:r>
        <w:rPr>
          <w:b/>
          <w:sz w:val="28"/>
        </w:rPr>
        <w:t>Tabla de contenido</w:t>
      </w:r>
    </w:p>
    <w:sdt>
      <w:sdtPr>
        <w:docPartObj>
          <w:docPartGallery w:val="Table of Contents"/>
          <w:docPartUnique/>
        </w:docPartObj>
      </w:sdtPr>
      <w:sdtEndPr/>
      <w:sdtContent>
        <w:p>
          <w:pPr>
            <w:pStyle w:val="TOC1"/>
            <w:tabs>
              <w:tab w:pos="8906" w:val="right" w:leader="dot"/>
            </w:tabs>
            <w:spacing w:before="167"/>
          </w:pPr>
          <w:hyperlink w:history="true" w:anchor="_TOC_250012">
            <w:r>
              <w:rPr/>
              <w:t>INDICE</w:t>
            </w:r>
            <w:r>
              <w:rPr>
                <w:spacing w:val="-1"/>
              </w:rPr>
              <w:t> </w:t>
            </w:r>
            <w:r>
              <w:rPr/>
              <w:t>DE</w:t>
            </w:r>
            <w:r>
              <w:rPr>
                <w:spacing w:val="-1"/>
              </w:rPr>
              <w:t> </w:t>
            </w:r>
            <w:r>
              <w:rPr/>
              <w:t>FIGURAS</w:t>
              <w:tab/>
              <w:t>8</w:t>
            </w:r>
          </w:hyperlink>
        </w:p>
        <w:p>
          <w:pPr>
            <w:pStyle w:val="TOC1"/>
            <w:tabs>
              <w:tab w:pos="8906" w:val="right" w:leader="dot"/>
            </w:tabs>
            <w:spacing w:before="122"/>
          </w:pPr>
          <w:hyperlink w:history="true" w:anchor="_TOC_250011">
            <w:r>
              <w:rPr/>
              <w:t>INTRODUCCIÓN</w:t>
              <w:tab/>
              <w:t>9</w:t>
            </w:r>
          </w:hyperlink>
        </w:p>
        <w:p>
          <w:pPr>
            <w:pStyle w:val="TOC1"/>
            <w:tabs>
              <w:tab w:pos="8906" w:val="right" w:leader="dot"/>
            </w:tabs>
            <w:spacing w:line="275" w:lineRule="exact"/>
          </w:pPr>
          <w:hyperlink w:history="true" w:anchor="_TOC_250010">
            <w:r>
              <w:rPr/>
              <w:t>ANTECEDENTES</w:t>
              <w:tab/>
              <w:t>11</w:t>
            </w:r>
          </w:hyperlink>
        </w:p>
        <w:p>
          <w:pPr>
            <w:pStyle w:val="TOC2"/>
            <w:numPr>
              <w:ilvl w:val="0"/>
              <w:numId w:val="1"/>
            </w:numPr>
            <w:tabs>
              <w:tab w:pos="321" w:val="left" w:leader="none"/>
              <w:tab w:pos="8906" w:val="right" w:leader="dot"/>
            </w:tabs>
            <w:spacing w:line="250" w:lineRule="exact" w:before="0" w:after="0"/>
            <w:ind w:left="320" w:right="0" w:hanging="168"/>
            <w:jc w:val="left"/>
          </w:pPr>
          <w:r>
            <w:rPr/>
            <w:t>Parasitismo</w:t>
            <w:tab/>
            <w:t>11</w:t>
          </w:r>
        </w:p>
        <w:p>
          <w:pPr>
            <w:pStyle w:val="TOC4"/>
            <w:numPr>
              <w:ilvl w:val="1"/>
              <w:numId w:val="1"/>
            </w:numPr>
            <w:tabs>
              <w:tab w:pos="729" w:val="left" w:leader="none"/>
              <w:tab w:pos="8906" w:val="right" w:leader="dot"/>
            </w:tabs>
            <w:spacing w:line="251" w:lineRule="exact" w:before="0" w:after="0"/>
            <w:ind w:left="728" w:right="0" w:hanging="335"/>
            <w:jc w:val="left"/>
            <w:rPr>
              <w:i/>
            </w:rPr>
          </w:pPr>
          <w:hyperlink w:history="true" w:anchor="_TOC_250009">
            <w:r>
              <w:rPr>
                <w:i/>
                <w:spacing w:val="-3"/>
              </w:rPr>
              <w:t>El </w:t>
            </w:r>
            <w:r>
              <w:rPr>
                <w:i/>
              </w:rPr>
              <w:t>parasitismo y rasgos de historias</w:t>
            </w:r>
            <w:r>
              <w:rPr>
                <w:i/>
                <w:spacing w:val="1"/>
              </w:rPr>
              <w:t> </w:t>
            </w:r>
            <w:r>
              <w:rPr>
                <w:i/>
              </w:rPr>
              <w:t>de</w:t>
            </w:r>
            <w:r>
              <w:rPr>
                <w:i/>
                <w:spacing w:val="-1"/>
              </w:rPr>
              <w:t> </w:t>
            </w:r>
            <w:r>
              <w:rPr>
                <w:i/>
              </w:rPr>
              <w:t>vida</w:t>
              <w:tab/>
              <w:t>12</w:t>
            </w:r>
          </w:hyperlink>
        </w:p>
        <w:p>
          <w:pPr>
            <w:pStyle w:val="TOC4"/>
            <w:numPr>
              <w:ilvl w:val="1"/>
              <w:numId w:val="1"/>
            </w:numPr>
            <w:tabs>
              <w:tab w:pos="729" w:val="left" w:leader="none"/>
              <w:tab w:pos="8906" w:val="right" w:leader="dot"/>
            </w:tabs>
            <w:spacing w:line="240" w:lineRule="auto" w:before="1" w:after="0"/>
            <w:ind w:left="728" w:right="0" w:hanging="335"/>
            <w:jc w:val="left"/>
            <w:rPr>
              <w:i/>
            </w:rPr>
          </w:pPr>
          <w:r>
            <w:rPr>
              <w:i/>
            </w:rPr>
            <w:t>Parasitismo y</w:t>
          </w:r>
          <w:r>
            <w:rPr>
              <w:i/>
              <w:spacing w:val="-5"/>
            </w:rPr>
            <w:t> </w:t>
          </w:r>
          <w:r>
            <w:rPr>
              <w:i/>
            </w:rPr>
            <w:t>selección</w:t>
          </w:r>
          <w:r>
            <w:rPr>
              <w:i/>
              <w:spacing w:val="1"/>
            </w:rPr>
            <w:t> </w:t>
          </w:r>
          <w:r>
            <w:rPr>
              <w:i/>
            </w:rPr>
            <w:t>sexual</w:t>
            <w:tab/>
            <w:t>14</w:t>
          </w:r>
        </w:p>
        <w:p>
          <w:pPr>
            <w:pStyle w:val="TOC4"/>
            <w:numPr>
              <w:ilvl w:val="1"/>
              <w:numId w:val="1"/>
            </w:numPr>
            <w:tabs>
              <w:tab w:pos="729" w:val="left" w:leader="none"/>
              <w:tab w:pos="8906" w:val="right" w:leader="dot"/>
            </w:tabs>
            <w:spacing w:line="251" w:lineRule="exact" w:before="2" w:after="0"/>
            <w:ind w:left="728" w:right="0" w:hanging="335"/>
            <w:jc w:val="left"/>
            <w:rPr>
              <w:i/>
            </w:rPr>
          </w:pPr>
          <w:r>
            <w:rPr>
              <w:i/>
            </w:rPr>
            <w:t>Parasitismo y regulación de poblaciones</w:t>
          </w:r>
          <w:r>
            <w:rPr>
              <w:i/>
              <w:spacing w:val="-10"/>
            </w:rPr>
            <w:t> </w:t>
          </w:r>
          <w:r>
            <w:rPr>
              <w:i/>
            </w:rPr>
            <w:t>de</w:t>
          </w:r>
          <w:r>
            <w:rPr>
              <w:i/>
              <w:spacing w:val="-1"/>
            </w:rPr>
            <w:t> </w:t>
          </w:r>
          <w:r>
            <w:rPr>
              <w:i/>
            </w:rPr>
            <w:t>hospederos</w:t>
            <w:tab/>
            <w:t>16</w:t>
          </w:r>
        </w:p>
        <w:p>
          <w:pPr>
            <w:pStyle w:val="TOC4"/>
            <w:numPr>
              <w:ilvl w:val="1"/>
              <w:numId w:val="1"/>
            </w:numPr>
            <w:tabs>
              <w:tab w:pos="729" w:val="left" w:leader="none"/>
              <w:tab w:pos="8906" w:val="right" w:leader="dot"/>
            </w:tabs>
            <w:spacing w:line="251" w:lineRule="exact" w:before="0" w:after="0"/>
            <w:ind w:left="728" w:right="0" w:hanging="335"/>
            <w:jc w:val="left"/>
            <w:rPr>
              <w:i/>
            </w:rPr>
          </w:pPr>
          <w:r>
            <w:rPr>
              <w:i/>
            </w:rPr>
            <w:t>Parasitismo, biodiversidad y biología de</w:t>
          </w:r>
          <w:r>
            <w:rPr>
              <w:i/>
              <w:spacing w:val="-9"/>
            </w:rPr>
            <w:t> </w:t>
          </w:r>
          <w:r>
            <w:rPr>
              <w:i/>
            </w:rPr>
            <w:t>la</w:t>
          </w:r>
          <w:r>
            <w:rPr>
              <w:i/>
              <w:spacing w:val="-4"/>
            </w:rPr>
            <w:t> </w:t>
          </w:r>
          <w:r>
            <w:rPr>
              <w:i/>
            </w:rPr>
            <w:t>conservación</w:t>
            <w:tab/>
            <w:t>17</w:t>
          </w:r>
        </w:p>
        <w:p>
          <w:pPr>
            <w:pStyle w:val="TOC2"/>
            <w:numPr>
              <w:ilvl w:val="0"/>
              <w:numId w:val="1"/>
            </w:numPr>
            <w:tabs>
              <w:tab w:pos="321" w:val="left" w:leader="none"/>
              <w:tab w:pos="8906" w:val="right" w:leader="dot"/>
            </w:tabs>
            <w:spacing w:line="240" w:lineRule="auto" w:before="1" w:after="0"/>
            <w:ind w:left="320" w:right="0" w:hanging="168"/>
            <w:jc w:val="left"/>
          </w:pPr>
          <w:r>
            <w:rPr/>
            <w:t>Crecimiento</w:t>
            <w:tab/>
            <w:t>19</w:t>
          </w:r>
        </w:p>
        <w:p>
          <w:pPr>
            <w:pStyle w:val="TOC4"/>
            <w:numPr>
              <w:ilvl w:val="1"/>
              <w:numId w:val="1"/>
            </w:numPr>
            <w:tabs>
              <w:tab w:pos="729" w:val="left" w:leader="none"/>
              <w:tab w:pos="8906" w:val="right" w:leader="dot"/>
            </w:tabs>
            <w:spacing w:line="251" w:lineRule="exact" w:before="1" w:after="0"/>
            <w:ind w:left="728" w:right="0" w:hanging="335"/>
            <w:jc w:val="left"/>
            <w:rPr>
              <w:i/>
            </w:rPr>
          </w:pPr>
          <w:r>
            <w:rPr>
              <w:i/>
            </w:rPr>
            <w:t>Estudios relacionados con el impacto del parasitismo en</w:t>
          </w:r>
          <w:r>
            <w:rPr>
              <w:i/>
              <w:spacing w:val="-7"/>
            </w:rPr>
            <w:t> </w:t>
          </w:r>
          <w:r>
            <w:rPr>
              <w:i/>
            </w:rPr>
            <w:t>el</w:t>
          </w:r>
          <w:r>
            <w:rPr>
              <w:i/>
              <w:spacing w:val="2"/>
            </w:rPr>
            <w:t> </w:t>
          </w:r>
          <w:r>
            <w:rPr>
              <w:i/>
            </w:rPr>
            <w:t>crecimiento</w:t>
            <w:tab/>
            <w:t>20</w:t>
          </w:r>
        </w:p>
        <w:p>
          <w:pPr>
            <w:pStyle w:val="TOC3"/>
            <w:numPr>
              <w:ilvl w:val="0"/>
              <w:numId w:val="1"/>
            </w:numPr>
            <w:tabs>
              <w:tab w:pos="321" w:val="left" w:leader="none"/>
              <w:tab w:pos="8906" w:val="right" w:leader="dot"/>
            </w:tabs>
            <w:spacing w:line="251" w:lineRule="exact" w:before="0" w:after="0"/>
            <w:ind w:left="320" w:right="0" w:hanging="168"/>
            <w:jc w:val="left"/>
            <w:rPr>
              <w:b w:val="0"/>
              <w:i w:val="0"/>
              <w:sz w:val="22"/>
            </w:rPr>
          </w:pPr>
          <w:r>
            <w:rPr>
              <w:b w:val="0"/>
              <w:i w:val="0"/>
              <w:sz w:val="22"/>
            </w:rPr>
            <w:t>Biología de </w:t>
          </w:r>
          <w:r>
            <w:rPr>
              <w:b w:val="0"/>
              <w:i/>
              <w:sz w:val="22"/>
            </w:rPr>
            <w:t>Girardinichthys multiradiatus</w:t>
          </w:r>
          <w:r>
            <w:rPr>
              <w:b w:val="0"/>
              <w:i w:val="0"/>
              <w:spacing w:val="2"/>
              <w:sz w:val="22"/>
            </w:rPr>
            <w:t> </w:t>
          </w:r>
          <w:r>
            <w:rPr>
              <w:b w:val="0"/>
              <w:i w:val="0"/>
              <w:sz w:val="22"/>
            </w:rPr>
            <w:t>(Meek,</w:t>
          </w:r>
          <w:r>
            <w:rPr>
              <w:b w:val="0"/>
              <w:i w:val="0"/>
              <w:spacing w:val="3"/>
              <w:sz w:val="22"/>
            </w:rPr>
            <w:t> </w:t>
          </w:r>
          <w:r>
            <w:rPr>
              <w:b w:val="0"/>
              <w:i w:val="0"/>
              <w:sz w:val="22"/>
            </w:rPr>
            <w:t>1904)</w:t>
            <w:tab/>
            <w:t>22</w:t>
          </w:r>
        </w:p>
        <w:p>
          <w:pPr>
            <w:pStyle w:val="TOC4"/>
            <w:numPr>
              <w:ilvl w:val="1"/>
              <w:numId w:val="1"/>
            </w:numPr>
            <w:tabs>
              <w:tab w:pos="729" w:val="left" w:leader="none"/>
              <w:tab w:pos="8906" w:val="right" w:leader="dot"/>
            </w:tabs>
            <w:spacing w:line="240" w:lineRule="auto" w:before="1" w:after="0"/>
            <w:ind w:left="728" w:right="0" w:hanging="335"/>
            <w:jc w:val="left"/>
            <w:rPr>
              <w:i/>
            </w:rPr>
          </w:pPr>
          <w:r>
            <w:rPr>
              <w:i/>
            </w:rPr>
            <w:t>Girardinichthys multiradiatus</w:t>
          </w:r>
          <w:r>
            <w:rPr>
              <w:i/>
              <w:spacing w:val="-1"/>
            </w:rPr>
            <w:t> </w:t>
          </w:r>
          <w:r>
            <w:rPr>
              <w:i/>
            </w:rPr>
            <w:t>y</w:t>
          </w:r>
          <w:r>
            <w:rPr>
              <w:i/>
              <w:spacing w:val="-1"/>
            </w:rPr>
            <w:t> </w:t>
          </w:r>
          <w:r>
            <w:rPr>
              <w:i/>
            </w:rPr>
            <w:t>parasitismo</w:t>
            <w:tab/>
            <w:t>23</w:t>
          </w:r>
        </w:p>
        <w:p>
          <w:pPr>
            <w:pStyle w:val="TOC1"/>
            <w:tabs>
              <w:tab w:pos="8906" w:val="right" w:leader="dot"/>
            </w:tabs>
            <w:spacing w:before="127"/>
          </w:pPr>
          <w:hyperlink w:history="true" w:anchor="_TOC_250008">
            <w:r>
              <w:rPr/>
              <w:t>JUSTIFICACIÓN</w:t>
              <w:tab/>
              <w:t>24</w:t>
            </w:r>
          </w:hyperlink>
        </w:p>
        <w:p>
          <w:pPr>
            <w:pStyle w:val="TOC1"/>
            <w:tabs>
              <w:tab w:pos="8906" w:val="right" w:leader="dot"/>
            </w:tabs>
          </w:pPr>
          <w:hyperlink w:history="true" w:anchor="_TOC_250007">
            <w:r>
              <w:rPr/>
              <w:t>HIPÓTESIS</w:t>
              <w:tab/>
              <w:t>26</w:t>
            </w:r>
          </w:hyperlink>
        </w:p>
        <w:p>
          <w:pPr>
            <w:pStyle w:val="TOC1"/>
            <w:tabs>
              <w:tab w:pos="8906" w:val="right" w:leader="dot"/>
            </w:tabs>
            <w:spacing w:before="122"/>
          </w:pPr>
          <w:hyperlink w:history="true" w:anchor="_TOC_250006">
            <w:r>
              <w:rPr/>
              <w:t>OBJETIVO</w:t>
            </w:r>
            <w:r>
              <w:rPr>
                <w:spacing w:val="1"/>
              </w:rPr>
              <w:t> </w:t>
            </w:r>
            <w:r>
              <w:rPr/>
              <w:t>GENERAL</w:t>
              <w:tab/>
              <w:t>27</w:t>
            </w:r>
          </w:hyperlink>
        </w:p>
        <w:p>
          <w:pPr>
            <w:pStyle w:val="TOC1"/>
            <w:tabs>
              <w:tab w:pos="8906" w:val="right" w:leader="dot"/>
            </w:tabs>
          </w:pPr>
          <w:hyperlink w:history="true" w:anchor="_TOC_250005">
            <w:r>
              <w:rPr/>
              <w:t>OBJETIVOS</w:t>
            </w:r>
            <w:r>
              <w:rPr>
                <w:spacing w:val="1"/>
              </w:rPr>
              <w:t> </w:t>
            </w:r>
            <w:r>
              <w:rPr/>
              <w:t>PARTICULARES</w:t>
              <w:tab/>
              <w:t>27</w:t>
            </w:r>
          </w:hyperlink>
        </w:p>
        <w:p>
          <w:pPr>
            <w:pStyle w:val="TOC1"/>
            <w:tabs>
              <w:tab w:pos="8906" w:val="right" w:leader="dot"/>
            </w:tabs>
            <w:spacing w:line="272" w:lineRule="exact" w:before="123"/>
          </w:pPr>
          <w:hyperlink w:history="true" w:anchor="_TOC_250004">
            <w:r>
              <w:rPr/>
              <w:t>MATERIALES</w:t>
            </w:r>
            <w:r>
              <w:rPr>
                <w:spacing w:val="1"/>
              </w:rPr>
              <w:t> </w:t>
            </w:r>
            <w:r>
              <w:rPr/>
              <w:t>Y MÉTODOS</w:t>
              <w:tab/>
              <w:t>28</w:t>
            </w:r>
          </w:hyperlink>
        </w:p>
        <w:p>
          <w:pPr>
            <w:pStyle w:val="TOC4"/>
            <w:tabs>
              <w:tab w:pos="8906" w:val="right" w:leader="dot"/>
            </w:tabs>
            <w:spacing w:line="249" w:lineRule="exact" w:before="0"/>
            <w:ind w:left="393" w:firstLine="0"/>
            <w:rPr>
              <w:i/>
            </w:rPr>
          </w:pPr>
          <w:r>
            <w:rPr>
              <w:i/>
              <w:u w:val="single"/>
            </w:rPr>
            <w:t>Captura</w:t>
          </w:r>
          <w:r>
            <w:rPr>
              <w:i/>
              <w:spacing w:val="-2"/>
              <w:u w:val="single"/>
            </w:rPr>
            <w:t> </w:t>
          </w:r>
          <w:r>
            <w:rPr>
              <w:i/>
              <w:u w:val="single"/>
            </w:rPr>
            <w:t>de individuos</w:t>
          </w:r>
          <w:r>
            <w:rPr>
              <w:i/>
            </w:rPr>
            <w:tab/>
            <w:t>28</w:t>
          </w:r>
        </w:p>
        <w:p>
          <w:pPr>
            <w:pStyle w:val="TOC4"/>
            <w:tabs>
              <w:tab w:pos="8906" w:val="right" w:leader="dot"/>
            </w:tabs>
            <w:ind w:left="393" w:firstLine="0"/>
            <w:rPr>
              <w:i/>
            </w:rPr>
          </w:pPr>
          <w:r>
            <w:rPr>
              <w:i/>
              <w:u w:val="single"/>
            </w:rPr>
            <w:t>Organización</w:t>
          </w:r>
          <w:r>
            <w:rPr>
              <w:i/>
              <w:spacing w:val="-3"/>
              <w:u w:val="single"/>
            </w:rPr>
            <w:t> </w:t>
          </w:r>
          <w:r>
            <w:rPr>
              <w:i/>
              <w:u w:val="single"/>
            </w:rPr>
            <w:t>de datos</w:t>
          </w:r>
          <w:r>
            <w:rPr>
              <w:i/>
            </w:rPr>
            <w:tab/>
            <w:t>28</w:t>
          </w:r>
        </w:p>
        <w:p>
          <w:pPr>
            <w:pStyle w:val="TOC4"/>
            <w:tabs>
              <w:tab w:pos="8906" w:val="right" w:leader="dot"/>
            </w:tabs>
            <w:ind w:left="393" w:firstLine="0"/>
            <w:rPr>
              <w:i/>
            </w:rPr>
          </w:pPr>
          <w:r>
            <w:rPr>
              <w:i/>
              <w:u w:val="single"/>
            </w:rPr>
            <w:t>Análisis</w:t>
          </w:r>
          <w:r>
            <w:rPr>
              <w:i/>
              <w:spacing w:val="-2"/>
              <w:u w:val="single"/>
            </w:rPr>
            <w:t> </w:t>
          </w:r>
          <w:r>
            <w:rPr>
              <w:i/>
              <w:u w:val="single"/>
            </w:rPr>
            <w:t>estadísticos</w:t>
          </w:r>
          <w:r>
            <w:rPr>
              <w:i/>
            </w:rPr>
            <w:tab/>
            <w:t>28</w:t>
          </w:r>
        </w:p>
        <w:p>
          <w:pPr>
            <w:pStyle w:val="TOC1"/>
            <w:tabs>
              <w:tab w:pos="8906" w:val="right" w:leader="dot"/>
            </w:tabs>
            <w:spacing w:line="275" w:lineRule="exact" w:before="122"/>
          </w:pPr>
          <w:hyperlink w:history="true" w:anchor="_TOC_250003">
            <w:r>
              <w:rPr/>
              <w:t>RESULTADOS</w:t>
              <w:tab/>
              <w:t>31</w:t>
            </w:r>
          </w:hyperlink>
        </w:p>
        <w:p>
          <w:pPr>
            <w:pStyle w:val="TOC3"/>
            <w:numPr>
              <w:ilvl w:val="0"/>
              <w:numId w:val="2"/>
            </w:numPr>
            <w:tabs>
              <w:tab w:pos="560" w:val="left" w:leader="none"/>
              <w:tab w:pos="561" w:val="left" w:leader="none"/>
              <w:tab w:pos="8906" w:val="right" w:leader="dot"/>
            </w:tabs>
            <w:spacing w:line="240" w:lineRule="auto" w:before="0" w:after="0"/>
            <w:ind w:left="152" w:right="184" w:firstLine="0"/>
            <w:jc w:val="left"/>
            <w:rPr>
              <w:b w:val="0"/>
              <w:i w:val="0"/>
              <w:sz w:val="22"/>
            </w:rPr>
          </w:pPr>
          <w:r>
            <w:rPr>
              <w:b w:val="0"/>
              <w:i w:val="0"/>
              <w:sz w:val="22"/>
            </w:rPr>
            <w:t>Diferencias en la intensidad parasitaria </w:t>
          </w:r>
          <w:r>
            <w:rPr>
              <w:b w:val="0"/>
              <w:i w:val="0"/>
              <w:spacing w:val="-3"/>
              <w:sz w:val="22"/>
            </w:rPr>
            <w:t>de </w:t>
          </w:r>
          <w:r>
            <w:rPr>
              <w:b w:val="0"/>
              <w:i/>
              <w:sz w:val="22"/>
            </w:rPr>
            <w:t>Tylodelphys </w:t>
          </w:r>
          <w:r>
            <w:rPr>
              <w:b w:val="0"/>
              <w:i w:val="0"/>
              <w:sz w:val="22"/>
            </w:rPr>
            <w:t>sp. </w:t>
          </w:r>
          <w:r>
            <w:rPr>
              <w:b w:val="0"/>
              <w:i w:val="0"/>
              <w:spacing w:val="-3"/>
              <w:sz w:val="22"/>
            </w:rPr>
            <w:t>de </w:t>
          </w:r>
          <w:r>
            <w:rPr>
              <w:b w:val="0"/>
              <w:i w:val="0"/>
              <w:sz w:val="22"/>
            </w:rPr>
            <w:t>acuerdo al sexo y localidad de </w:t>
          </w:r>
          <w:r>
            <w:rPr>
              <w:b w:val="0"/>
              <w:i/>
              <w:sz w:val="22"/>
            </w:rPr>
            <w:t>G. </w:t>
          </w:r>
          <w:r>
            <w:rPr>
              <w:b w:val="0"/>
              <w:sz w:val="22"/>
            </w:rPr>
            <w:t>multiradiatus</w:t>
          </w:r>
          <w:r>
            <w:rPr>
              <w:b w:val="0"/>
              <w:i w:val="0"/>
              <w:sz w:val="22"/>
            </w:rPr>
            <w:tab/>
            <w:t>33</w:t>
          </w:r>
        </w:p>
        <w:p>
          <w:pPr>
            <w:pStyle w:val="TOC2"/>
            <w:numPr>
              <w:ilvl w:val="0"/>
              <w:numId w:val="2"/>
            </w:numPr>
            <w:tabs>
              <w:tab w:pos="379" w:val="left" w:leader="none"/>
              <w:tab w:pos="8906" w:val="right" w:leader="dot"/>
            </w:tabs>
            <w:spacing w:line="250" w:lineRule="exact" w:before="0" w:after="0"/>
            <w:ind w:left="378" w:right="0" w:hanging="226"/>
            <w:jc w:val="left"/>
          </w:pPr>
          <w:r>
            <w:rPr/>
            <w:t>Interacción de los factores (sexo-localidad) en la intensidad parasitaria de</w:t>
          </w:r>
          <w:r>
            <w:rPr>
              <w:spacing w:val="-12"/>
            </w:rPr>
            <w:t> </w:t>
          </w:r>
          <w:r>
            <w:rPr>
              <w:i/>
            </w:rPr>
            <w:t>Tylodelphys</w:t>
          </w:r>
          <w:r>
            <w:rPr>
              <w:i/>
              <w:spacing w:val="1"/>
            </w:rPr>
            <w:t> </w:t>
          </w:r>
          <w:r>
            <w:rPr/>
            <w:t>sp</w:t>
            <w:tab/>
            <w:t>34</w:t>
          </w:r>
        </w:p>
        <w:p>
          <w:pPr>
            <w:pStyle w:val="TOC2"/>
            <w:numPr>
              <w:ilvl w:val="0"/>
              <w:numId w:val="2"/>
            </w:numPr>
            <w:tabs>
              <w:tab w:pos="374" w:val="left" w:leader="none"/>
              <w:tab w:pos="8906" w:val="right" w:leader="dot"/>
            </w:tabs>
            <w:spacing w:line="240" w:lineRule="auto" w:before="1" w:after="0"/>
            <w:ind w:left="373" w:right="0" w:hanging="221"/>
            <w:jc w:val="left"/>
          </w:pPr>
          <w:r>
            <w:rPr/>
            <w:t>Relaciones entre la intensidad parasitaria </w:t>
          </w:r>
          <w:r>
            <w:rPr>
              <w:spacing w:val="-3"/>
            </w:rPr>
            <w:t>de </w:t>
          </w:r>
          <w:r>
            <w:rPr>
              <w:i/>
            </w:rPr>
            <w:t>Tylodelphys </w:t>
          </w:r>
          <w:r>
            <w:rPr/>
            <w:t>sp</w:t>
          </w:r>
          <w:r>
            <w:rPr>
              <w:i/>
            </w:rPr>
            <w:t>. </w:t>
          </w:r>
          <w:r>
            <w:rPr/>
            <w:t>y </w:t>
          </w:r>
          <w:r>
            <w:rPr>
              <w:spacing w:val="-3"/>
            </w:rPr>
            <w:t>los</w:t>
          </w:r>
          <w:r>
            <w:rPr>
              <w:spacing w:val="-5"/>
            </w:rPr>
            <w:t> </w:t>
          </w:r>
          <w:r>
            <w:rPr/>
            <w:t>Componentes principales.</w:t>
            <w:tab/>
            <w:t>36</w:t>
          </w:r>
        </w:p>
        <w:p>
          <w:pPr>
            <w:pStyle w:val="TOC3"/>
            <w:spacing w:line="251" w:lineRule="exact" w:before="1"/>
            <w:rPr>
              <w:b w:val="0"/>
              <w:i w:val="0"/>
              <w:sz w:val="22"/>
            </w:rPr>
          </w:pPr>
          <w:r>
            <w:rPr>
              <w:b w:val="0"/>
              <w:i w:val="0"/>
              <w:sz w:val="22"/>
            </w:rPr>
            <w:t>5. Diferencias en la intensidad parasitaria de </w:t>
          </w:r>
          <w:r>
            <w:rPr>
              <w:b w:val="0"/>
              <w:i/>
              <w:sz w:val="22"/>
            </w:rPr>
            <w:t>Bothriocephalus acheilognathi </w:t>
          </w:r>
          <w:r>
            <w:rPr>
              <w:b w:val="0"/>
              <w:i w:val="0"/>
              <w:sz w:val="22"/>
            </w:rPr>
            <w:t>entre sexo y localidad.</w:t>
          </w:r>
        </w:p>
        <w:p>
          <w:pPr>
            <w:pStyle w:val="TOC2"/>
            <w:spacing w:line="251" w:lineRule="exact"/>
            <w:ind w:left="181" w:firstLine="0"/>
          </w:pPr>
          <w:r>
            <w:rPr/>
            <w:t>................................................................................................................................................... 37</w:t>
          </w:r>
        </w:p>
        <w:p>
          <w:pPr>
            <w:pStyle w:val="TOC3"/>
            <w:tabs>
              <w:tab w:pos="8906" w:val="right" w:leader="dot"/>
            </w:tabs>
            <w:spacing w:before="1"/>
            <w:ind w:right="191"/>
            <w:rPr>
              <w:b w:val="0"/>
              <w:i w:val="0"/>
              <w:sz w:val="22"/>
            </w:rPr>
          </w:pPr>
          <w:r>
            <w:rPr>
              <w:b w:val="0"/>
              <w:i w:val="0"/>
              <w:sz w:val="22"/>
            </w:rPr>
            <w:t>4. Diferencias en la intensidad parasitaria </w:t>
          </w:r>
          <w:r>
            <w:rPr>
              <w:b w:val="0"/>
              <w:i w:val="0"/>
              <w:spacing w:val="-3"/>
              <w:sz w:val="22"/>
            </w:rPr>
            <w:t>de </w:t>
          </w:r>
          <w:r>
            <w:rPr>
              <w:b w:val="0"/>
              <w:i/>
              <w:sz w:val="22"/>
            </w:rPr>
            <w:t>Valipora campylacristrota </w:t>
          </w:r>
          <w:r>
            <w:rPr>
              <w:b w:val="0"/>
              <w:i w:val="0"/>
              <w:spacing w:val="-3"/>
              <w:sz w:val="22"/>
            </w:rPr>
            <w:t>de </w:t>
          </w:r>
          <w:r>
            <w:rPr>
              <w:b w:val="0"/>
              <w:i w:val="0"/>
              <w:sz w:val="22"/>
            </w:rPr>
            <w:t>acuerdo al sexo y la localidad de</w:t>
          </w:r>
          <w:r>
            <w:rPr>
              <w:b w:val="0"/>
              <w:i w:val="0"/>
              <w:spacing w:val="-7"/>
              <w:sz w:val="22"/>
            </w:rPr>
            <w:t> </w:t>
          </w:r>
          <w:r>
            <w:rPr>
              <w:b w:val="0"/>
              <w:i/>
              <w:sz w:val="22"/>
            </w:rPr>
            <w:t>G.</w:t>
          </w:r>
          <w:r>
            <w:rPr>
              <w:b w:val="0"/>
              <w:i w:val="0"/>
              <w:spacing w:val="3"/>
              <w:sz w:val="22"/>
            </w:rPr>
            <w:t> </w:t>
          </w:r>
          <w:r>
            <w:rPr>
              <w:b w:val="0"/>
              <w:i/>
              <w:sz w:val="22"/>
            </w:rPr>
            <w:t>multiradiatus</w:t>
          </w:r>
          <w:r>
            <w:rPr>
              <w:b w:val="0"/>
              <w:i w:val="0"/>
              <w:sz w:val="22"/>
            </w:rPr>
            <w:tab/>
            <w:t>38</w:t>
          </w:r>
        </w:p>
        <w:p>
          <w:pPr>
            <w:pStyle w:val="TOC1"/>
            <w:tabs>
              <w:tab w:pos="8906" w:val="right" w:leader="dot"/>
            </w:tabs>
            <w:spacing w:before="127"/>
          </w:pPr>
          <w:hyperlink w:history="true" w:anchor="_TOC_250002">
            <w:r>
              <w:rPr/>
              <w:t>DISCUSIÓN</w:t>
              <w:tab/>
              <w:t>39</w:t>
            </w:r>
          </w:hyperlink>
        </w:p>
        <w:p>
          <w:pPr>
            <w:pStyle w:val="TOC1"/>
            <w:tabs>
              <w:tab w:pos="8906" w:val="right" w:leader="dot"/>
            </w:tabs>
          </w:pPr>
          <w:hyperlink w:history="true" w:anchor="_TOC_250001">
            <w:r>
              <w:rPr/>
              <w:t>ANEXOS</w:t>
              <w:tab/>
              <w:t>70</w:t>
            </w:r>
          </w:hyperlink>
        </w:p>
        <w:p>
          <w:pPr>
            <w:pStyle w:val="TOC1"/>
            <w:tabs>
              <w:tab w:pos="8906" w:val="right" w:leader="dot"/>
            </w:tabs>
            <w:spacing w:before="122"/>
          </w:pPr>
          <w:hyperlink w:history="true" w:anchor="_TOC_250000">
            <w:r>
              <w:rPr/>
              <w:t>REFERENCIAS</w:t>
              <w:tab/>
              <w:t>75</w:t>
            </w:r>
          </w:hyperlink>
        </w:p>
      </w:sdtContent>
    </w:sdt>
    <w:p>
      <w:pPr>
        <w:spacing w:after="0"/>
        <w:sectPr>
          <w:pgSz w:w="12240" w:h="15840"/>
          <w:pgMar w:header="0" w:footer="1304" w:top="1500" w:bottom="1560" w:left="1720" w:right="1420"/>
        </w:sectPr>
      </w:pPr>
    </w:p>
    <w:p>
      <w:pPr>
        <w:pStyle w:val="BodyText"/>
        <w:rPr>
          <w:b/>
        </w:rPr>
      </w:pPr>
    </w:p>
    <w:p>
      <w:pPr>
        <w:pStyle w:val="BodyText"/>
        <w:rPr>
          <w:b/>
        </w:rPr>
      </w:pPr>
    </w:p>
    <w:p>
      <w:pPr>
        <w:pStyle w:val="BodyText"/>
        <w:rPr>
          <w:b/>
        </w:rPr>
      </w:pPr>
    </w:p>
    <w:p>
      <w:pPr>
        <w:pStyle w:val="BodyText"/>
        <w:spacing w:before="9"/>
        <w:rPr>
          <w:b/>
          <w:sz w:val="32"/>
        </w:rPr>
      </w:pPr>
    </w:p>
    <w:p>
      <w:pPr>
        <w:pStyle w:val="Heading1"/>
        <w:spacing w:before="0"/>
        <w:ind w:right="120"/>
        <w:jc w:val="left"/>
      </w:pPr>
      <w:bookmarkStart w:name="_TOC_250012" w:id="1"/>
      <w:bookmarkEnd w:id="1"/>
      <w:r>
        <w:rPr/>
        <w:t>INDICE DE FIGURAS</w:t>
      </w:r>
    </w:p>
    <w:p>
      <w:pPr>
        <w:pStyle w:val="BodyText"/>
        <w:rPr>
          <w:b/>
        </w:rPr>
      </w:pPr>
    </w:p>
    <w:p>
      <w:pPr>
        <w:pStyle w:val="BodyText"/>
        <w:spacing w:before="4"/>
        <w:rPr>
          <w:b/>
          <w:sz w:val="23"/>
        </w:rPr>
      </w:pPr>
    </w:p>
    <w:p>
      <w:pPr>
        <w:spacing w:before="0"/>
        <w:ind w:left="152" w:right="120" w:firstLine="0"/>
        <w:jc w:val="left"/>
        <w:rPr>
          <w:sz w:val="24"/>
        </w:rPr>
      </w:pPr>
      <w:r>
        <w:rPr>
          <w:b/>
          <w:sz w:val="24"/>
        </w:rPr>
        <w:t>Figura 1</w:t>
      </w:r>
      <w:r>
        <w:rPr>
          <w:sz w:val="24"/>
        </w:rPr>
        <w:t>. Parámetros morfométricos de </w:t>
      </w:r>
      <w:r>
        <w:rPr>
          <w:i/>
          <w:sz w:val="24"/>
        </w:rPr>
        <w:t>G. multiradiatus</w:t>
      </w:r>
      <w:r>
        <w:rPr>
          <w:sz w:val="24"/>
        </w:rPr>
        <w:t>.</w:t>
      </w:r>
    </w:p>
    <w:p>
      <w:pPr>
        <w:pStyle w:val="BodyText"/>
      </w:pPr>
    </w:p>
    <w:p>
      <w:pPr>
        <w:spacing w:line="480" w:lineRule="auto" w:before="0"/>
        <w:ind w:left="152" w:right="120" w:firstLine="0"/>
        <w:jc w:val="left"/>
        <w:rPr>
          <w:sz w:val="24"/>
        </w:rPr>
      </w:pPr>
      <w:r>
        <w:rPr>
          <w:b/>
          <w:sz w:val="24"/>
        </w:rPr>
        <w:t>Figura 2. </w:t>
      </w:r>
      <w:r>
        <w:rPr>
          <w:sz w:val="24"/>
        </w:rPr>
        <w:t>Comparación de medias de la intensidad de </w:t>
      </w:r>
      <w:r>
        <w:rPr>
          <w:i/>
          <w:sz w:val="24"/>
        </w:rPr>
        <w:t>Tylodelphys </w:t>
      </w:r>
      <w:r>
        <w:rPr>
          <w:sz w:val="24"/>
        </w:rPr>
        <w:t>sp. de acuerdo al sexo y localidad de </w:t>
      </w:r>
      <w:r>
        <w:rPr>
          <w:i/>
          <w:sz w:val="24"/>
        </w:rPr>
        <w:t>G. multiradiatus</w:t>
      </w:r>
      <w:r>
        <w:rPr>
          <w:sz w:val="24"/>
        </w:rPr>
        <w:t>.</w:t>
      </w:r>
    </w:p>
    <w:p>
      <w:pPr>
        <w:pStyle w:val="BodyText"/>
        <w:spacing w:line="480" w:lineRule="auto" w:before="10"/>
        <w:ind w:left="152" w:right="120"/>
      </w:pPr>
      <w:r>
        <w:rPr>
          <w:b/>
        </w:rPr>
        <w:t>Figura 3</w:t>
      </w:r>
      <w:r>
        <w:rPr/>
        <w:t>. Interacción del sexo y localidad en la intensidad parasitaria de </w:t>
      </w:r>
      <w:r>
        <w:rPr>
          <w:i/>
        </w:rPr>
        <w:t>Tylodelphys </w:t>
      </w:r>
      <w:r>
        <w:rPr/>
        <w:t>sp (Factor 1 SEXO).</w:t>
      </w:r>
    </w:p>
    <w:p>
      <w:pPr>
        <w:pStyle w:val="BodyText"/>
        <w:spacing w:line="480" w:lineRule="auto" w:before="10"/>
        <w:ind w:left="152" w:right="120"/>
      </w:pPr>
      <w:r>
        <w:rPr>
          <w:b/>
        </w:rPr>
        <w:t>Figura 4</w:t>
      </w:r>
      <w:r>
        <w:rPr/>
        <w:t>. Interacción del sexo y localidad en la intensidad parasitaria de Tylodelphys sp. (Factor 2 LOCALIDAD)</w:t>
      </w:r>
    </w:p>
    <w:p>
      <w:pPr>
        <w:spacing w:line="480" w:lineRule="auto" w:before="10"/>
        <w:ind w:left="152" w:right="120" w:firstLine="0"/>
        <w:jc w:val="left"/>
        <w:rPr>
          <w:sz w:val="24"/>
        </w:rPr>
      </w:pPr>
      <w:r>
        <w:rPr>
          <w:b/>
          <w:sz w:val="24"/>
        </w:rPr>
        <w:t>Figura 5</w:t>
      </w:r>
      <w:r>
        <w:rPr>
          <w:sz w:val="24"/>
        </w:rPr>
        <w:t>. Regresiones lineares de la intensidad parasitaria de </w:t>
      </w:r>
      <w:r>
        <w:rPr>
          <w:i/>
          <w:sz w:val="24"/>
        </w:rPr>
        <w:t>Tylodelphys </w:t>
      </w:r>
      <w:r>
        <w:rPr>
          <w:sz w:val="24"/>
        </w:rPr>
        <w:t>sp</w:t>
      </w:r>
      <w:r>
        <w:rPr>
          <w:i/>
          <w:sz w:val="24"/>
        </w:rPr>
        <w:t>. </w:t>
      </w:r>
      <w:r>
        <w:rPr>
          <w:sz w:val="24"/>
        </w:rPr>
        <w:t>y el Componente principal 1.</w:t>
      </w:r>
    </w:p>
    <w:p>
      <w:pPr>
        <w:spacing w:line="480" w:lineRule="auto" w:before="10"/>
        <w:ind w:left="152" w:right="120" w:firstLine="0"/>
        <w:jc w:val="left"/>
        <w:rPr>
          <w:sz w:val="24"/>
        </w:rPr>
      </w:pPr>
      <w:r>
        <w:rPr>
          <w:b/>
          <w:sz w:val="24"/>
        </w:rPr>
        <w:t>Figura 6 </w:t>
      </w:r>
      <w:r>
        <w:rPr>
          <w:sz w:val="24"/>
        </w:rPr>
        <w:t>Regresiones lineares de la intensidad parasitaria de </w:t>
      </w:r>
      <w:r>
        <w:rPr>
          <w:i/>
          <w:sz w:val="24"/>
        </w:rPr>
        <w:t>Tylodelphys </w:t>
      </w:r>
      <w:r>
        <w:rPr>
          <w:sz w:val="24"/>
        </w:rPr>
        <w:t>sp</w:t>
      </w:r>
      <w:r>
        <w:rPr>
          <w:i/>
          <w:sz w:val="24"/>
        </w:rPr>
        <w:t>. </w:t>
      </w:r>
      <w:r>
        <w:rPr>
          <w:sz w:val="24"/>
        </w:rPr>
        <w:t>y el Componente principal 2.</w:t>
      </w:r>
    </w:p>
    <w:p>
      <w:pPr>
        <w:spacing w:line="480" w:lineRule="auto" w:before="10"/>
        <w:ind w:left="152" w:right="120" w:firstLine="0"/>
        <w:jc w:val="left"/>
        <w:rPr>
          <w:sz w:val="24"/>
        </w:rPr>
      </w:pPr>
      <w:r>
        <w:rPr>
          <w:b/>
          <w:sz w:val="24"/>
        </w:rPr>
        <w:t>Figura 7 </w:t>
      </w:r>
      <w:r>
        <w:rPr>
          <w:sz w:val="24"/>
        </w:rPr>
        <w:t>Regresiones lineares de la intensidad parasitaria de </w:t>
      </w:r>
      <w:r>
        <w:rPr>
          <w:i/>
          <w:sz w:val="24"/>
        </w:rPr>
        <w:t>Tylodelphys </w:t>
      </w:r>
      <w:r>
        <w:rPr>
          <w:sz w:val="24"/>
        </w:rPr>
        <w:t>sp</w:t>
      </w:r>
      <w:r>
        <w:rPr>
          <w:i/>
          <w:sz w:val="24"/>
        </w:rPr>
        <w:t>. </w:t>
      </w:r>
      <w:r>
        <w:rPr>
          <w:sz w:val="24"/>
        </w:rPr>
        <w:t>y el Componente principal 3.</w:t>
      </w:r>
    </w:p>
    <w:p>
      <w:pPr>
        <w:spacing w:line="480" w:lineRule="auto" w:before="11"/>
        <w:ind w:left="152" w:right="120" w:firstLine="0"/>
        <w:jc w:val="left"/>
        <w:rPr>
          <w:sz w:val="24"/>
        </w:rPr>
      </w:pPr>
      <w:r>
        <w:rPr>
          <w:b/>
          <w:sz w:val="24"/>
        </w:rPr>
        <w:t>Figura 8 </w:t>
      </w:r>
      <w:r>
        <w:rPr>
          <w:sz w:val="24"/>
        </w:rPr>
        <w:t>Comparación de medias de la intensidad parasitaria de </w:t>
      </w:r>
      <w:r>
        <w:rPr>
          <w:i/>
          <w:sz w:val="24"/>
        </w:rPr>
        <w:t>Bothriocephalus </w:t>
      </w:r>
      <w:r>
        <w:rPr>
          <w:i/>
          <w:sz w:val="24"/>
        </w:rPr>
        <w:t>acheilognathi </w:t>
      </w:r>
      <w:r>
        <w:rPr>
          <w:sz w:val="24"/>
        </w:rPr>
        <w:t>entre sexo y localidad de </w:t>
      </w:r>
      <w:r>
        <w:rPr>
          <w:i/>
          <w:sz w:val="24"/>
        </w:rPr>
        <w:t>G. multiradiatus</w:t>
      </w:r>
      <w:r>
        <w:rPr>
          <w:sz w:val="24"/>
        </w:rPr>
        <w:t>.</w:t>
      </w:r>
    </w:p>
    <w:p>
      <w:pPr>
        <w:tabs>
          <w:tab w:pos="1079" w:val="left" w:leader="none"/>
          <w:tab w:pos="1482" w:val="left" w:leader="none"/>
          <w:tab w:pos="3003" w:val="left" w:leader="none"/>
          <w:tab w:pos="3468" w:val="left" w:leader="none"/>
          <w:tab w:pos="4373" w:val="left" w:leader="none"/>
          <w:tab w:pos="4834" w:val="left" w:leader="none"/>
          <w:tab w:pos="5241" w:val="left" w:leader="none"/>
          <w:tab w:pos="6455" w:val="left" w:leader="none"/>
          <w:tab w:pos="7682" w:val="left" w:leader="none"/>
          <w:tab w:pos="8147" w:val="left" w:leader="none"/>
        </w:tabs>
        <w:spacing w:line="480" w:lineRule="auto" w:before="10"/>
        <w:ind w:left="152" w:right="120" w:firstLine="0"/>
        <w:jc w:val="left"/>
        <w:rPr>
          <w:sz w:val="24"/>
        </w:rPr>
      </w:pPr>
      <w:r>
        <w:rPr>
          <w:b/>
          <w:sz w:val="24"/>
        </w:rPr>
        <w:t>Figura</w:t>
        <w:tab/>
        <w:t>9</w:t>
      </w:r>
      <w:r>
        <w:rPr>
          <w:sz w:val="24"/>
        </w:rPr>
        <w:t>.</w:t>
        <w:tab/>
        <w:t>Comparación</w:t>
        <w:tab/>
        <w:t>de</w:t>
        <w:tab/>
      </w:r>
      <w:r>
        <w:rPr>
          <w:spacing w:val="-3"/>
          <w:sz w:val="24"/>
        </w:rPr>
        <w:t>medias</w:t>
        <w:tab/>
      </w:r>
      <w:r>
        <w:rPr>
          <w:sz w:val="24"/>
        </w:rPr>
        <w:t>de</w:t>
        <w:tab/>
      </w:r>
      <w:r>
        <w:rPr>
          <w:spacing w:val="-3"/>
          <w:sz w:val="24"/>
        </w:rPr>
        <w:t>la</w:t>
        <w:tab/>
      </w:r>
      <w:r>
        <w:rPr>
          <w:sz w:val="24"/>
        </w:rPr>
        <w:t>intensidad</w:t>
        <w:tab/>
        <w:t>parasitaria</w:t>
        <w:tab/>
        <w:t>de</w:t>
        <w:tab/>
      </w:r>
      <w:r>
        <w:rPr>
          <w:i/>
          <w:spacing w:val="-1"/>
          <w:sz w:val="24"/>
        </w:rPr>
        <w:t>Valipora </w:t>
      </w:r>
      <w:r>
        <w:rPr>
          <w:i/>
          <w:sz w:val="24"/>
        </w:rPr>
        <w:t>campylancristrota </w:t>
      </w:r>
      <w:r>
        <w:rPr>
          <w:sz w:val="24"/>
        </w:rPr>
        <w:t>entre </w:t>
      </w:r>
      <w:r>
        <w:rPr>
          <w:spacing w:val="-3"/>
          <w:sz w:val="24"/>
        </w:rPr>
        <w:t>sexo </w:t>
      </w:r>
      <w:r>
        <w:rPr>
          <w:sz w:val="24"/>
        </w:rPr>
        <w:t>y localidad de </w:t>
      </w:r>
      <w:r>
        <w:rPr>
          <w:i/>
          <w:sz w:val="24"/>
        </w:rPr>
        <w:t>G.</w:t>
      </w:r>
      <w:r>
        <w:rPr>
          <w:i/>
          <w:spacing w:val="1"/>
          <w:sz w:val="24"/>
        </w:rPr>
        <w:t> </w:t>
      </w:r>
      <w:r>
        <w:rPr>
          <w:i/>
          <w:sz w:val="24"/>
        </w:rPr>
        <w:t>multiradiatus</w:t>
      </w:r>
      <w:r>
        <w:rPr>
          <w:sz w:val="24"/>
        </w:rPr>
        <w:t>.</w:t>
      </w:r>
    </w:p>
    <w:p>
      <w:pPr>
        <w:spacing w:after="0" w:line="480" w:lineRule="auto"/>
        <w:jc w:val="left"/>
        <w:rPr>
          <w:sz w:val="24"/>
        </w:rPr>
        <w:sectPr>
          <w:pgSz w:w="12240" w:h="15840"/>
          <w:pgMar w:header="0" w:footer="1304" w:top="1500" w:bottom="1560" w:left="1720" w:right="1400"/>
        </w:sectPr>
      </w:pPr>
    </w:p>
    <w:p>
      <w:pPr>
        <w:pStyle w:val="BodyText"/>
        <w:rPr>
          <w:sz w:val="20"/>
        </w:rPr>
      </w:pPr>
    </w:p>
    <w:p>
      <w:pPr>
        <w:pStyle w:val="BodyText"/>
        <w:rPr>
          <w:sz w:val="20"/>
        </w:rPr>
      </w:pPr>
    </w:p>
    <w:p>
      <w:pPr>
        <w:pStyle w:val="BodyText"/>
        <w:spacing w:before="9"/>
        <w:rPr>
          <w:sz w:val="22"/>
        </w:rPr>
      </w:pPr>
    </w:p>
    <w:p>
      <w:pPr>
        <w:pStyle w:val="Heading1"/>
      </w:pPr>
      <w:bookmarkStart w:name="_TOC_250011" w:id="2"/>
      <w:bookmarkEnd w:id="2"/>
      <w:r>
        <w:rPr/>
        <w:t>INTRODUCCIÓN</w:t>
      </w:r>
    </w:p>
    <w:p>
      <w:pPr>
        <w:pStyle w:val="BodyText"/>
        <w:rPr>
          <w:b/>
        </w:rPr>
      </w:pPr>
    </w:p>
    <w:p>
      <w:pPr>
        <w:pStyle w:val="BodyText"/>
        <w:rPr>
          <w:b/>
        </w:rPr>
      </w:pPr>
    </w:p>
    <w:p>
      <w:pPr>
        <w:pStyle w:val="BodyText"/>
        <w:spacing w:before="7"/>
        <w:rPr>
          <w:b/>
          <w:sz w:val="23"/>
        </w:rPr>
      </w:pPr>
    </w:p>
    <w:p>
      <w:pPr>
        <w:pStyle w:val="BodyText"/>
        <w:spacing w:line="480" w:lineRule="auto"/>
        <w:ind w:left="152" w:right="105"/>
        <w:jc w:val="both"/>
      </w:pPr>
      <w:r>
        <w:rPr/>
        <w:t>La influencia de los parásitos en la evolución de los organismos de vida libre es para algunos científicos el tema central y para otros es un factor inevitable, dado que todos los organismos son afectados por los parásitos. Mientras los estudios pasados se enfocaban en los efectos directos de patógenos en la fecundidad y sobrevivencia de los hospederos, estudios actuales muestras un sorprendente número de inesperadas consecuencias en varios aspectos del hospedero, como la conducta, morfología y/o fisiología.</w:t>
      </w:r>
    </w:p>
    <w:p>
      <w:pPr>
        <w:pStyle w:val="BodyText"/>
        <w:spacing w:line="480" w:lineRule="auto" w:before="10"/>
        <w:ind w:left="152" w:right="102"/>
        <w:jc w:val="both"/>
      </w:pPr>
      <w:r>
        <w:rPr/>
        <w:t>Numerosos trabajos han buscado determinar cómo </w:t>
      </w:r>
      <w:r>
        <w:rPr>
          <w:spacing w:val="-3"/>
        </w:rPr>
        <w:t>las </w:t>
      </w:r>
      <w:r>
        <w:rPr/>
        <w:t>relaciones entre parásito y hospedero afectan </w:t>
      </w:r>
      <w:r>
        <w:rPr>
          <w:spacing w:val="-3"/>
        </w:rPr>
        <w:t>la </w:t>
      </w:r>
      <w:r>
        <w:rPr/>
        <w:t>salud de éste (Pampoulie </w:t>
      </w:r>
      <w:r>
        <w:rPr>
          <w:i/>
        </w:rPr>
        <w:t>et al</w:t>
      </w:r>
      <w:r>
        <w:rPr/>
        <w:t>., 1999; Leonardos &amp; Trilles, 2003) utilizando como evidencia de daño a </w:t>
      </w:r>
      <w:r>
        <w:rPr>
          <w:spacing w:val="-3"/>
        </w:rPr>
        <w:t>la </w:t>
      </w:r>
      <w:r>
        <w:rPr/>
        <w:t>talla o el peso del hospedero (Chigbu, 2001; Tucker </w:t>
      </w:r>
      <w:r>
        <w:rPr>
          <w:i/>
        </w:rPr>
        <w:t>et al</w:t>
      </w:r>
      <w:r>
        <w:rPr/>
        <w:t>. 2002). Por ejemplo, es de esperar que organismos en crecimiento que experimenten una gran carga parasitaria alcancen tallas menores que individuos </w:t>
      </w:r>
      <w:r>
        <w:rPr>
          <w:spacing w:val="-3"/>
        </w:rPr>
        <w:t>no </w:t>
      </w:r>
      <w:r>
        <w:rPr/>
        <w:t>parasitados, dando </w:t>
      </w:r>
      <w:r>
        <w:rPr>
          <w:spacing w:val="-3"/>
        </w:rPr>
        <w:t>lugar </w:t>
      </w:r>
      <w:r>
        <w:rPr/>
        <w:t>a asociaciones negativas entre </w:t>
      </w:r>
      <w:r>
        <w:rPr>
          <w:spacing w:val="-5"/>
        </w:rPr>
        <w:t>la </w:t>
      </w:r>
      <w:r>
        <w:rPr/>
        <w:t>presencia o abundancia de los parásitos y </w:t>
      </w:r>
      <w:r>
        <w:rPr>
          <w:spacing w:val="-3"/>
        </w:rPr>
        <w:t>la </w:t>
      </w:r>
      <w:r>
        <w:rPr/>
        <w:t>talla o el peso del hospedero (Uldal &amp; Buchmann, 1996; Wright </w:t>
      </w:r>
      <w:r>
        <w:rPr>
          <w:i/>
        </w:rPr>
        <w:t>et al</w:t>
      </w:r>
      <w:r>
        <w:rPr/>
        <w:t>., 2001; Diouf,</w:t>
      </w:r>
      <w:r>
        <w:rPr>
          <w:spacing w:val="-20"/>
        </w:rPr>
        <w:t> </w:t>
      </w:r>
      <w:r>
        <w:rPr/>
        <w:t>2003).</w:t>
      </w:r>
    </w:p>
    <w:p>
      <w:pPr>
        <w:pStyle w:val="BodyText"/>
        <w:spacing w:line="480" w:lineRule="auto" w:before="10"/>
        <w:ind w:left="152" w:right="101"/>
        <w:jc w:val="both"/>
      </w:pPr>
      <w:r>
        <w:rPr/>
        <w:t>Existen también muchos trabajos que no encuentran tal asociación (Benajiba </w:t>
      </w:r>
      <w:r>
        <w:rPr>
          <w:i/>
        </w:rPr>
        <w:t>et al</w:t>
      </w:r>
      <w:r>
        <w:rPr/>
        <w:t>., 1995; Herreras </w:t>
      </w:r>
      <w:r>
        <w:rPr>
          <w:i/>
        </w:rPr>
        <w:t>et al</w:t>
      </w:r>
      <w:r>
        <w:rPr/>
        <w:t>., 2000; Rubio- Godoy </w:t>
      </w:r>
      <w:r>
        <w:rPr>
          <w:i/>
        </w:rPr>
        <w:t>et al</w:t>
      </w:r>
      <w:r>
        <w:rPr/>
        <w:t>., 2003) o que encuentran que ambas variables se asocian positivamente. Este patrón tiene sentido ya que la selección Natural favorece a los parásitos que explotan a hospederos de gran talla corporal o longevidad. Adicionalmente, otros aspectos de la biología de los hospederos como su conducta social y su distribución espacial, son factores de riesgo adicionales (Poulin, 2007).</w:t>
      </w:r>
    </w:p>
    <w:p>
      <w:pPr>
        <w:spacing w:after="0" w:line="480" w:lineRule="auto"/>
        <w:jc w:val="both"/>
        <w:sectPr>
          <w:pgSz w:w="12240" w:h="15840"/>
          <w:pgMar w:header="0" w:footer="1304" w:top="1500" w:bottom="1560" w:left="1720" w:right="1420"/>
        </w:sectPr>
      </w:pPr>
    </w:p>
    <w:p>
      <w:pPr>
        <w:pStyle w:val="BodyText"/>
        <w:spacing w:before="7"/>
        <w:rPr>
          <w:sz w:val="20"/>
        </w:rPr>
      </w:pPr>
    </w:p>
    <w:p>
      <w:pPr>
        <w:pStyle w:val="BodyText"/>
        <w:spacing w:line="480" w:lineRule="auto" w:before="69"/>
        <w:ind w:left="152" w:right="116"/>
        <w:jc w:val="both"/>
      </w:pPr>
      <w:r>
        <w:rPr>
          <w:i/>
        </w:rPr>
        <w:t>Girardinichthys multiradiatus</w:t>
      </w:r>
      <w:r>
        <w:rPr/>
        <w:t>, conocido comúnmente como “mexcalpique” o "amarillo", es un pez vivíparo endémico de </w:t>
      </w:r>
      <w:r>
        <w:rPr>
          <w:spacing w:val="-5"/>
        </w:rPr>
        <w:t>la </w:t>
      </w:r>
      <w:r>
        <w:rPr/>
        <w:t>cuenca alta del Río Lerma, aunque también se encuentra en algunas localidades cuencas del Pánuco y del Balsas (Torres-Orozco, 1991); es considerado de interés especial, debido a su compleja conducta </w:t>
      </w:r>
      <w:r>
        <w:rPr>
          <w:spacing w:val="-3"/>
        </w:rPr>
        <w:t>sexual, </w:t>
      </w:r>
      <w:r>
        <w:rPr/>
        <w:t>así como a su confinada distribución y abundancia. Actualmente se encuentra en categoría de especie vulnerable dentro de </w:t>
      </w:r>
      <w:r>
        <w:rPr>
          <w:spacing w:val="-5"/>
        </w:rPr>
        <w:t>la </w:t>
      </w:r>
      <w:r>
        <w:rPr/>
        <w:t>Lista Roja (IUCN, 2011). Presenta un marcado </w:t>
      </w:r>
      <w:r>
        <w:rPr>
          <w:spacing w:val="-3"/>
        </w:rPr>
        <w:t>dimorfismo  </w:t>
      </w:r>
      <w:r>
        <w:rPr/>
        <w:t>sexual (machos  con aletas impares grandes y coloridas) y alcanza tallas máximas de 55 y 60 </w:t>
      </w:r>
      <w:r>
        <w:rPr>
          <w:spacing w:val="-3"/>
        </w:rPr>
        <w:t>mm </w:t>
      </w:r>
      <w:r>
        <w:rPr/>
        <w:t>(LT). Se distribuye en ambientes loticos </w:t>
      </w:r>
      <w:r>
        <w:rPr>
          <w:spacing w:val="-3"/>
        </w:rPr>
        <w:t>como </w:t>
      </w:r>
      <w:r>
        <w:rPr/>
        <w:t>pozas o zanjas con vegetación ribereña o sumergida y profundidades menores a un metro (Miller </w:t>
      </w:r>
      <w:r>
        <w:rPr>
          <w:i/>
        </w:rPr>
        <w:t>et al</w:t>
      </w:r>
      <w:r>
        <w:rPr/>
        <w:t>., 2005). En 2004, Sánchez-Nava y colaboradores registraron en </w:t>
      </w:r>
      <w:r>
        <w:rPr>
          <w:i/>
        </w:rPr>
        <w:t>G. multiradiatus </w:t>
      </w:r>
      <w:r>
        <w:rPr>
          <w:spacing w:val="-5"/>
        </w:rPr>
        <w:t>la </w:t>
      </w:r>
      <w:r>
        <w:rPr/>
        <w:t>presencia de un total de 13 especies de helmintos incluyendo monogéneos, tremátodos y</w:t>
      </w:r>
      <w:r>
        <w:rPr>
          <w:spacing w:val="-21"/>
        </w:rPr>
        <w:t> </w:t>
      </w:r>
      <w:r>
        <w:rPr/>
        <w:t>cestodos.</w:t>
      </w:r>
    </w:p>
    <w:p>
      <w:pPr>
        <w:pStyle w:val="BodyText"/>
      </w:pPr>
    </w:p>
    <w:p>
      <w:pPr>
        <w:pStyle w:val="BodyText"/>
        <w:spacing w:before="10"/>
      </w:pPr>
    </w:p>
    <w:p>
      <w:pPr>
        <w:spacing w:line="480" w:lineRule="auto" w:before="0"/>
        <w:ind w:left="152" w:right="115" w:firstLine="0"/>
        <w:jc w:val="both"/>
        <w:rPr>
          <w:sz w:val="24"/>
        </w:rPr>
      </w:pPr>
      <w:r>
        <w:rPr>
          <w:sz w:val="24"/>
        </w:rPr>
        <w:t>El objetivo de éste trabajo fue analizar el efecto de las tres especies parásitas mas abundantes: la metacercaria de </w:t>
      </w:r>
      <w:r>
        <w:rPr>
          <w:i/>
          <w:sz w:val="24"/>
        </w:rPr>
        <w:t>Tylodelphys </w:t>
      </w:r>
      <w:r>
        <w:rPr>
          <w:sz w:val="24"/>
        </w:rPr>
        <w:t>sp., el cestodo </w:t>
      </w:r>
      <w:r>
        <w:rPr>
          <w:i/>
          <w:sz w:val="24"/>
        </w:rPr>
        <w:t>Bothriocephalus acheilognathi </w:t>
      </w:r>
      <w:r>
        <w:rPr>
          <w:sz w:val="24"/>
        </w:rPr>
        <w:t>y el metacestodo </w:t>
      </w:r>
      <w:r>
        <w:rPr>
          <w:i/>
          <w:sz w:val="24"/>
        </w:rPr>
        <w:t>Valipora campylancristrota</w:t>
      </w:r>
      <w:r>
        <w:rPr>
          <w:sz w:val="24"/>
        </w:rPr>
        <w:t>, en la talla y peso de </w:t>
      </w:r>
      <w:r>
        <w:rPr>
          <w:i/>
          <w:sz w:val="24"/>
        </w:rPr>
        <w:t>Girardinichthys </w:t>
      </w:r>
      <w:r>
        <w:rPr>
          <w:i/>
          <w:sz w:val="24"/>
        </w:rPr>
        <w:t>multiradiatus</w:t>
      </w:r>
      <w:r>
        <w:rPr>
          <w:sz w:val="24"/>
        </w:rPr>
        <w:t>, en dos poblaciones naturales así como la relación de esta parasitosis con la edad y sexo de este pez nativo de México.</w:t>
      </w:r>
    </w:p>
    <w:p>
      <w:pPr>
        <w:spacing w:after="0" w:line="480" w:lineRule="auto"/>
        <w:jc w:val="both"/>
        <w:rPr>
          <w:sz w:val="24"/>
        </w:rPr>
        <w:sectPr>
          <w:pgSz w:w="12240" w:h="15840"/>
          <w:pgMar w:header="0" w:footer="1304" w:top="1500" w:bottom="1560" w:left="1720" w:right="1400"/>
        </w:sectPr>
      </w:pPr>
    </w:p>
    <w:p>
      <w:pPr>
        <w:pStyle w:val="BodyText"/>
        <w:rPr>
          <w:sz w:val="20"/>
        </w:rPr>
      </w:pPr>
    </w:p>
    <w:p>
      <w:pPr>
        <w:pStyle w:val="BodyText"/>
        <w:rPr>
          <w:sz w:val="20"/>
        </w:rPr>
      </w:pPr>
    </w:p>
    <w:p>
      <w:pPr>
        <w:pStyle w:val="BodyText"/>
        <w:spacing w:before="9"/>
        <w:rPr>
          <w:sz w:val="22"/>
        </w:rPr>
      </w:pPr>
    </w:p>
    <w:p>
      <w:pPr>
        <w:pStyle w:val="Heading1"/>
      </w:pPr>
      <w:bookmarkStart w:name="_TOC_250010" w:id="3"/>
      <w:bookmarkEnd w:id="3"/>
      <w:r>
        <w:rPr/>
        <w:t>ANTECEDENTES</w:t>
      </w:r>
    </w:p>
    <w:p>
      <w:pPr>
        <w:pStyle w:val="BodyText"/>
        <w:rPr>
          <w:b/>
        </w:rPr>
      </w:pPr>
    </w:p>
    <w:p>
      <w:pPr>
        <w:pStyle w:val="ListParagraph"/>
        <w:numPr>
          <w:ilvl w:val="0"/>
          <w:numId w:val="3"/>
        </w:numPr>
        <w:tabs>
          <w:tab w:pos="336" w:val="left" w:leader="none"/>
        </w:tabs>
        <w:spacing w:line="240" w:lineRule="auto" w:before="197" w:after="0"/>
        <w:ind w:left="335" w:right="0" w:hanging="183"/>
        <w:jc w:val="both"/>
        <w:rPr>
          <w:sz w:val="24"/>
        </w:rPr>
      </w:pPr>
      <w:r>
        <w:rPr>
          <w:sz w:val="24"/>
        </w:rPr>
        <w:t>Parasitismo</w:t>
      </w:r>
    </w:p>
    <w:p>
      <w:pPr>
        <w:pStyle w:val="BodyText"/>
      </w:pPr>
    </w:p>
    <w:p>
      <w:pPr>
        <w:pStyle w:val="BodyText"/>
      </w:pPr>
    </w:p>
    <w:p>
      <w:pPr>
        <w:pStyle w:val="BodyText"/>
      </w:pPr>
    </w:p>
    <w:p>
      <w:pPr>
        <w:pStyle w:val="BodyText"/>
        <w:spacing w:line="480" w:lineRule="auto"/>
        <w:ind w:left="152" w:right="115" w:firstLine="705"/>
        <w:jc w:val="both"/>
      </w:pPr>
      <w:r>
        <w:rPr/>
        <w:t>El parasitismo es uno de los modelos más exitosos de vida desplegado por un organismo (Poulin y Morand, 2000). Así mismo, es una asociación heterotípica negativa, temporal o permanente, externa o interna, entre una especie, el parásito, normalmente más pequeña, menos organizada o de menor nivel zoológico y otra especie más organizada, el hospedero (Pérez-Tris, 2009). El parásito depende metabólica y evolutivamente del hospedero, nutriéndose, estableciendo contacto e intercambio macromolecular, con lo cual, ocasiona acciones patógenas o modificaciones del equilibrio homeostático del hospedero y de la respuesta adaptativa de su sistema inmune (Martínez- Fernández y Cordero del Campillo. 1999).</w:t>
      </w:r>
    </w:p>
    <w:p>
      <w:pPr>
        <w:pStyle w:val="BodyText"/>
        <w:tabs>
          <w:tab w:pos="1401" w:val="left" w:leader="none"/>
          <w:tab w:pos="2404" w:val="left" w:leader="none"/>
          <w:tab w:pos="4541" w:val="left" w:leader="none"/>
          <w:tab w:pos="6232" w:val="left" w:leader="none"/>
          <w:tab w:pos="7240" w:val="left" w:leader="none"/>
          <w:tab w:pos="8383" w:val="left" w:leader="none"/>
        </w:tabs>
        <w:spacing w:line="480" w:lineRule="auto" w:before="10"/>
        <w:ind w:left="152" w:right="115"/>
        <w:jc w:val="both"/>
      </w:pPr>
      <w:r>
        <w:rPr/>
        <w:t>Hay evidencia experimental y correlacional del impacto que los parásitos pueden tener en las historias de vida, selección sexual y dinámica poblacional de los hospederos (Sheldon y Verhulst, 1996). Así mismo estudios intraespecíficos sugieren que </w:t>
      </w:r>
      <w:r>
        <w:rPr>
          <w:spacing w:val="-3"/>
        </w:rPr>
        <w:t>la </w:t>
      </w:r>
      <w:r>
        <w:rPr/>
        <w:t>función inmune juega un papel importante en los mecanismos y trueques (trade-offs) entre </w:t>
      </w:r>
      <w:r>
        <w:rPr>
          <w:spacing w:val="-4"/>
        </w:rPr>
        <w:t>las </w:t>
      </w:r>
      <w:r>
        <w:rPr/>
        <w:t>características de historias de vida (Festa-Bianchet, 1989, Apanius </w:t>
      </w:r>
      <w:r>
        <w:rPr>
          <w:i/>
        </w:rPr>
        <w:t>et al</w:t>
      </w:r>
      <w:r>
        <w:rPr/>
        <w:t>., 1994).Tanto macroparásitos y microparásitos pueden alterar fuertemente cadenas tróficas, demografía y variabilidad genética de </w:t>
      </w:r>
      <w:r>
        <w:rPr>
          <w:spacing w:val="-3"/>
        </w:rPr>
        <w:t>las </w:t>
      </w:r>
      <w:r>
        <w:rPr/>
        <w:t>poblaciones de hospederos y </w:t>
      </w:r>
      <w:r>
        <w:rPr>
          <w:spacing w:val="-3"/>
        </w:rPr>
        <w:t>las </w:t>
      </w:r>
      <w:r>
        <w:rPr/>
        <w:t>interacciones competitivas entre especies  así como su potencial invasivo. Todos estos cambios pueden ser favorables o desfavorables para</w:t>
        <w:tab/>
      </w:r>
      <w:r>
        <w:rPr>
          <w:spacing w:val="-5"/>
        </w:rPr>
        <w:t>la</w:t>
        <w:tab/>
      </w:r>
      <w:r>
        <w:rPr/>
        <w:t>biodiversidad</w:t>
        <w:tab/>
        <w:t>(Thomas</w:t>
        <w:tab/>
      </w:r>
      <w:r>
        <w:rPr>
          <w:i/>
        </w:rPr>
        <w:t>et</w:t>
        <w:tab/>
        <w:t>al.,</w:t>
        <w:tab/>
      </w:r>
      <w:r>
        <w:rPr/>
        <w:t>1998).</w:t>
      </w:r>
    </w:p>
    <w:p>
      <w:pPr>
        <w:spacing w:after="0" w:line="480" w:lineRule="auto"/>
        <w:jc w:val="both"/>
        <w:sectPr>
          <w:pgSz w:w="12240" w:h="15840"/>
          <w:pgMar w:header="0" w:footer="1304" w:top="1500" w:bottom="1560" w:left="1720" w:right="1400"/>
        </w:sectPr>
      </w:pPr>
    </w:p>
    <w:p>
      <w:pPr>
        <w:pStyle w:val="BodyText"/>
        <w:spacing w:before="1"/>
        <w:rPr>
          <w:sz w:val="21"/>
        </w:rPr>
      </w:pPr>
    </w:p>
    <w:p>
      <w:pPr>
        <w:pStyle w:val="Heading1"/>
        <w:numPr>
          <w:ilvl w:val="1"/>
          <w:numId w:val="3"/>
        </w:numPr>
        <w:tabs>
          <w:tab w:pos="518" w:val="left" w:leader="none"/>
        </w:tabs>
        <w:spacing w:line="240" w:lineRule="auto" w:before="69" w:after="0"/>
        <w:ind w:left="517" w:right="0" w:hanging="365"/>
        <w:jc w:val="both"/>
      </w:pPr>
      <w:bookmarkStart w:name="_TOC_250009" w:id="4"/>
      <w:r>
        <w:rPr/>
        <w:t>El parasitismo y rasgos de historias de</w:t>
      </w:r>
      <w:r>
        <w:rPr>
          <w:spacing w:val="-19"/>
        </w:rPr>
        <w:t> </w:t>
      </w:r>
      <w:bookmarkEnd w:id="4"/>
      <w:r>
        <w:rPr/>
        <w:t>vida</w:t>
      </w:r>
    </w:p>
    <w:p>
      <w:pPr>
        <w:pStyle w:val="BodyText"/>
        <w:rPr>
          <w:b/>
        </w:rPr>
      </w:pPr>
    </w:p>
    <w:p>
      <w:pPr>
        <w:pStyle w:val="BodyText"/>
        <w:rPr>
          <w:b/>
        </w:rPr>
      </w:pPr>
    </w:p>
    <w:p>
      <w:pPr>
        <w:pStyle w:val="BodyText"/>
        <w:spacing w:before="7"/>
        <w:rPr>
          <w:b/>
          <w:sz w:val="23"/>
        </w:rPr>
      </w:pPr>
    </w:p>
    <w:p>
      <w:pPr>
        <w:pStyle w:val="BodyText"/>
        <w:spacing w:line="480" w:lineRule="auto"/>
        <w:ind w:left="152" w:right="117" w:firstLine="705"/>
        <w:jc w:val="both"/>
      </w:pPr>
      <w:r>
        <w:rPr/>
        <w:t>Los parásitos tienen una influencia negativa en </w:t>
      </w:r>
      <w:r>
        <w:rPr>
          <w:spacing w:val="-5"/>
        </w:rPr>
        <w:t>la </w:t>
      </w:r>
      <w:r>
        <w:rPr/>
        <w:t>adecuación del hospedero, y posteriormente en el desarrollo de su defensa anti-parasitaria, </w:t>
      </w:r>
      <w:r>
        <w:rPr>
          <w:spacing w:val="-5"/>
        </w:rPr>
        <w:t>ya </w:t>
      </w:r>
      <w:r>
        <w:rPr/>
        <w:t>que </w:t>
      </w:r>
      <w:r>
        <w:rPr>
          <w:spacing w:val="3"/>
        </w:rPr>
        <w:t>el </w:t>
      </w:r>
      <w:r>
        <w:rPr/>
        <w:t>desarrollo </w:t>
      </w:r>
      <w:r>
        <w:rPr>
          <w:spacing w:val="2"/>
        </w:rPr>
        <w:t>del </w:t>
      </w:r>
      <w:r>
        <w:rPr/>
        <w:t>sistema inmune origina costos de adecuación, así mismo, un incremento en </w:t>
      </w:r>
      <w:r>
        <w:rPr>
          <w:spacing w:val="-5"/>
        </w:rPr>
        <w:t>la </w:t>
      </w:r>
      <w:r>
        <w:rPr/>
        <w:t>inversión  para </w:t>
      </w:r>
      <w:r>
        <w:rPr>
          <w:spacing w:val="-3"/>
        </w:rPr>
        <w:t>la </w:t>
      </w:r>
      <w:r>
        <w:rPr/>
        <w:t>defensa del sistema inmune podría dar lugar a un trueque con características de historias de vida como </w:t>
      </w:r>
      <w:r>
        <w:rPr>
          <w:spacing w:val="-5"/>
        </w:rPr>
        <w:t>lo </w:t>
      </w:r>
      <w:r>
        <w:rPr/>
        <w:t>es el crecimiento, </w:t>
      </w:r>
      <w:r>
        <w:rPr>
          <w:spacing w:val="-5"/>
        </w:rPr>
        <w:t>la </w:t>
      </w:r>
      <w:r>
        <w:rPr/>
        <w:t>sobrevivencia y </w:t>
      </w:r>
      <w:r>
        <w:rPr>
          <w:spacing w:val="-3"/>
        </w:rPr>
        <w:t>la </w:t>
      </w:r>
      <w:r>
        <w:rPr/>
        <w:t>reproducción (Sheldon y Verhulst, 1996). Algunas modificaciones afectan el tiempo de desarrollo, talla corporal de los adultos, fecundidad, y capacidad de sobrevivencia, los cuales son aspectos evolutivos y ecológicos fundamentales (Arnott </w:t>
      </w:r>
      <w:r>
        <w:rPr>
          <w:i/>
        </w:rPr>
        <w:t>et al</w:t>
      </w:r>
      <w:r>
        <w:rPr/>
        <w:t>., 2000, Michalakis,</w:t>
      </w:r>
      <w:r>
        <w:rPr>
          <w:spacing w:val="-30"/>
        </w:rPr>
        <w:t> </w:t>
      </w:r>
      <w:r>
        <w:rPr/>
        <w:t>2009).</w:t>
      </w:r>
    </w:p>
    <w:p>
      <w:pPr>
        <w:pStyle w:val="BodyText"/>
        <w:spacing w:line="480" w:lineRule="auto" w:before="10"/>
        <w:ind w:left="152" w:right="125"/>
        <w:jc w:val="both"/>
      </w:pPr>
      <w:r>
        <w:rPr/>
        <w:t>Como </w:t>
      </w:r>
      <w:r>
        <w:rPr>
          <w:spacing w:val="-3"/>
        </w:rPr>
        <w:t>la </w:t>
      </w:r>
      <w:r>
        <w:rPr/>
        <w:t>acción de los parásitos supone una pérdida de eficacia biológica de sus  hospederos, </w:t>
      </w:r>
      <w:r>
        <w:rPr>
          <w:spacing w:val="-5"/>
        </w:rPr>
        <w:t>la </w:t>
      </w:r>
      <w:r>
        <w:rPr/>
        <w:t>selección natural favorece en éstos </w:t>
      </w:r>
      <w:r>
        <w:rPr>
          <w:spacing w:val="-5"/>
        </w:rPr>
        <w:t>la </w:t>
      </w:r>
      <w:r>
        <w:rPr/>
        <w:t>evolución de mecanismos de resistencia, los cuales a su vez promueven </w:t>
      </w:r>
      <w:r>
        <w:rPr>
          <w:spacing w:val="-5"/>
        </w:rPr>
        <w:t>la </w:t>
      </w:r>
      <w:r>
        <w:rPr/>
        <w:t>selección recíproca </w:t>
      </w:r>
      <w:r>
        <w:rPr>
          <w:spacing w:val="4"/>
        </w:rPr>
        <w:t>de </w:t>
      </w:r>
      <w:r>
        <w:rPr/>
        <w:t>mecanismos de explotación más eficientes en los parásitos (Pérez-Tris,</w:t>
      </w:r>
      <w:r>
        <w:rPr>
          <w:spacing w:val="-16"/>
        </w:rPr>
        <w:t> </w:t>
      </w:r>
      <w:r>
        <w:rPr/>
        <w:t>2009).</w:t>
      </w:r>
    </w:p>
    <w:p>
      <w:pPr>
        <w:pStyle w:val="BodyText"/>
      </w:pPr>
    </w:p>
    <w:p>
      <w:pPr>
        <w:pStyle w:val="BodyText"/>
        <w:spacing w:before="10"/>
      </w:pPr>
    </w:p>
    <w:p>
      <w:pPr>
        <w:pStyle w:val="BodyText"/>
        <w:spacing w:line="480" w:lineRule="auto"/>
        <w:ind w:left="152" w:right="126"/>
        <w:jc w:val="both"/>
      </w:pPr>
      <w:r>
        <w:rPr/>
        <w:t>Los organismos adquieren recursos que encuentran o extraen activamente del medio y lo asignan a diferentes funciones (Stearns, 1992). Un hospedero infectado podría invertir recursos en reproducción, dado que su reproducción futura se vería comprometida por la infección, ó bien los costos inducidos por el parasitismo puedan incrementar desproporcionalmente respecto al crecimiento poblacional de los parásitos (Michalakis, 2009).</w:t>
      </w:r>
    </w:p>
    <w:p>
      <w:pPr>
        <w:spacing w:after="0" w:line="480" w:lineRule="auto"/>
        <w:jc w:val="both"/>
        <w:sectPr>
          <w:pgSz w:w="12240" w:h="15840"/>
          <w:pgMar w:header="0" w:footer="1304" w:top="1500" w:bottom="1560" w:left="1720" w:right="1400"/>
        </w:sectPr>
      </w:pPr>
    </w:p>
    <w:p>
      <w:pPr>
        <w:pStyle w:val="BodyText"/>
        <w:spacing w:before="7"/>
        <w:rPr>
          <w:sz w:val="20"/>
        </w:rPr>
      </w:pPr>
    </w:p>
    <w:p>
      <w:pPr>
        <w:pStyle w:val="BodyText"/>
        <w:spacing w:line="480" w:lineRule="auto" w:before="69"/>
        <w:ind w:left="152" w:right="101"/>
        <w:jc w:val="both"/>
      </w:pPr>
      <w:r>
        <w:rPr/>
        <w:t>Algunos estudios revelan que los hospederos aceleran su desarrollo cuando se encuentran infectados, es decir la hembras infectadas alcanzan el estadío adulto más rápido que las hembras no infectadas a expensas de su talla corporal de los adultos, la cual está altamente correlacionada con la fecundidad (Agnew </w:t>
      </w:r>
      <w:r>
        <w:rPr>
          <w:i/>
        </w:rPr>
        <w:t>et al</w:t>
      </w:r>
      <w:r>
        <w:rPr/>
        <w:t>., 1999). Por ejemplo </w:t>
      </w:r>
      <w:r>
        <w:rPr>
          <w:i/>
        </w:rPr>
        <w:t>Zeacumantus </w:t>
      </w:r>
      <w:r>
        <w:rPr>
          <w:i/>
        </w:rPr>
        <w:t>subcarinatus </w:t>
      </w:r>
      <w:r>
        <w:rPr/>
        <w:t>un caracol marino se desarrolla mas rápidamente cuando se encuentra infectado por el tremátodo </w:t>
      </w:r>
      <w:r>
        <w:rPr>
          <w:i/>
        </w:rPr>
        <w:t>Maritrema novazealandensis </w:t>
      </w:r>
      <w:r>
        <w:rPr/>
        <w:t>y su talla corporal está negativamente correlacionado a la prevalencia parasitaria en poblaciones naturales, es decir los caracoles se desarrollan más rápidamente tanto el riesgo de infección aumente (Fredensborg y Paulin, 2006).</w:t>
      </w:r>
    </w:p>
    <w:p>
      <w:pPr>
        <w:pStyle w:val="BodyText"/>
        <w:spacing w:line="480" w:lineRule="auto" w:before="10"/>
        <w:ind w:left="152" w:right="103"/>
        <w:jc w:val="both"/>
      </w:pPr>
      <w:r>
        <w:rPr/>
        <w:t>La interacción que se da entre parásito y hospedero depende de las características de cada uno de ellos, no todos los parásitos causan un efecto sobre sus hospederos, por ejemplo la variación de la edad a la madurez y la variación en la fecundidad del caracol </w:t>
      </w:r>
      <w:r>
        <w:rPr>
          <w:i/>
        </w:rPr>
        <w:t>Helicosoma </w:t>
      </w:r>
      <w:r>
        <w:rPr>
          <w:i/>
        </w:rPr>
        <w:t>anceps </w:t>
      </w:r>
      <w:r>
        <w:rPr/>
        <w:t>no está correlacionado con la prevalencia de tremátodos (Krist, 2006).</w:t>
      </w:r>
    </w:p>
    <w:p>
      <w:pPr>
        <w:pStyle w:val="BodyText"/>
        <w:spacing w:line="480" w:lineRule="auto" w:before="10"/>
        <w:ind w:left="152" w:right="108"/>
        <w:jc w:val="both"/>
      </w:pPr>
      <w:r>
        <w:rPr/>
        <w:t>La predicción de una relación positiva entre inversión en reproducción y prevalencia parasitaria es verificada (Gandon </w:t>
      </w:r>
      <w:r>
        <w:rPr>
          <w:i/>
        </w:rPr>
        <w:t>et al</w:t>
      </w:r>
      <w:r>
        <w:rPr/>
        <w:t>., 2002). Los parásitos generalmente responden a cambios del hospedero incrementando su virulencia, como la virulencia incrementa, la inversión en reproducción del hospedero incrementa o la edad a la madurez disminuye, ya que la alta virulencia de los parásitos mataría a sus hospederos rápidamente, resultando en una baja prevalencia (Michalakis, 2009).</w:t>
      </w:r>
    </w:p>
    <w:p>
      <w:pPr>
        <w:pStyle w:val="BodyText"/>
        <w:spacing w:line="480" w:lineRule="auto" w:before="10"/>
        <w:ind w:left="152" w:right="107"/>
        <w:jc w:val="both"/>
      </w:pPr>
      <w:r>
        <w:rPr/>
        <w:t>Aunado a lo anterior, es importante recordar que el efecto de la infección y la respuesta de hospedero pueden variar dependiendo de la edad de éste último al tiempo de la infección. Kirchner  y  Roy  (1999),  demostraron  que  en  una  metapoblación,  la  selección    podría</w:t>
      </w:r>
    </w:p>
    <w:p>
      <w:pPr>
        <w:spacing w:after="0" w:line="480" w:lineRule="auto"/>
        <w:jc w:val="both"/>
        <w:sectPr>
          <w:pgSz w:w="12240" w:h="15840"/>
          <w:pgMar w:header="0" w:footer="1304" w:top="1500" w:bottom="1560" w:left="1720" w:right="1420"/>
        </w:sectPr>
      </w:pPr>
    </w:p>
    <w:p>
      <w:pPr>
        <w:pStyle w:val="BodyText"/>
        <w:spacing w:before="7"/>
        <w:rPr>
          <w:sz w:val="20"/>
        </w:rPr>
      </w:pPr>
    </w:p>
    <w:p>
      <w:pPr>
        <w:pStyle w:val="BodyText"/>
        <w:spacing w:line="480" w:lineRule="auto" w:before="69"/>
        <w:ind w:left="152" w:right="103"/>
        <w:jc w:val="both"/>
      </w:pPr>
      <w:r>
        <w:rPr/>
        <w:t>favorecer a hospederos con un tiempo de </w:t>
      </w:r>
      <w:r>
        <w:rPr>
          <w:spacing w:val="-3"/>
        </w:rPr>
        <w:t>vida </w:t>
      </w:r>
      <w:r>
        <w:rPr/>
        <w:t>corto sobre los longevos puesto que  resultaría en un decremento en </w:t>
      </w:r>
      <w:r>
        <w:rPr>
          <w:spacing w:val="-5"/>
        </w:rPr>
        <w:t>la </w:t>
      </w:r>
      <w:r>
        <w:rPr/>
        <w:t>prevalencia</w:t>
      </w:r>
      <w:r>
        <w:rPr>
          <w:spacing w:val="-13"/>
        </w:rPr>
        <w:t> </w:t>
      </w:r>
      <w:r>
        <w:rPr/>
        <w:t>parasitaria.</w:t>
      </w:r>
    </w:p>
    <w:p>
      <w:pPr>
        <w:pStyle w:val="BodyText"/>
      </w:pPr>
    </w:p>
    <w:p>
      <w:pPr>
        <w:pStyle w:val="BodyText"/>
      </w:pPr>
    </w:p>
    <w:p>
      <w:pPr>
        <w:pStyle w:val="ListParagraph"/>
        <w:numPr>
          <w:ilvl w:val="1"/>
          <w:numId w:val="3"/>
        </w:numPr>
        <w:tabs>
          <w:tab w:pos="518" w:val="left" w:leader="none"/>
        </w:tabs>
        <w:spacing w:line="240" w:lineRule="auto" w:before="212" w:after="0"/>
        <w:ind w:left="517" w:right="0" w:hanging="365"/>
        <w:jc w:val="both"/>
        <w:rPr>
          <w:i/>
          <w:sz w:val="24"/>
        </w:rPr>
      </w:pPr>
      <w:r>
        <w:rPr>
          <w:i/>
          <w:sz w:val="24"/>
        </w:rPr>
        <w:t>Parasitismo y selección</w:t>
      </w:r>
      <w:r>
        <w:rPr>
          <w:i/>
          <w:spacing w:val="-20"/>
          <w:sz w:val="24"/>
        </w:rPr>
        <w:t> </w:t>
      </w:r>
      <w:r>
        <w:rPr>
          <w:i/>
          <w:sz w:val="24"/>
        </w:rPr>
        <w:t>sexual</w:t>
      </w:r>
    </w:p>
    <w:p>
      <w:pPr>
        <w:pStyle w:val="BodyText"/>
        <w:rPr>
          <w:i/>
        </w:rPr>
      </w:pPr>
    </w:p>
    <w:p>
      <w:pPr>
        <w:pStyle w:val="BodyText"/>
        <w:rPr>
          <w:i/>
        </w:rPr>
      </w:pPr>
    </w:p>
    <w:p>
      <w:pPr>
        <w:pStyle w:val="BodyText"/>
        <w:rPr>
          <w:i/>
        </w:rPr>
      </w:pPr>
    </w:p>
    <w:p>
      <w:pPr>
        <w:pStyle w:val="BodyText"/>
        <w:spacing w:line="480" w:lineRule="auto"/>
        <w:ind w:left="152" w:right="104" w:firstLine="705"/>
        <w:jc w:val="both"/>
      </w:pPr>
      <w:r>
        <w:rPr/>
        <w:t>Los parásitos pueden modificar tres parámetros </w:t>
      </w:r>
      <w:r>
        <w:rPr>
          <w:spacing w:val="-3"/>
        </w:rPr>
        <w:t>en </w:t>
      </w:r>
      <w:r>
        <w:rPr/>
        <w:t>sus hospederos: (1) </w:t>
      </w:r>
      <w:r>
        <w:rPr>
          <w:spacing w:val="-5"/>
        </w:rPr>
        <w:t>la </w:t>
      </w:r>
      <w:r>
        <w:rPr/>
        <w:t>habilidad para perseguir o </w:t>
      </w:r>
      <w:r>
        <w:rPr>
          <w:spacing w:val="-3"/>
        </w:rPr>
        <w:t>vencer </w:t>
      </w:r>
      <w:r>
        <w:rPr/>
        <w:t>a su oponentes del </w:t>
      </w:r>
      <w:r>
        <w:rPr>
          <w:spacing w:val="-3"/>
        </w:rPr>
        <w:t>mismo </w:t>
      </w:r>
      <w:r>
        <w:rPr/>
        <w:t>sexo (selección intrasexual); (2) </w:t>
      </w:r>
      <w:r>
        <w:rPr>
          <w:spacing w:val="-3"/>
        </w:rPr>
        <w:t>la</w:t>
      </w:r>
      <w:r>
        <w:rPr>
          <w:spacing w:val="54"/>
        </w:rPr>
        <w:t> </w:t>
      </w:r>
      <w:r>
        <w:rPr/>
        <w:t>capacidad para atraer al sexo opuesto (selección intersexual); (3) sus elecciones respecto a sus parejas sexuales (Andersson, 1994).</w:t>
      </w:r>
    </w:p>
    <w:p>
      <w:pPr>
        <w:pStyle w:val="BodyText"/>
        <w:spacing w:line="480" w:lineRule="auto" w:before="5"/>
        <w:ind w:left="152" w:right="103"/>
        <w:jc w:val="both"/>
      </w:pPr>
      <w:r>
        <w:rPr/>
        <w:t>Dado que los parásitos pueden afectar </w:t>
      </w:r>
      <w:r>
        <w:rPr>
          <w:spacing w:val="-5"/>
        </w:rPr>
        <w:t>la </w:t>
      </w:r>
      <w:r>
        <w:rPr/>
        <w:t>salud y </w:t>
      </w:r>
      <w:r>
        <w:rPr>
          <w:spacing w:val="-3"/>
        </w:rPr>
        <w:t>la </w:t>
      </w:r>
      <w:r>
        <w:rPr/>
        <w:t>fuerza física de sus hospederos, se  espera que </w:t>
      </w:r>
      <w:r>
        <w:rPr>
          <w:spacing w:val="-5"/>
        </w:rPr>
        <w:t>la </w:t>
      </w:r>
      <w:r>
        <w:rPr/>
        <w:t>carga parasitaria tenga un efecto inmediato en el resultado del enfrentamiento entre individuos del </w:t>
      </w:r>
      <w:r>
        <w:rPr>
          <w:spacing w:val="-3"/>
        </w:rPr>
        <w:t>mismo </w:t>
      </w:r>
      <w:r>
        <w:rPr/>
        <w:t>sexo por acceso a parejas del sexo opuesto (David y Heeb, 2009). Por </w:t>
      </w:r>
      <w:r>
        <w:rPr>
          <w:spacing w:val="-3"/>
        </w:rPr>
        <w:t>ejemplo </w:t>
      </w:r>
      <w:r>
        <w:rPr/>
        <w:t>en </w:t>
      </w:r>
      <w:r>
        <w:rPr>
          <w:spacing w:val="-3"/>
        </w:rPr>
        <w:t>la </w:t>
      </w:r>
      <w:r>
        <w:rPr/>
        <w:t>lagartija </w:t>
      </w:r>
      <w:r>
        <w:rPr>
          <w:i/>
        </w:rPr>
        <w:t>Scelopus occidentalis </w:t>
      </w:r>
      <w:r>
        <w:rPr/>
        <w:t>infectada por </w:t>
      </w:r>
      <w:r>
        <w:rPr>
          <w:i/>
        </w:rPr>
        <w:t>Plasmodium </w:t>
      </w:r>
      <w:r>
        <w:rPr>
          <w:i/>
        </w:rPr>
        <w:t>mexicanum</w:t>
      </w:r>
      <w:r>
        <w:rPr/>
        <w:t>, los machos parasitados son competitivamente inferiores a los machos saludables y logran un menor éxito reproductivo (Schall y</w:t>
      </w:r>
      <w:r>
        <w:rPr>
          <w:spacing w:val="-21"/>
        </w:rPr>
        <w:t> </w:t>
      </w:r>
      <w:r>
        <w:rPr/>
        <w:t>Dearing,1987).</w:t>
      </w:r>
    </w:p>
    <w:p>
      <w:pPr>
        <w:pStyle w:val="BodyText"/>
      </w:pPr>
    </w:p>
    <w:p>
      <w:pPr>
        <w:pStyle w:val="BodyText"/>
        <w:spacing w:before="10"/>
      </w:pPr>
    </w:p>
    <w:p>
      <w:pPr>
        <w:pStyle w:val="BodyText"/>
        <w:spacing w:line="480" w:lineRule="auto" w:before="1"/>
        <w:ind w:left="152" w:right="102"/>
        <w:jc w:val="both"/>
      </w:pPr>
      <w:r>
        <w:rPr/>
        <w:t>Los parásitos pueden también estresar a sus hospederos, afectando el desarrollo de órganos usados por los machos como </w:t>
      </w:r>
      <w:r>
        <w:rPr>
          <w:spacing w:val="-3"/>
        </w:rPr>
        <w:t>armas </w:t>
      </w:r>
      <w:r>
        <w:rPr/>
        <w:t>en sus encuentros. Markusson y Folstad (1997) demostraron que </w:t>
      </w:r>
      <w:r>
        <w:rPr>
          <w:spacing w:val="-5"/>
        </w:rPr>
        <w:t>la </w:t>
      </w:r>
      <w:r>
        <w:rPr/>
        <w:t>asimetría de los cuernos de </w:t>
      </w:r>
      <w:r>
        <w:rPr>
          <w:spacing w:val="-3"/>
        </w:rPr>
        <w:t>reno </w:t>
      </w:r>
      <w:r>
        <w:rPr/>
        <w:t>estaba positivamente correlacionada con </w:t>
      </w:r>
      <w:r>
        <w:rPr>
          <w:spacing w:val="-5"/>
        </w:rPr>
        <w:t>la </w:t>
      </w:r>
      <w:r>
        <w:rPr/>
        <w:t>prevalencia de</w:t>
      </w:r>
      <w:r>
        <w:rPr>
          <w:spacing w:val="3"/>
        </w:rPr>
        <w:t> </w:t>
      </w:r>
      <w:r>
        <w:rPr/>
        <w:t>parásitos.</w:t>
      </w:r>
    </w:p>
    <w:p>
      <w:pPr>
        <w:pStyle w:val="BodyText"/>
        <w:spacing w:line="480" w:lineRule="auto" w:before="10"/>
        <w:ind w:left="152" w:right="112"/>
        <w:jc w:val="both"/>
      </w:pPr>
      <w:r>
        <w:rPr/>
        <w:t>Otros mecanismos fisiológicos, </w:t>
      </w:r>
      <w:r>
        <w:rPr>
          <w:spacing w:val="-3"/>
        </w:rPr>
        <w:t>como </w:t>
      </w:r>
      <w:r>
        <w:rPr/>
        <w:t>las hormonas, se </w:t>
      </w:r>
      <w:r>
        <w:rPr>
          <w:spacing w:val="-3"/>
        </w:rPr>
        <w:t>sabe  </w:t>
      </w:r>
      <w:r>
        <w:rPr/>
        <w:t>también afectan </w:t>
      </w:r>
      <w:r>
        <w:rPr>
          <w:spacing w:val="-3"/>
        </w:rPr>
        <w:t>la </w:t>
      </w:r>
      <w:r>
        <w:rPr/>
        <w:t>frecuencia  y el desarrollo de peleas entre machos, </w:t>
      </w:r>
      <w:r>
        <w:rPr>
          <w:spacing w:val="-3"/>
        </w:rPr>
        <w:t>la </w:t>
      </w:r>
      <w:r>
        <w:rPr/>
        <w:t>agresividad entre machos en muchos </w:t>
      </w:r>
      <w:r>
        <w:rPr>
          <w:spacing w:val="34"/>
        </w:rPr>
        <w:t> </w:t>
      </w:r>
      <w:r>
        <w:rPr/>
        <w:t>vertebrados</w:t>
      </w:r>
    </w:p>
    <w:p>
      <w:pPr>
        <w:spacing w:after="0" w:line="480" w:lineRule="auto"/>
        <w:jc w:val="both"/>
        <w:sectPr>
          <w:pgSz w:w="12240" w:h="15840"/>
          <w:pgMar w:header="0" w:footer="1304" w:top="1500" w:bottom="1560" w:left="1720" w:right="1420"/>
        </w:sectPr>
      </w:pPr>
    </w:p>
    <w:p>
      <w:pPr>
        <w:pStyle w:val="BodyText"/>
        <w:spacing w:before="7"/>
        <w:rPr>
          <w:sz w:val="20"/>
        </w:rPr>
      </w:pPr>
    </w:p>
    <w:p>
      <w:pPr>
        <w:pStyle w:val="BodyText"/>
        <w:spacing w:line="480" w:lineRule="auto" w:before="69"/>
        <w:ind w:left="152" w:right="105"/>
        <w:jc w:val="both"/>
      </w:pPr>
      <w:r>
        <w:rPr/>
        <w:t>depende de un coctel hormonal en el cual la testosterona es el mejor componente (Mougeot </w:t>
      </w:r>
      <w:r>
        <w:rPr>
          <w:i/>
        </w:rPr>
        <w:t>et al</w:t>
      </w:r>
      <w:r>
        <w:rPr/>
        <w:t>., 2005). Folstand y Kartere (1992) sugieren que la movilización del sistema inmune durante una infección requiere un decremento en los niveles de testosterona ya que esta tiene una función inmuno-supresiva.</w:t>
      </w:r>
    </w:p>
    <w:p>
      <w:pPr>
        <w:pStyle w:val="BodyText"/>
      </w:pPr>
    </w:p>
    <w:p>
      <w:pPr>
        <w:pStyle w:val="BodyText"/>
        <w:spacing w:before="10"/>
      </w:pPr>
    </w:p>
    <w:p>
      <w:pPr>
        <w:pStyle w:val="BodyText"/>
        <w:spacing w:line="480" w:lineRule="auto"/>
        <w:ind w:left="152" w:right="108"/>
        <w:jc w:val="both"/>
      </w:pPr>
      <w:r>
        <w:rPr/>
        <w:t>Aundo a lo anterior durante la reproducción los individuos entran en contacto lo cual aumenta el riesgo de transmisión de parásitos y patógenos (Kulkarni and Heeb, 2007).</w:t>
      </w:r>
    </w:p>
    <w:p>
      <w:pPr>
        <w:pStyle w:val="BodyText"/>
        <w:spacing w:line="480" w:lineRule="auto" w:before="11"/>
        <w:ind w:left="152" w:right="101"/>
        <w:jc w:val="both"/>
      </w:pPr>
      <w:r>
        <w:rPr/>
        <w:t>La selección sexual, podría favorecer a los individuos capaces de evitar aparearse con parejas infectadas (Arnot, 1994; Kavaliers </w:t>
      </w:r>
      <w:r>
        <w:rPr>
          <w:i/>
        </w:rPr>
        <w:t>et al</w:t>
      </w:r>
      <w:r>
        <w:rPr/>
        <w:t>., 2005). Las conductas de evasión constituyen la primera línea de defensa para los hospederos potenciales (Hart, 1990).</w:t>
      </w:r>
    </w:p>
    <w:p>
      <w:pPr>
        <w:pStyle w:val="BodyText"/>
      </w:pPr>
    </w:p>
    <w:p>
      <w:pPr>
        <w:pStyle w:val="BodyText"/>
        <w:spacing w:before="10"/>
      </w:pPr>
    </w:p>
    <w:p>
      <w:pPr>
        <w:pStyle w:val="BodyText"/>
        <w:spacing w:line="480" w:lineRule="auto"/>
        <w:ind w:left="152" w:right="103"/>
        <w:jc w:val="both"/>
      </w:pPr>
      <w:r>
        <w:rPr/>
        <w:t>Hamilton y Zuk propusieron que los ornamentos sexuales actuaban como señales de resistencia a parásitos, de acuerdo a esta hipótesis, los machos altamente infectados son incapaces de producir ornamentos elaborados </w:t>
      </w:r>
      <w:r>
        <w:rPr>
          <w:spacing w:val="-3"/>
        </w:rPr>
        <w:t>como </w:t>
      </w:r>
      <w:r>
        <w:rPr/>
        <w:t>los machos saludables. Sin embargo existe más trabajos sobre </w:t>
      </w:r>
      <w:r>
        <w:rPr>
          <w:spacing w:val="-5"/>
        </w:rPr>
        <w:t>la </w:t>
      </w:r>
      <w:r>
        <w:rPr/>
        <w:t>influencia negativa de los parásitos principalmente en aves los cuales establecen puntos importantes: (1) los parásitos afectan negativamente </w:t>
      </w:r>
      <w:r>
        <w:rPr>
          <w:spacing w:val="-5"/>
        </w:rPr>
        <w:t>la </w:t>
      </w:r>
      <w:r>
        <w:rPr/>
        <w:t>fecundidad y </w:t>
      </w:r>
      <w:r>
        <w:rPr>
          <w:spacing w:val="-3"/>
        </w:rPr>
        <w:t>la </w:t>
      </w:r>
      <w:r>
        <w:rPr/>
        <w:t>sobrevivencia del hospedero, (2) los machos parasitados tienen colores más pálidos y ornamentos pequeños en comparación con los saludables y (3) </w:t>
      </w:r>
      <w:r>
        <w:rPr>
          <w:spacing w:val="-4"/>
        </w:rPr>
        <w:t>las</w:t>
      </w:r>
      <w:r>
        <w:rPr>
          <w:spacing w:val="52"/>
        </w:rPr>
        <w:t> </w:t>
      </w:r>
      <w:r>
        <w:rPr/>
        <w:t>hembras son particularmente selectivas para los ornamentos que son indicadores de cargas parasitarias. Sin embargo estudios en aves paseriformes en América del Norte mostraron que </w:t>
      </w:r>
      <w:r>
        <w:rPr>
          <w:spacing w:val="-4"/>
        </w:rPr>
        <w:t>las </w:t>
      </w:r>
      <w:r>
        <w:rPr/>
        <w:t>altas prevalencias de parásitos en </w:t>
      </w:r>
      <w:r>
        <w:rPr>
          <w:spacing w:val="-3"/>
        </w:rPr>
        <w:t>la </w:t>
      </w:r>
      <w:r>
        <w:rPr/>
        <w:t>sangre tenían un mayor </w:t>
      </w:r>
      <w:r>
        <w:rPr>
          <w:spacing w:val="-3"/>
        </w:rPr>
        <w:t>promedio </w:t>
      </w:r>
      <w:r>
        <w:rPr/>
        <w:t>de plumas mas brillantes y cantos </w:t>
      </w:r>
      <w:r>
        <w:rPr>
          <w:spacing w:val="-3"/>
        </w:rPr>
        <w:t>más </w:t>
      </w:r>
      <w:r>
        <w:rPr/>
        <w:t>complejos; por </w:t>
      </w:r>
      <w:r>
        <w:rPr>
          <w:spacing w:val="-5"/>
        </w:rPr>
        <w:t>lo </w:t>
      </w:r>
      <w:r>
        <w:rPr/>
        <w:t>tanto las señales sexuales pueden actuar </w:t>
      </w:r>
      <w:r>
        <w:rPr>
          <w:spacing w:val="-3"/>
        </w:rPr>
        <w:t>como </w:t>
      </w:r>
      <w:r>
        <w:rPr/>
        <w:t>un indicador de</w:t>
      </w:r>
    </w:p>
    <w:p>
      <w:pPr>
        <w:spacing w:after="0" w:line="480" w:lineRule="auto"/>
        <w:jc w:val="both"/>
        <w:sectPr>
          <w:pgSz w:w="12240" w:h="15840"/>
          <w:pgMar w:header="0" w:footer="1304" w:top="1500" w:bottom="1560" w:left="1720" w:right="1420"/>
        </w:sectPr>
      </w:pPr>
    </w:p>
    <w:p>
      <w:pPr>
        <w:pStyle w:val="BodyText"/>
        <w:spacing w:before="7"/>
        <w:rPr>
          <w:sz w:val="20"/>
        </w:rPr>
      </w:pPr>
    </w:p>
    <w:p>
      <w:pPr>
        <w:pStyle w:val="BodyText"/>
        <w:spacing w:line="480" w:lineRule="auto" w:before="69"/>
        <w:ind w:left="152" w:right="109"/>
        <w:jc w:val="both"/>
      </w:pPr>
      <w:r>
        <w:rPr/>
        <w:t>muchos más tipos de variación genética en adecuación no sólo de resistencia a parásitos (David y Hebb, 2009).</w:t>
      </w:r>
    </w:p>
    <w:p>
      <w:pPr>
        <w:pStyle w:val="BodyText"/>
      </w:pPr>
    </w:p>
    <w:p>
      <w:pPr>
        <w:pStyle w:val="ListParagraph"/>
        <w:numPr>
          <w:ilvl w:val="1"/>
          <w:numId w:val="3"/>
        </w:numPr>
        <w:tabs>
          <w:tab w:pos="518" w:val="left" w:leader="none"/>
        </w:tabs>
        <w:spacing w:line="240" w:lineRule="auto" w:before="209" w:after="0"/>
        <w:ind w:left="517" w:right="0" w:hanging="365"/>
        <w:jc w:val="both"/>
        <w:rPr>
          <w:i/>
          <w:sz w:val="24"/>
        </w:rPr>
      </w:pPr>
      <w:r>
        <w:rPr>
          <w:i/>
          <w:sz w:val="24"/>
        </w:rPr>
        <w:t>Parasitismo y regulación de poblaciones de</w:t>
      </w:r>
      <w:r>
        <w:rPr>
          <w:i/>
          <w:spacing w:val="-20"/>
          <w:sz w:val="24"/>
        </w:rPr>
        <w:t> </w:t>
      </w:r>
      <w:r>
        <w:rPr>
          <w:i/>
          <w:sz w:val="24"/>
        </w:rPr>
        <w:t>hospederos</w:t>
      </w:r>
    </w:p>
    <w:p>
      <w:pPr>
        <w:pStyle w:val="BodyText"/>
        <w:rPr>
          <w:i/>
        </w:rPr>
      </w:pPr>
    </w:p>
    <w:p>
      <w:pPr>
        <w:pStyle w:val="BodyText"/>
        <w:rPr>
          <w:i/>
        </w:rPr>
      </w:pPr>
    </w:p>
    <w:p>
      <w:pPr>
        <w:pStyle w:val="BodyText"/>
        <w:rPr>
          <w:i/>
        </w:rPr>
      </w:pPr>
    </w:p>
    <w:p>
      <w:pPr>
        <w:pStyle w:val="BodyText"/>
        <w:spacing w:line="480" w:lineRule="auto"/>
        <w:ind w:left="152" w:right="105" w:firstLine="705"/>
        <w:jc w:val="both"/>
      </w:pPr>
      <w:r>
        <w:rPr/>
        <w:t>Como un resultado de su impacto en la reproducción, crecimiento y sobrevivencia del hospedero, los parásitos pueden ser agentes importantes en la  regulación  de poblaciones, comunidades y ecosistemas (Morand y Deter, 2009).</w:t>
      </w:r>
    </w:p>
    <w:p>
      <w:pPr>
        <w:pStyle w:val="BodyText"/>
        <w:spacing w:line="480" w:lineRule="auto" w:before="11"/>
        <w:ind w:left="152" w:right="101"/>
        <w:jc w:val="both"/>
      </w:pPr>
      <w:r>
        <w:rPr/>
        <w:t>Modelos matemáticos demuestran que los parásitos son capaces de regular las poblaciones de sus hospederos, esta regulación se aprecia en las diferencias observadas entre la población de hospederos y la capacidad biótica (sin ningún parásito) y el tamaño de la población hospedera en equilibrio en presencia de parásitos (McCallum y Dobson, 1995). Éstos modelos muestran que una virulencia parasitaria moderada regula mejor una población, lógicamente en los parásitos que no o que su virulencia es baja, la población no decrece o decrece ligeramente. Una alta virulencia parasitaria tiene un bajo potencial de regulación, porque ésta mataría a los hospederos rápidamente y desaparecería y posteriormente infectarían nuevos hospederos (Morand y Deter, 2009).</w:t>
      </w:r>
    </w:p>
    <w:p>
      <w:pPr>
        <w:pStyle w:val="BodyText"/>
        <w:spacing w:line="480" w:lineRule="auto" w:before="11"/>
        <w:ind w:left="152" w:right="106"/>
        <w:jc w:val="both"/>
      </w:pPr>
      <w:r>
        <w:rPr/>
        <w:t>Los parásitos modifican la conducta, requerimientos energéticos, capacidad reproductiva y sobrevivencia (Grenfell y Dobson 1995; Poulin, 1998; Combes, 2001). Estudios teóricos demuestran que los parásitos son capaces de regular o desestabilizar las poblaciones de hospederos. Esto es posible porque los parásitos pueden reducir la sobrevivencia y/ó la fecundidad (Morand y Deter, 2009).</w:t>
      </w:r>
    </w:p>
    <w:p>
      <w:pPr>
        <w:spacing w:after="0" w:line="480" w:lineRule="auto"/>
        <w:jc w:val="both"/>
        <w:sectPr>
          <w:pgSz w:w="12240" w:h="15840"/>
          <w:pgMar w:header="0" w:footer="1304" w:top="1500" w:bottom="1560" w:left="1720" w:right="1420"/>
        </w:sectPr>
      </w:pPr>
    </w:p>
    <w:p>
      <w:pPr>
        <w:pStyle w:val="BodyText"/>
        <w:spacing w:before="7"/>
        <w:rPr>
          <w:sz w:val="20"/>
        </w:rPr>
      </w:pPr>
    </w:p>
    <w:p>
      <w:pPr>
        <w:pStyle w:val="BodyText"/>
        <w:spacing w:line="480" w:lineRule="auto" w:before="69"/>
        <w:ind w:left="152" w:right="115"/>
        <w:jc w:val="both"/>
      </w:pPr>
      <w:r>
        <w:rPr/>
        <w:t>Las interacciones hospedero-parásito es un sistema coevolutivo, con hospederos invirtiendo en mecanismos de defensa (conducta, sistema inmune) y resistencia, mientras que los parásitos modifican algunos de sus rasgos de historias de vida afectando la transmisión y virulencia (Morand y Deter, 2009). Los patógenos han estado implicados en la extinción de muchas especies (McCallum y Dobson ,1995; Vitousek </w:t>
      </w:r>
      <w:r>
        <w:rPr>
          <w:i/>
        </w:rPr>
        <w:t>et al</w:t>
      </w:r>
      <w:r>
        <w:rPr/>
        <w:t>., 1997). Daszak y colaboradores (2000) menciona a 19 especies de microparásitos como los mayores agentes zoonóticos, que causan daños importantes en la conservación y salud humana. Los parásitos pueden interferir con la talla critica de una población bajo lo cual una población se extinguiría (Morand y Deter, 2009).</w:t>
      </w:r>
    </w:p>
    <w:p>
      <w:pPr>
        <w:pStyle w:val="BodyText"/>
      </w:pPr>
    </w:p>
    <w:p>
      <w:pPr>
        <w:pStyle w:val="BodyText"/>
      </w:pPr>
    </w:p>
    <w:p>
      <w:pPr>
        <w:pStyle w:val="ListParagraph"/>
        <w:numPr>
          <w:ilvl w:val="1"/>
          <w:numId w:val="3"/>
        </w:numPr>
        <w:tabs>
          <w:tab w:pos="518" w:val="left" w:leader="none"/>
        </w:tabs>
        <w:spacing w:line="240" w:lineRule="auto" w:before="212" w:after="0"/>
        <w:ind w:left="517" w:right="0" w:hanging="365"/>
        <w:jc w:val="both"/>
        <w:rPr>
          <w:i/>
          <w:sz w:val="24"/>
        </w:rPr>
      </w:pPr>
      <w:r>
        <w:rPr>
          <w:i/>
          <w:sz w:val="24"/>
        </w:rPr>
        <w:t>Parasitismo, biodiversidad y biología de la</w:t>
      </w:r>
      <w:r>
        <w:rPr>
          <w:i/>
          <w:spacing w:val="-25"/>
          <w:sz w:val="24"/>
        </w:rPr>
        <w:t> </w:t>
      </w:r>
      <w:r>
        <w:rPr>
          <w:i/>
          <w:sz w:val="24"/>
        </w:rPr>
        <w:t>conservación</w:t>
      </w:r>
    </w:p>
    <w:p>
      <w:pPr>
        <w:pStyle w:val="BodyText"/>
        <w:rPr>
          <w:i/>
        </w:rPr>
      </w:pPr>
    </w:p>
    <w:p>
      <w:pPr>
        <w:pStyle w:val="BodyText"/>
        <w:rPr>
          <w:i/>
        </w:rPr>
      </w:pPr>
    </w:p>
    <w:p>
      <w:pPr>
        <w:pStyle w:val="BodyText"/>
        <w:spacing w:before="6"/>
        <w:rPr>
          <w:i/>
          <w:sz w:val="23"/>
        </w:rPr>
      </w:pPr>
    </w:p>
    <w:p>
      <w:pPr>
        <w:pStyle w:val="BodyText"/>
        <w:spacing w:line="480" w:lineRule="auto"/>
        <w:ind w:left="152" w:right="119" w:firstLine="705"/>
        <w:jc w:val="both"/>
      </w:pPr>
      <w:r>
        <w:rPr/>
        <w:t>La biodiversidad puede definirse como </w:t>
      </w:r>
      <w:r>
        <w:rPr>
          <w:spacing w:val="-3"/>
        </w:rPr>
        <w:t>la </w:t>
      </w:r>
      <w:r>
        <w:rPr/>
        <w:t>variabilidad de todos los organismos  vivos, esto incluye </w:t>
      </w:r>
      <w:r>
        <w:rPr>
          <w:spacing w:val="-3"/>
        </w:rPr>
        <w:t>la </w:t>
      </w:r>
      <w:r>
        <w:rPr/>
        <w:t>variabilidad genética entre </w:t>
      </w:r>
      <w:r>
        <w:rPr>
          <w:spacing w:val="-3"/>
        </w:rPr>
        <w:t>las </w:t>
      </w:r>
      <w:r>
        <w:rPr/>
        <w:t>especies y sus poblaciones, </w:t>
      </w:r>
      <w:r>
        <w:rPr>
          <w:spacing w:val="-5"/>
        </w:rPr>
        <w:t>la </w:t>
      </w:r>
      <w:r>
        <w:rPr/>
        <w:t>variabilidad de especies y sus formas de vida (Lebarbenchon </w:t>
      </w:r>
      <w:r>
        <w:rPr>
          <w:i/>
        </w:rPr>
        <w:t>et al</w:t>
      </w:r>
      <w:r>
        <w:rPr/>
        <w:t>., 2009). Muchos factores influyen en </w:t>
      </w:r>
      <w:r>
        <w:rPr>
          <w:spacing w:val="-5"/>
        </w:rPr>
        <w:t>la </w:t>
      </w:r>
      <w:r>
        <w:rPr/>
        <w:t>estructura y diversidad del conjunto de especies (Barbault, 1995; Blondel, 1995), así </w:t>
      </w:r>
      <w:r>
        <w:rPr>
          <w:spacing w:val="-3"/>
        </w:rPr>
        <w:t>mismo la </w:t>
      </w:r>
      <w:r>
        <w:rPr/>
        <w:t>riqueza y diversidad de especies está positivamente correlacionada con </w:t>
      </w:r>
      <w:r>
        <w:rPr>
          <w:spacing w:val="-3"/>
        </w:rPr>
        <w:t>la </w:t>
      </w:r>
      <w:r>
        <w:rPr/>
        <w:t>complejidad estructural de los biotipos (Barbault,</w:t>
      </w:r>
      <w:r>
        <w:rPr>
          <w:spacing w:val="-10"/>
        </w:rPr>
        <w:t> </w:t>
      </w:r>
      <w:r>
        <w:rPr/>
        <w:t>1981).</w:t>
      </w:r>
    </w:p>
    <w:p>
      <w:pPr>
        <w:pStyle w:val="BodyText"/>
        <w:spacing w:line="480" w:lineRule="auto" w:before="10"/>
        <w:ind w:left="152" w:right="132"/>
        <w:jc w:val="both"/>
      </w:pPr>
      <w:r>
        <w:rPr/>
        <w:t>Aunado a lo anterior procesos biológicos como los incendios, inundaciones, sequías, procesos de colonización y extinción, así como las interacciones entre especies como son la competencia, depredación, parasitismo y mutualismo tienen una influencia crucial en la organización de las poblaciones (Lebarbenchon </w:t>
      </w:r>
      <w:r>
        <w:rPr>
          <w:i/>
        </w:rPr>
        <w:t>et al</w:t>
      </w:r>
      <w:r>
        <w:rPr/>
        <w:t>., 2009).</w:t>
      </w:r>
    </w:p>
    <w:p>
      <w:pPr>
        <w:spacing w:after="0" w:line="480" w:lineRule="auto"/>
        <w:jc w:val="both"/>
        <w:sectPr>
          <w:pgSz w:w="12240" w:h="15840"/>
          <w:pgMar w:header="0" w:footer="1304" w:top="1500" w:bottom="1560" w:left="1720" w:right="1400"/>
        </w:sectPr>
      </w:pPr>
    </w:p>
    <w:p>
      <w:pPr>
        <w:pStyle w:val="BodyText"/>
        <w:spacing w:before="7"/>
        <w:rPr>
          <w:sz w:val="20"/>
        </w:rPr>
      </w:pPr>
    </w:p>
    <w:p>
      <w:pPr>
        <w:pStyle w:val="BodyText"/>
        <w:spacing w:line="480" w:lineRule="auto" w:before="69"/>
        <w:ind w:left="152" w:right="105"/>
        <w:jc w:val="both"/>
      </w:pPr>
      <w:r>
        <w:rPr/>
        <w:t>Los parásitos al igual que los depredadores pueden jugar un rol importante de mediadores entre especies competidoras (Lebarbenchon </w:t>
      </w:r>
      <w:r>
        <w:rPr>
          <w:i/>
        </w:rPr>
        <w:t>et al</w:t>
      </w:r>
      <w:r>
        <w:rPr/>
        <w:t>., 2009). El nematodo </w:t>
      </w:r>
      <w:r>
        <w:rPr>
          <w:i/>
        </w:rPr>
        <w:t>Howardula </w:t>
      </w:r>
      <w:r>
        <w:rPr>
          <w:i/>
        </w:rPr>
        <w:t>aoronymphium </w:t>
      </w:r>
      <w:r>
        <w:rPr/>
        <w:t>causa un 100% de reducción en la fecundidad de la mosca de vinagre </w:t>
      </w:r>
      <w:r>
        <w:rPr>
          <w:i/>
        </w:rPr>
        <w:t>Drosophila putrida </w:t>
      </w:r>
      <w:r>
        <w:rPr/>
        <w:t>y reduce a la mitad la fecundidad de </w:t>
      </w:r>
      <w:r>
        <w:rPr>
          <w:i/>
        </w:rPr>
        <w:t>Drosophila falleni, </w:t>
      </w:r>
      <w:r>
        <w:rPr/>
        <w:t>esto significa que los mecanismos que operan en la aparente competencia no solo están limitados a una mortalidad diferencial, la fecundidad de los hospederos también puede verse alterada (Jaenike, 1992).</w:t>
      </w:r>
    </w:p>
    <w:p>
      <w:pPr>
        <w:pStyle w:val="BodyText"/>
        <w:spacing w:line="480" w:lineRule="auto" w:before="11"/>
        <w:ind w:left="152" w:right="105"/>
        <w:jc w:val="both"/>
      </w:pPr>
      <w:r>
        <w:rPr/>
        <w:t>En ecosistemas naturales el efecto de la mediación parasitaria en biodiversidad es más importante cuando la especie más afectada es fuertemente competitiva, (Lebarbenchon </w:t>
      </w:r>
      <w:r>
        <w:rPr>
          <w:i/>
        </w:rPr>
        <w:t>et </w:t>
      </w:r>
      <w:r>
        <w:rPr>
          <w:i/>
        </w:rPr>
        <w:t>al</w:t>
      </w:r>
      <w:r>
        <w:rPr/>
        <w:t>., 2009). Además de lo anterior la importancia de los parásitos como responsables en extinciones locales de una o varias especies (actuando sobre la sobrevivencia y/o la fecundidad de los hospederos) no sólo afecta a una comunidad de competidores también las presas y depredadores. Si la especie infectada por el parásito es un depredador, esto permitiría una explosión demográfica en la población de presas que son usualmente reguladas por el depredador, estos crecimientos poblacionales representan una importante desestabilización en el ecosistema, debido a efectos cascada que resultan casi siempre en efectos negativos sobre la biodiversidad (Lebarbenchon </w:t>
      </w:r>
      <w:r>
        <w:rPr>
          <w:i/>
        </w:rPr>
        <w:t>et al</w:t>
      </w:r>
      <w:r>
        <w:rPr/>
        <w:t>., 2009).</w:t>
      </w:r>
    </w:p>
    <w:p>
      <w:pPr>
        <w:pStyle w:val="BodyText"/>
        <w:spacing w:line="480" w:lineRule="auto" w:before="11"/>
        <w:ind w:left="152" w:right="102"/>
        <w:jc w:val="both"/>
      </w:pPr>
      <w:r>
        <w:rPr/>
        <w:t>Cuando un parásito </w:t>
      </w:r>
      <w:r>
        <w:rPr>
          <w:spacing w:val="-3"/>
        </w:rPr>
        <w:t>modifica </w:t>
      </w:r>
      <w:r>
        <w:rPr/>
        <w:t>las propiedades (morfológicas, fisiológicas </w:t>
      </w:r>
      <w:r>
        <w:rPr>
          <w:spacing w:val="-4"/>
        </w:rPr>
        <w:t>y/o </w:t>
      </w:r>
      <w:r>
        <w:rPr/>
        <w:t>conductuales) de sus hospederos también modifica las propiedades ecológicas del hábitat de otros parásitos (Lebarbenchon </w:t>
      </w:r>
      <w:r>
        <w:rPr>
          <w:i/>
        </w:rPr>
        <w:t>et al</w:t>
      </w:r>
      <w:r>
        <w:rPr/>
        <w:t>., 2009) a estos organismos se </w:t>
      </w:r>
      <w:r>
        <w:rPr>
          <w:spacing w:val="-3"/>
        </w:rPr>
        <w:t>les </w:t>
      </w:r>
      <w:r>
        <w:rPr/>
        <w:t>ha dado el nombre de “ingenieros del ecosistema” (Jones, </w:t>
      </w:r>
      <w:r>
        <w:rPr>
          <w:i/>
        </w:rPr>
        <w:t>et al</w:t>
      </w:r>
      <w:r>
        <w:rPr/>
        <w:t>., 1994, 1997), por ejemplo, </w:t>
      </w:r>
      <w:r>
        <w:rPr>
          <w:spacing w:val="-3"/>
        </w:rPr>
        <w:t>la </w:t>
      </w:r>
      <w:r>
        <w:rPr/>
        <w:t>infección de un hospedero por un parásito “manipulador” puede </w:t>
      </w:r>
      <w:r>
        <w:rPr>
          <w:spacing w:val="-3"/>
        </w:rPr>
        <w:t>ser </w:t>
      </w:r>
      <w:r>
        <w:rPr/>
        <w:t>considerado un acto de ingeniería   </w:t>
      </w:r>
      <w:r>
        <w:rPr>
          <w:spacing w:val="12"/>
        </w:rPr>
        <w:t> </w:t>
      </w:r>
      <w:r>
        <w:rPr/>
        <w:t>que</w:t>
      </w:r>
    </w:p>
    <w:p>
      <w:pPr>
        <w:spacing w:after="0" w:line="480" w:lineRule="auto"/>
        <w:jc w:val="both"/>
        <w:sectPr>
          <w:pgSz w:w="12240" w:h="15840"/>
          <w:pgMar w:header="0" w:footer="1304" w:top="1500" w:bottom="1560" w:left="1720" w:right="1420"/>
        </w:sectPr>
      </w:pPr>
    </w:p>
    <w:p>
      <w:pPr>
        <w:pStyle w:val="BodyText"/>
        <w:spacing w:before="7"/>
        <w:rPr>
          <w:sz w:val="20"/>
        </w:rPr>
      </w:pPr>
    </w:p>
    <w:p>
      <w:pPr>
        <w:pStyle w:val="BodyText"/>
        <w:spacing w:line="480" w:lineRule="auto" w:before="69"/>
        <w:ind w:left="152" w:right="120"/>
        <w:jc w:val="both"/>
      </w:pPr>
      <w:r>
        <w:rPr/>
        <w:t>hace que los hospederos pasen de un estado de </w:t>
      </w:r>
      <w:r>
        <w:rPr>
          <w:spacing w:val="-4"/>
        </w:rPr>
        <w:t>“bajo </w:t>
      </w:r>
      <w:r>
        <w:rPr/>
        <w:t>riesgo de depredación” (estado </w:t>
      </w:r>
      <w:r>
        <w:rPr>
          <w:spacing w:val="-3"/>
        </w:rPr>
        <w:t>A) </w:t>
      </w:r>
      <w:r>
        <w:rPr/>
        <w:t>a  un estado “alto riesgo de depredación” (estado B). Sin embargo </w:t>
      </w:r>
      <w:r>
        <w:rPr>
          <w:spacing w:val="-3"/>
        </w:rPr>
        <w:t>bajo </w:t>
      </w:r>
      <w:r>
        <w:rPr/>
        <w:t>condiciones naturales las interacciones entre especies son numerosas un estudio </w:t>
      </w:r>
      <w:r>
        <w:rPr>
          <w:spacing w:val="-3"/>
        </w:rPr>
        <w:t>hecho </w:t>
      </w:r>
      <w:r>
        <w:rPr/>
        <w:t>por Mouritsen y Poulin (2002), demostraba que </w:t>
      </w:r>
      <w:r>
        <w:rPr>
          <w:spacing w:val="-5"/>
        </w:rPr>
        <w:t>la </w:t>
      </w:r>
      <w:r>
        <w:rPr/>
        <w:t>eliminación de parásitos que tenían un rol de “ingenieros” en un ecosistema causa dramáticos cambios en las comunidades de</w:t>
      </w:r>
      <w:r>
        <w:rPr>
          <w:spacing w:val="-26"/>
        </w:rPr>
        <w:t> </w:t>
      </w:r>
      <w:r>
        <w:rPr/>
        <w:t>invertebrados.</w:t>
      </w:r>
    </w:p>
    <w:p>
      <w:pPr>
        <w:pStyle w:val="BodyText"/>
        <w:spacing w:line="480" w:lineRule="auto" w:before="10"/>
        <w:ind w:left="152" w:right="117"/>
        <w:jc w:val="both"/>
      </w:pPr>
      <w:r>
        <w:rPr/>
        <w:t>Finalmente, se </w:t>
      </w:r>
      <w:r>
        <w:rPr>
          <w:spacing w:val="-3"/>
        </w:rPr>
        <w:t>sabe </w:t>
      </w:r>
      <w:r>
        <w:rPr/>
        <w:t>que los parásitos juegan un papel fundamental en muchos mecanismos del ecosistema, que pueden afectar fuertemente </w:t>
      </w:r>
      <w:r>
        <w:rPr>
          <w:spacing w:val="-3"/>
        </w:rPr>
        <w:t>la </w:t>
      </w:r>
      <w:r>
        <w:rPr/>
        <w:t>biodiversidad, y por ende tienen una importancia para </w:t>
      </w:r>
      <w:r>
        <w:rPr>
          <w:spacing w:val="-3"/>
        </w:rPr>
        <w:t>la </w:t>
      </w:r>
      <w:r>
        <w:rPr/>
        <w:t>biología de </w:t>
      </w:r>
      <w:r>
        <w:rPr>
          <w:spacing w:val="-3"/>
        </w:rPr>
        <w:t>la </w:t>
      </w:r>
      <w:r>
        <w:rPr/>
        <w:t>conservación (Poulin, 1999; Torchin </w:t>
      </w:r>
      <w:r>
        <w:rPr>
          <w:i/>
        </w:rPr>
        <w:t>et al</w:t>
      </w:r>
      <w:r>
        <w:rPr/>
        <w:t>.,  2002;  Lafferty y Kuris,</w:t>
      </w:r>
      <w:r>
        <w:rPr>
          <w:spacing w:val="-9"/>
        </w:rPr>
        <w:t> </w:t>
      </w:r>
      <w:r>
        <w:rPr/>
        <w:t>2005).</w:t>
      </w:r>
    </w:p>
    <w:p>
      <w:pPr>
        <w:pStyle w:val="BodyText"/>
      </w:pPr>
    </w:p>
    <w:p>
      <w:pPr>
        <w:pStyle w:val="BodyText"/>
      </w:pPr>
    </w:p>
    <w:p>
      <w:pPr>
        <w:pStyle w:val="ListParagraph"/>
        <w:numPr>
          <w:ilvl w:val="0"/>
          <w:numId w:val="3"/>
        </w:numPr>
        <w:tabs>
          <w:tab w:pos="336" w:val="left" w:leader="none"/>
        </w:tabs>
        <w:spacing w:line="240" w:lineRule="auto" w:before="212" w:after="0"/>
        <w:ind w:left="335" w:right="0" w:hanging="183"/>
        <w:jc w:val="both"/>
        <w:rPr>
          <w:sz w:val="24"/>
        </w:rPr>
      </w:pPr>
      <w:r>
        <w:rPr>
          <w:sz w:val="24"/>
        </w:rPr>
        <w:t>Crecimiento</w:t>
      </w:r>
    </w:p>
    <w:p>
      <w:pPr>
        <w:pStyle w:val="BodyText"/>
        <w:spacing w:before="6"/>
        <w:rPr>
          <w:sz w:val="23"/>
        </w:rPr>
      </w:pPr>
    </w:p>
    <w:p>
      <w:pPr>
        <w:pStyle w:val="BodyText"/>
        <w:spacing w:line="480" w:lineRule="auto"/>
        <w:ind w:left="152" w:right="118" w:firstLine="705"/>
        <w:jc w:val="both"/>
      </w:pPr>
      <w:r>
        <w:rPr/>
        <w:t>El crecimiento en los peces es el desarrollo progresivo y complejo del incremento gradual en tamaño o peso de un organismo y es un indicador de </w:t>
      </w:r>
      <w:r>
        <w:rPr>
          <w:spacing w:val="-4"/>
        </w:rPr>
        <w:t>las </w:t>
      </w:r>
      <w:r>
        <w:rPr/>
        <w:t>condiciones fisiológicas y ambientales, </w:t>
      </w:r>
      <w:r>
        <w:rPr>
          <w:spacing w:val="-3"/>
        </w:rPr>
        <w:t>ya </w:t>
      </w:r>
      <w:r>
        <w:rPr/>
        <w:t>que casi siempre es el último proceso en </w:t>
      </w:r>
      <w:r>
        <w:rPr>
          <w:spacing w:val="-5"/>
        </w:rPr>
        <w:t>la </w:t>
      </w:r>
      <w:r>
        <w:rPr/>
        <w:t>ecuación balanceada de </w:t>
      </w:r>
      <w:r>
        <w:rPr>
          <w:spacing w:val="-3"/>
        </w:rPr>
        <w:t>la </w:t>
      </w:r>
      <w:r>
        <w:rPr/>
        <w:t>energía invertida por el pez (Gómez-Márquez, 1994; Diana, 2004). A éste respecto el incremento de una dimensión cualquiera del individuo o crecimiento, tiene una influencia  en </w:t>
      </w:r>
      <w:r>
        <w:rPr>
          <w:spacing w:val="-3"/>
        </w:rPr>
        <w:t>la </w:t>
      </w:r>
      <w:r>
        <w:rPr/>
        <w:t>adecuación, o el éxito reproductivo de un genotipo (Maynard,</w:t>
      </w:r>
      <w:r>
        <w:rPr>
          <w:spacing w:val="-11"/>
        </w:rPr>
        <w:t> </w:t>
      </w:r>
      <w:r>
        <w:rPr/>
        <w:t>1999).</w:t>
      </w:r>
    </w:p>
    <w:p>
      <w:pPr>
        <w:pStyle w:val="BodyText"/>
      </w:pPr>
    </w:p>
    <w:p>
      <w:pPr>
        <w:pStyle w:val="BodyText"/>
        <w:spacing w:before="10"/>
      </w:pPr>
    </w:p>
    <w:p>
      <w:pPr>
        <w:pStyle w:val="BodyText"/>
        <w:spacing w:line="480" w:lineRule="auto"/>
        <w:ind w:left="152" w:right="125"/>
        <w:jc w:val="both"/>
      </w:pPr>
      <w:r>
        <w:rPr/>
        <w:t>En peces el análisis de los datos de longitud y peso permite primeramente, describir en forma matemática </w:t>
      </w:r>
      <w:r>
        <w:rPr>
          <w:spacing w:val="-3"/>
        </w:rPr>
        <w:t>la </w:t>
      </w:r>
      <w:r>
        <w:rPr/>
        <w:t>relación entre </w:t>
      </w:r>
      <w:r>
        <w:rPr>
          <w:spacing w:val="-5"/>
        </w:rPr>
        <w:t>la </w:t>
      </w:r>
      <w:r>
        <w:rPr/>
        <w:t>talla y el peso, de tal manera que se pueda estimar  uno a partir del otro. Igualmente, </w:t>
      </w:r>
      <w:r>
        <w:rPr>
          <w:spacing w:val="-5"/>
        </w:rPr>
        <w:t>la </w:t>
      </w:r>
      <w:r>
        <w:rPr/>
        <w:t>información de </w:t>
      </w:r>
      <w:r>
        <w:rPr>
          <w:spacing w:val="-5"/>
        </w:rPr>
        <w:t>la </w:t>
      </w:r>
      <w:r>
        <w:rPr/>
        <w:t>relación talla-peso se utiliza para </w:t>
      </w:r>
      <w:r>
        <w:rPr>
          <w:spacing w:val="-3"/>
        </w:rPr>
        <w:t>la </w:t>
      </w:r>
      <w:r>
        <w:rPr/>
        <w:t>comparación de grupos de peces (Caillouet, 1993), para </w:t>
      </w:r>
      <w:r>
        <w:rPr>
          <w:spacing w:val="-3"/>
        </w:rPr>
        <w:t>estimar </w:t>
      </w:r>
      <w:r>
        <w:rPr/>
        <w:t>biomasa y evaluar   </w:t>
      </w:r>
      <w:r>
        <w:rPr>
          <w:spacing w:val="7"/>
        </w:rPr>
        <w:t> </w:t>
      </w:r>
      <w:r>
        <w:rPr/>
        <w:t>stocks,</w:t>
      </w:r>
    </w:p>
    <w:p>
      <w:pPr>
        <w:spacing w:after="0" w:line="480" w:lineRule="auto"/>
        <w:jc w:val="both"/>
        <w:sectPr>
          <w:pgSz w:w="12240" w:h="15840"/>
          <w:pgMar w:header="0" w:footer="1304" w:top="1500" w:bottom="1560" w:left="1720" w:right="1400"/>
        </w:sectPr>
      </w:pPr>
    </w:p>
    <w:p>
      <w:pPr>
        <w:pStyle w:val="BodyText"/>
        <w:spacing w:before="7"/>
        <w:rPr>
          <w:sz w:val="20"/>
        </w:rPr>
      </w:pPr>
    </w:p>
    <w:p>
      <w:pPr>
        <w:pStyle w:val="BodyText"/>
        <w:spacing w:line="480" w:lineRule="auto" w:before="69"/>
        <w:ind w:left="152" w:right="123"/>
        <w:jc w:val="both"/>
      </w:pPr>
      <w:r>
        <w:rPr/>
        <w:t>entre otros (Gulland, 1983; Entsua-Mensah </w:t>
      </w:r>
      <w:r>
        <w:rPr>
          <w:i/>
        </w:rPr>
        <w:t>et al</w:t>
      </w:r>
      <w:r>
        <w:rPr/>
        <w:t>., 1995; Kulbicki </w:t>
      </w:r>
      <w:r>
        <w:rPr>
          <w:i/>
        </w:rPr>
        <w:t>et al</w:t>
      </w:r>
      <w:r>
        <w:rPr/>
        <w:t>., 1993; Beyer, 1987; Benedito </w:t>
      </w:r>
      <w:r>
        <w:rPr>
          <w:i/>
        </w:rPr>
        <w:t>et al</w:t>
      </w:r>
      <w:r>
        <w:rPr/>
        <w:t>., 1997).</w:t>
      </w:r>
    </w:p>
    <w:p>
      <w:pPr>
        <w:pStyle w:val="BodyText"/>
      </w:pPr>
    </w:p>
    <w:p>
      <w:pPr>
        <w:pStyle w:val="BodyText"/>
      </w:pPr>
    </w:p>
    <w:p>
      <w:pPr>
        <w:pStyle w:val="ListParagraph"/>
        <w:numPr>
          <w:ilvl w:val="1"/>
          <w:numId w:val="3"/>
        </w:numPr>
        <w:tabs>
          <w:tab w:pos="518" w:val="left" w:leader="none"/>
        </w:tabs>
        <w:spacing w:line="240" w:lineRule="auto" w:before="212" w:after="0"/>
        <w:ind w:left="517" w:right="0" w:hanging="365"/>
        <w:jc w:val="both"/>
        <w:rPr>
          <w:i/>
          <w:sz w:val="24"/>
        </w:rPr>
      </w:pPr>
      <w:r>
        <w:rPr>
          <w:i/>
          <w:sz w:val="24"/>
        </w:rPr>
        <w:t>Estudios relacionados con el impacto del parasitismo en el</w:t>
      </w:r>
      <w:r>
        <w:rPr>
          <w:i/>
          <w:spacing w:val="-25"/>
          <w:sz w:val="24"/>
        </w:rPr>
        <w:t> </w:t>
      </w:r>
      <w:r>
        <w:rPr>
          <w:i/>
          <w:sz w:val="24"/>
        </w:rPr>
        <w:t>crecimiento</w:t>
      </w:r>
    </w:p>
    <w:p>
      <w:pPr>
        <w:pStyle w:val="BodyText"/>
        <w:rPr>
          <w:i/>
        </w:rPr>
      </w:pPr>
    </w:p>
    <w:p>
      <w:pPr>
        <w:pStyle w:val="BodyText"/>
        <w:spacing w:before="9"/>
        <w:rPr>
          <w:i/>
          <w:sz w:val="23"/>
        </w:rPr>
      </w:pPr>
    </w:p>
    <w:p>
      <w:pPr>
        <w:pStyle w:val="BodyText"/>
        <w:spacing w:line="480" w:lineRule="auto"/>
        <w:ind w:left="152" w:right="117" w:firstLine="705"/>
        <w:jc w:val="both"/>
      </w:pPr>
      <w:r>
        <w:rPr/>
        <w:t>Existen numerosos trabajos que tratan de estudiar las relaciones existentes entre hospedero-parásito, centrándose muchos de ellos en tratar de dilucidar si la presencia de los parásitos afecta la salud del hospedero (Pampoulie </w:t>
      </w:r>
      <w:r>
        <w:rPr>
          <w:i/>
        </w:rPr>
        <w:t>et al</w:t>
      </w:r>
      <w:r>
        <w:rPr/>
        <w:t>., 1999; Leonardos &amp; Trilles, 2003), si le perjudica o no a la hora de alcanzar una talla o peso determinado o si el tamaño del hospedero influye en la cantidad de parásitos presentes (Chigbu, 2001; Tucker </w:t>
      </w:r>
      <w:r>
        <w:rPr>
          <w:i/>
        </w:rPr>
        <w:t>et al</w:t>
      </w:r>
      <w:r>
        <w:rPr/>
        <w:t>., 2002). Hay estudios que señalan que la presencia de los parásitos tiene un efecto negativo en las condiciones del hospedero (Uldal &amp; Buchmann, 1996; Wright </w:t>
      </w:r>
      <w:r>
        <w:rPr>
          <w:i/>
        </w:rPr>
        <w:t>et al</w:t>
      </w:r>
      <w:r>
        <w:rPr/>
        <w:t>., 2001; Diouf, 2003), mientras que otros trabajos señalan que no existe relación entre la presencia de los parásitos y el peso o talla del hospedero (Benajiba </w:t>
      </w:r>
      <w:r>
        <w:rPr>
          <w:i/>
        </w:rPr>
        <w:t>et al</w:t>
      </w:r>
      <w:r>
        <w:rPr/>
        <w:t>., 1995; </w:t>
      </w:r>
      <w:r>
        <w:rPr>
          <w:i/>
        </w:rPr>
        <w:t>et al</w:t>
      </w:r>
      <w:r>
        <w:rPr/>
        <w:t>., 2000; Rubio- Godoy </w:t>
      </w:r>
      <w:r>
        <w:rPr>
          <w:i/>
        </w:rPr>
        <w:t>et al</w:t>
      </w:r>
      <w:r>
        <w:rPr/>
        <w:t>., 2003).</w:t>
      </w:r>
    </w:p>
    <w:p>
      <w:pPr>
        <w:pStyle w:val="BodyText"/>
        <w:spacing w:line="480" w:lineRule="auto" w:before="10"/>
        <w:ind w:left="152" w:right="127"/>
        <w:jc w:val="both"/>
      </w:pPr>
      <w:r>
        <w:rPr/>
        <w:t>Desde un enfoque de especificidad hospedera se sabe que </w:t>
      </w:r>
      <w:r>
        <w:rPr>
          <w:spacing w:val="-5"/>
        </w:rPr>
        <w:t>la </w:t>
      </w:r>
      <w:r>
        <w:rPr/>
        <w:t>selección Natural favorece a los parásitos que explotan a hospederos con una talla corporal o longevidad mayor, así </w:t>
      </w:r>
      <w:r>
        <w:rPr>
          <w:spacing w:val="-3"/>
        </w:rPr>
        <w:t>mismo la </w:t>
      </w:r>
      <w:r>
        <w:rPr/>
        <w:t>conducta social o distribución espacial de los hospederos es una característica importante para el parasitismo (Poulin, 2007). Estudios realizados en aves sugieren que  para </w:t>
      </w:r>
      <w:r>
        <w:rPr>
          <w:i/>
        </w:rPr>
        <w:t>Lanius collurio </w:t>
      </w:r>
      <w:r>
        <w:rPr>
          <w:spacing w:val="-5"/>
        </w:rPr>
        <w:t>la </w:t>
      </w:r>
      <w:r>
        <w:rPr/>
        <w:t>incidencia de parásitos es mayor en individuos con alas y colas mas grandes y mas coloridas (Votýpka, </w:t>
      </w:r>
      <w:r>
        <w:rPr>
          <w:i/>
        </w:rPr>
        <w:t>et al</w:t>
      </w:r>
      <w:r>
        <w:rPr/>
        <w:t>.,</w:t>
      </w:r>
      <w:r>
        <w:rPr>
          <w:spacing w:val="-11"/>
        </w:rPr>
        <w:t> </w:t>
      </w:r>
      <w:r>
        <w:rPr/>
        <w:t>2003).</w:t>
      </w:r>
    </w:p>
    <w:p>
      <w:pPr>
        <w:spacing w:after="0" w:line="480" w:lineRule="auto"/>
        <w:jc w:val="both"/>
        <w:sectPr>
          <w:pgSz w:w="12240" w:h="15840"/>
          <w:pgMar w:header="0" w:footer="1304" w:top="1500" w:bottom="1560" w:left="1720" w:right="1400"/>
        </w:sectPr>
      </w:pPr>
    </w:p>
    <w:p>
      <w:pPr>
        <w:pStyle w:val="BodyText"/>
        <w:spacing w:before="7"/>
        <w:rPr>
          <w:sz w:val="20"/>
        </w:rPr>
      </w:pPr>
    </w:p>
    <w:p>
      <w:pPr>
        <w:pStyle w:val="BodyText"/>
        <w:spacing w:line="480" w:lineRule="auto" w:before="69"/>
        <w:ind w:left="152" w:right="106"/>
        <w:jc w:val="both"/>
      </w:pPr>
      <w:r>
        <w:rPr/>
        <w:t>Johnson y Terry (2001) sugieren que </w:t>
      </w:r>
      <w:r>
        <w:rPr>
          <w:spacing w:val="-5"/>
        </w:rPr>
        <w:t>la </w:t>
      </w:r>
      <w:r>
        <w:rPr/>
        <w:t>interacción entre </w:t>
      </w:r>
      <w:r>
        <w:rPr>
          <w:spacing w:val="-3"/>
        </w:rPr>
        <w:t>las </w:t>
      </w:r>
      <w:r>
        <w:rPr/>
        <w:t>infecciones parasitarias y </w:t>
      </w:r>
      <w:r>
        <w:rPr>
          <w:spacing w:val="-3"/>
        </w:rPr>
        <w:t>la </w:t>
      </w:r>
      <w:r>
        <w:rPr/>
        <w:t>edad, tamaño y sexo de </w:t>
      </w:r>
      <w:r>
        <w:rPr>
          <w:i/>
        </w:rPr>
        <w:t>Perca flavescens </w:t>
      </w:r>
      <w:r>
        <w:rPr/>
        <w:t>pueden afectar el crecimiento y </w:t>
      </w:r>
      <w:r>
        <w:rPr>
          <w:spacing w:val="-5"/>
        </w:rPr>
        <w:t>la </w:t>
      </w:r>
      <w:r>
        <w:rPr/>
        <w:t>reproducción  de éste pez, especialmente durante periodos </w:t>
      </w:r>
      <w:r>
        <w:rPr>
          <w:spacing w:val="-3"/>
        </w:rPr>
        <w:t>de </w:t>
      </w:r>
      <w:r>
        <w:rPr/>
        <w:t>aportación de baja energía y estrés reproductivo (Møller </w:t>
      </w:r>
      <w:r>
        <w:rPr>
          <w:i/>
        </w:rPr>
        <w:t>et al</w:t>
      </w:r>
      <w:r>
        <w:rPr/>
        <w:t>.,</w:t>
      </w:r>
      <w:r>
        <w:rPr>
          <w:spacing w:val="-10"/>
        </w:rPr>
        <w:t> </w:t>
      </w:r>
      <w:r>
        <w:rPr/>
        <w:t>1998).</w:t>
      </w:r>
    </w:p>
    <w:p>
      <w:pPr>
        <w:pStyle w:val="BodyText"/>
      </w:pPr>
    </w:p>
    <w:p>
      <w:pPr>
        <w:pStyle w:val="BodyText"/>
        <w:spacing w:before="10"/>
      </w:pPr>
    </w:p>
    <w:p>
      <w:pPr>
        <w:pStyle w:val="BodyText"/>
        <w:spacing w:line="480" w:lineRule="auto"/>
        <w:ind w:left="152" w:right="108"/>
        <w:jc w:val="both"/>
      </w:pPr>
      <w:r>
        <w:rPr/>
        <w:t>Šimková y colaboradores (2008), determinaron que la riqueza total de parásitos; ectoparásitos y endoparásitos, influían en el peso del bazo y las gónadas de varias especies de ciprínidos de Europa Central. Aunado a esto, Pennycuick (2009) determinó que las infecciones causadas por </w:t>
      </w:r>
      <w:r>
        <w:rPr>
          <w:i/>
        </w:rPr>
        <w:t>Diplostomum </w:t>
      </w:r>
      <w:r>
        <w:rPr/>
        <w:t>y </w:t>
      </w:r>
      <w:r>
        <w:rPr>
          <w:i/>
        </w:rPr>
        <w:t>Echinorhynchus </w:t>
      </w:r>
      <w:r>
        <w:rPr/>
        <w:t>incrementaban con la edad y la talla de peces espinos, y sugiere que éste incremento se puede relacionar con los hábitos alimenticios de éstos peces. Así mismo Uldal y Buchmann (1996) encontraron que en </w:t>
      </w:r>
      <w:r>
        <w:rPr>
          <w:i/>
        </w:rPr>
        <w:t>Oncorhynchus mykiss </w:t>
      </w:r>
      <w:r>
        <w:rPr/>
        <w:t>existe una relación entre la talla de éste pez y la parasitosis, observando una disminución en talla y peso.</w:t>
      </w:r>
    </w:p>
    <w:p>
      <w:pPr>
        <w:pStyle w:val="BodyText"/>
        <w:spacing w:line="480" w:lineRule="auto" w:before="10"/>
        <w:ind w:left="152" w:right="105"/>
        <w:jc w:val="both"/>
        <w:rPr>
          <w:i/>
        </w:rPr>
      </w:pPr>
      <w:r>
        <w:rPr/>
        <w:t>Resultados contrarios presentados por Arnott y colaboradores (2000), muestran que para peces espinosos infectados con el cestodo </w:t>
      </w:r>
      <w:r>
        <w:rPr>
          <w:i/>
        </w:rPr>
        <w:t>Schistocephalus solidus, </w:t>
      </w:r>
      <w:r>
        <w:rPr/>
        <w:t>los peces crecían más rápido y tenían una condición corporal igual o mayor después de la infección en comparación con los no infectados</w:t>
      </w:r>
      <w:r>
        <w:rPr>
          <w:i/>
        </w:rPr>
        <w:t>.</w:t>
      </w:r>
    </w:p>
    <w:p>
      <w:pPr>
        <w:spacing w:after="0" w:line="480" w:lineRule="auto"/>
        <w:jc w:val="both"/>
        <w:sectPr>
          <w:pgSz w:w="12240" w:h="15840"/>
          <w:pgMar w:header="0" w:footer="1304" w:top="1500" w:bottom="1560" w:left="1720" w:right="1420"/>
        </w:sectPr>
      </w:pPr>
    </w:p>
    <w:p>
      <w:pPr>
        <w:pStyle w:val="BodyText"/>
        <w:rPr>
          <w:i/>
          <w:sz w:val="20"/>
        </w:rPr>
      </w:pPr>
    </w:p>
    <w:p>
      <w:pPr>
        <w:pStyle w:val="BodyText"/>
        <w:spacing w:before="2"/>
        <w:rPr>
          <w:i/>
          <w:sz w:val="18"/>
        </w:rPr>
      </w:pPr>
    </w:p>
    <w:p>
      <w:pPr>
        <w:pStyle w:val="ListParagraph"/>
        <w:numPr>
          <w:ilvl w:val="0"/>
          <w:numId w:val="3"/>
        </w:numPr>
        <w:tabs>
          <w:tab w:pos="336" w:val="left" w:leader="none"/>
        </w:tabs>
        <w:spacing w:line="240" w:lineRule="auto" w:before="69" w:after="0"/>
        <w:ind w:left="335" w:right="0" w:hanging="183"/>
        <w:jc w:val="left"/>
        <w:rPr>
          <w:sz w:val="24"/>
        </w:rPr>
      </w:pPr>
      <w:r>
        <w:rPr>
          <w:sz w:val="24"/>
        </w:rPr>
        <w:t>Biología de </w:t>
      </w:r>
      <w:r>
        <w:rPr>
          <w:i/>
          <w:sz w:val="24"/>
        </w:rPr>
        <w:t>Girardinichthys multiradiatus </w:t>
      </w:r>
      <w:r>
        <w:rPr>
          <w:sz w:val="24"/>
        </w:rPr>
        <w:t>(Meek,</w:t>
      </w:r>
      <w:r>
        <w:rPr>
          <w:spacing w:val="-13"/>
          <w:sz w:val="24"/>
        </w:rPr>
        <w:t> </w:t>
      </w:r>
      <w:r>
        <w:rPr>
          <w:sz w:val="24"/>
        </w:rPr>
        <w:t>1904)</w:t>
      </w:r>
    </w:p>
    <w:p>
      <w:pPr>
        <w:pStyle w:val="BodyText"/>
      </w:pPr>
    </w:p>
    <w:p>
      <w:pPr>
        <w:pStyle w:val="BodyText"/>
      </w:pPr>
    </w:p>
    <w:p>
      <w:pPr>
        <w:pStyle w:val="BodyText"/>
      </w:pPr>
    </w:p>
    <w:p>
      <w:pPr>
        <w:pStyle w:val="BodyText"/>
        <w:spacing w:line="480" w:lineRule="auto"/>
        <w:ind w:left="152" w:right="116" w:firstLine="705"/>
        <w:jc w:val="both"/>
      </w:pPr>
      <w:r>
        <w:rPr/>
        <w:t>La familia Goodeidae en México está representada por aproximadamente 42 especies de peces vivíparos (Paulo-Maya y Trujillo-Jiménez, 2000). Su distribución actual dista </w:t>
      </w:r>
      <w:r>
        <w:rPr>
          <w:spacing w:val="-3"/>
        </w:rPr>
        <w:t>mucho </w:t>
      </w:r>
      <w:r>
        <w:rPr/>
        <w:t>de ser natural, </w:t>
      </w:r>
      <w:r>
        <w:rPr>
          <w:spacing w:val="-5"/>
        </w:rPr>
        <w:t>ya </w:t>
      </w:r>
      <w:r>
        <w:rPr/>
        <w:t>que su hábitat se </w:t>
      </w:r>
      <w:r>
        <w:rPr>
          <w:spacing w:val="-3"/>
        </w:rPr>
        <w:t>ha </w:t>
      </w:r>
      <w:r>
        <w:rPr/>
        <w:t>visto modificado por acciones antropogénicas en prácticamente todas </w:t>
      </w:r>
      <w:r>
        <w:rPr>
          <w:spacing w:val="-4"/>
        </w:rPr>
        <w:t>las </w:t>
      </w:r>
      <w:r>
        <w:rPr/>
        <w:t>cuencas donde se distribuye esta familia que se refleja en </w:t>
      </w:r>
      <w:r>
        <w:rPr>
          <w:spacing w:val="-3"/>
        </w:rPr>
        <w:t>la </w:t>
      </w:r>
      <w:r>
        <w:rPr/>
        <w:t>restricción de </w:t>
      </w:r>
      <w:r>
        <w:rPr>
          <w:spacing w:val="-3"/>
        </w:rPr>
        <w:t>la </w:t>
      </w:r>
      <w:r>
        <w:rPr/>
        <w:t>distribución de </w:t>
      </w:r>
      <w:r>
        <w:rPr>
          <w:spacing w:val="-3"/>
        </w:rPr>
        <w:t>la </w:t>
      </w:r>
      <w:r>
        <w:rPr/>
        <w:t>mayoría de estas especies (Soto-Galera y Paulo-Maya,</w:t>
      </w:r>
      <w:r>
        <w:rPr>
          <w:spacing w:val="-7"/>
        </w:rPr>
        <w:t> </w:t>
      </w:r>
      <w:r>
        <w:rPr/>
        <w:t>1995).</w:t>
      </w:r>
    </w:p>
    <w:p>
      <w:pPr>
        <w:pStyle w:val="BodyText"/>
        <w:tabs>
          <w:tab w:pos="1899" w:val="left" w:leader="none"/>
          <w:tab w:pos="3130" w:val="left" w:leader="none"/>
          <w:tab w:pos="3479" w:val="left" w:leader="none"/>
          <w:tab w:pos="3897" w:val="left" w:leader="none"/>
          <w:tab w:pos="5000" w:val="left" w:leader="none"/>
          <w:tab w:pos="6458" w:val="left" w:leader="none"/>
          <w:tab w:pos="7210" w:val="left" w:leader="none"/>
          <w:tab w:pos="8873" w:val="left" w:leader="none"/>
        </w:tabs>
        <w:spacing w:line="480" w:lineRule="auto" w:before="10"/>
        <w:ind w:left="152" w:right="116"/>
      </w:pPr>
      <w:r>
        <w:rPr>
          <w:i/>
        </w:rPr>
        <w:t>Girardinichthys</w:t>
        <w:tab/>
        <w:t>multiradiatus</w:t>
      </w:r>
      <w:r>
        <w:rPr/>
        <w:t>,</w:t>
        <w:tab/>
        <w:t>es</w:t>
        <w:tab/>
        <w:t>conocido</w:t>
        <w:tab/>
        <w:t>comúnmente</w:t>
        <w:tab/>
        <w:t>como</w:t>
        <w:tab/>
        <w:t>“mexcalpique”</w:t>
        <w:tab/>
        <w:t>ó “amarillo”, un pez pequeño, vivíparo, endémico de </w:t>
      </w:r>
      <w:r>
        <w:rPr>
          <w:spacing w:val="-5"/>
        </w:rPr>
        <w:t>la </w:t>
      </w:r>
      <w:r>
        <w:rPr/>
        <w:t>Cuenca alta del </w:t>
      </w:r>
      <w:r>
        <w:rPr>
          <w:spacing w:val="-3"/>
        </w:rPr>
        <w:t>Río </w:t>
      </w:r>
      <w:r>
        <w:rPr/>
        <w:t>Lerma con algunas localidades subyacentes (Gesundheit y Macías García 2005); éstas incluyen lagunas, represas y ríos en tres cuencas principales, (Lerma, Balsas y Pánuco ) aunque </w:t>
      </w:r>
      <w:r>
        <w:rPr>
          <w:spacing w:val="4"/>
        </w:rPr>
        <w:t>el </w:t>
      </w:r>
      <w:r>
        <w:rPr/>
        <w:t>grueso de </w:t>
      </w:r>
      <w:r>
        <w:rPr>
          <w:spacing w:val="-5"/>
        </w:rPr>
        <w:t>la </w:t>
      </w:r>
      <w:r>
        <w:rPr/>
        <w:t>población se encuentra en </w:t>
      </w:r>
      <w:r>
        <w:rPr>
          <w:spacing w:val="-5"/>
        </w:rPr>
        <w:t>la </w:t>
      </w:r>
      <w:r>
        <w:rPr/>
        <w:t>cuenca alta del río Lerma. Actualmente se encuentra en categoría de especie vulnerable dentro de </w:t>
      </w:r>
      <w:r>
        <w:rPr>
          <w:spacing w:val="-5"/>
        </w:rPr>
        <w:t>la </w:t>
      </w:r>
      <w:r>
        <w:rPr/>
        <w:t>Lista Roja (IUCN, 2011). Presenta un marcado dimorfismo sexual, con tallas máximas de 55 y 60 milímetros de longitud total, se distribuyen en ambientes de poco movimiento, </w:t>
      </w:r>
      <w:r>
        <w:rPr>
          <w:spacing w:val="-3"/>
        </w:rPr>
        <w:t>como </w:t>
      </w:r>
      <w:r>
        <w:rPr/>
        <w:t>pozas o zanjas con vegetación ribereña o sumergida y profundidades menores a un metro (Miller </w:t>
      </w:r>
      <w:r>
        <w:rPr>
          <w:i/>
        </w:rPr>
        <w:t>et al</w:t>
      </w:r>
      <w:r>
        <w:rPr/>
        <w:t>., 2005). Para esta especie González-Zuarth y Macías García (2005), determinaron que existe una divergencia en </w:t>
      </w:r>
      <w:r>
        <w:rPr>
          <w:spacing w:val="-3"/>
        </w:rPr>
        <w:t>las </w:t>
      </w:r>
      <w:r>
        <w:rPr/>
        <w:t>características morfológicas, las cuales, son esenciales en </w:t>
      </w:r>
      <w:r>
        <w:rPr>
          <w:spacing w:val="-3"/>
        </w:rPr>
        <w:t>la </w:t>
      </w:r>
      <w:r>
        <w:rPr/>
        <w:t>elección femenina y en el desarrollo del cortejo en el macho, y sugieren que los estudios en poblaciones podrían determinar si existe una divergencia en </w:t>
      </w:r>
      <w:r>
        <w:rPr>
          <w:spacing w:val="-5"/>
        </w:rPr>
        <w:t>la </w:t>
      </w:r>
      <w:r>
        <w:rPr/>
        <w:t>preferencia de </w:t>
      </w:r>
      <w:r>
        <w:rPr>
          <w:spacing w:val="-4"/>
        </w:rPr>
        <w:t>las </w:t>
      </w:r>
      <w:r>
        <w:rPr/>
        <w:t>hembras por  un  fenotipo</w:t>
      </w:r>
      <w:r>
        <w:rPr>
          <w:spacing w:val="36"/>
        </w:rPr>
        <w:t> </w:t>
      </w:r>
      <w:r>
        <w:rPr/>
        <w:t>del</w:t>
      </w:r>
      <w:r>
        <w:rPr>
          <w:spacing w:val="47"/>
        </w:rPr>
        <w:t> </w:t>
      </w:r>
      <w:r>
        <w:rPr/>
        <w:t>macho</w:t>
        <w:tab/>
        <w:t>que  presente  una  mayor  variación  en  los  atributos  y</w:t>
      </w:r>
      <w:r>
        <w:rPr>
          <w:spacing w:val="-25"/>
        </w:rPr>
        <w:t> </w:t>
      </w:r>
      <w:r>
        <w:rPr/>
        <w:t>ésta</w:t>
      </w:r>
    </w:p>
    <w:p>
      <w:pPr>
        <w:spacing w:after="0" w:line="480" w:lineRule="auto"/>
        <w:sectPr>
          <w:pgSz w:w="12240" w:h="15840"/>
          <w:pgMar w:header="0" w:footer="1304" w:top="1500" w:bottom="1560" w:left="1720" w:right="1400"/>
        </w:sectPr>
      </w:pPr>
    </w:p>
    <w:p>
      <w:pPr>
        <w:pStyle w:val="BodyText"/>
        <w:spacing w:before="7"/>
        <w:rPr>
          <w:sz w:val="20"/>
        </w:rPr>
      </w:pPr>
    </w:p>
    <w:p>
      <w:pPr>
        <w:pStyle w:val="BodyText"/>
        <w:spacing w:line="480" w:lineRule="auto" w:before="69"/>
        <w:ind w:left="152" w:right="100"/>
      </w:pPr>
      <w:r>
        <w:rPr/>
        <w:t>variación se vea comprobada con la divergencia en las preferencias de las hembras. Aunado a esto en 2002, Macías García &amp; Burt de Perera sugieren que la morfología del macho en</w:t>
      </w:r>
    </w:p>
    <w:p>
      <w:pPr>
        <w:spacing w:before="10"/>
        <w:ind w:left="152" w:right="0" w:firstLine="0"/>
        <w:jc w:val="left"/>
        <w:rPr>
          <w:b/>
          <w:sz w:val="24"/>
        </w:rPr>
      </w:pPr>
      <w:r>
        <w:rPr>
          <w:i/>
          <w:sz w:val="24"/>
        </w:rPr>
        <w:t>G. multiradiatus </w:t>
      </w:r>
      <w:r>
        <w:rPr>
          <w:sz w:val="24"/>
        </w:rPr>
        <w:t>juega un papel importante en la selección de pareja</w:t>
      </w:r>
      <w:r>
        <w:rPr>
          <w:b/>
          <w:sz w:val="24"/>
        </w:rPr>
        <w:t>.</w:t>
      </w:r>
    </w:p>
    <w:p>
      <w:pPr>
        <w:pStyle w:val="BodyText"/>
        <w:rPr>
          <w:b/>
        </w:rPr>
      </w:pPr>
    </w:p>
    <w:p>
      <w:pPr>
        <w:pStyle w:val="ListParagraph"/>
        <w:numPr>
          <w:ilvl w:val="1"/>
          <w:numId w:val="4"/>
        </w:numPr>
        <w:tabs>
          <w:tab w:pos="518" w:val="left" w:leader="none"/>
        </w:tabs>
        <w:spacing w:line="240" w:lineRule="auto" w:before="201" w:after="0"/>
        <w:ind w:left="517" w:right="0" w:hanging="365"/>
        <w:jc w:val="left"/>
        <w:rPr>
          <w:i/>
          <w:sz w:val="24"/>
        </w:rPr>
      </w:pPr>
      <w:r>
        <w:rPr>
          <w:i/>
          <w:sz w:val="24"/>
        </w:rPr>
        <w:t>Girardinichthys multiradiatus y</w:t>
      </w:r>
      <w:r>
        <w:rPr>
          <w:i/>
          <w:spacing w:val="-19"/>
          <w:sz w:val="24"/>
        </w:rPr>
        <w:t> </w:t>
      </w:r>
      <w:r>
        <w:rPr>
          <w:i/>
          <w:sz w:val="24"/>
        </w:rPr>
        <w:t>parasitismo</w:t>
      </w:r>
    </w:p>
    <w:p>
      <w:pPr>
        <w:pStyle w:val="BodyText"/>
        <w:rPr>
          <w:i/>
        </w:rPr>
      </w:pPr>
    </w:p>
    <w:p>
      <w:pPr>
        <w:pStyle w:val="BodyText"/>
        <w:spacing w:before="9"/>
        <w:rPr>
          <w:i/>
          <w:sz w:val="23"/>
        </w:rPr>
      </w:pPr>
    </w:p>
    <w:p>
      <w:pPr>
        <w:spacing w:line="480" w:lineRule="auto" w:before="0"/>
        <w:ind w:left="152" w:right="100" w:firstLine="360"/>
        <w:jc w:val="both"/>
        <w:rPr>
          <w:sz w:val="24"/>
        </w:rPr>
      </w:pPr>
      <w:r>
        <w:rPr>
          <w:sz w:val="24"/>
        </w:rPr>
        <w:t>Sánchez-Nava y colaboradores (2004), registraron para </w:t>
      </w:r>
      <w:r>
        <w:rPr>
          <w:i/>
          <w:sz w:val="24"/>
        </w:rPr>
        <w:t>G. multiradiatus </w:t>
      </w:r>
      <w:r>
        <w:rPr>
          <w:sz w:val="24"/>
        </w:rPr>
        <w:t>la presencia de un total de 13 especies de helmintos incluyendo monogéneos, tremátodos y cestodos, con especies representativas como </w:t>
      </w:r>
      <w:r>
        <w:rPr>
          <w:i/>
          <w:sz w:val="24"/>
        </w:rPr>
        <w:t>Tylodelphys </w:t>
      </w:r>
      <w:r>
        <w:rPr>
          <w:sz w:val="24"/>
        </w:rPr>
        <w:t>sp., </w:t>
      </w:r>
      <w:r>
        <w:rPr>
          <w:i/>
          <w:sz w:val="24"/>
        </w:rPr>
        <w:t>Ochetosoma brevicaecum</w:t>
      </w:r>
      <w:r>
        <w:rPr>
          <w:sz w:val="24"/>
        </w:rPr>
        <w:t>, </w:t>
      </w:r>
      <w:r>
        <w:rPr>
          <w:i/>
          <w:sz w:val="24"/>
        </w:rPr>
        <w:t>Contracaecum </w:t>
      </w:r>
      <w:r>
        <w:rPr>
          <w:sz w:val="24"/>
        </w:rPr>
        <w:t>sp., y </w:t>
      </w:r>
      <w:r>
        <w:rPr>
          <w:i/>
          <w:sz w:val="24"/>
        </w:rPr>
        <w:t>Falcaustra </w:t>
      </w:r>
      <w:r>
        <w:rPr>
          <w:sz w:val="24"/>
        </w:rPr>
        <w:t>sp.</w:t>
      </w:r>
    </w:p>
    <w:p>
      <w:pPr>
        <w:spacing w:after="0" w:line="480" w:lineRule="auto"/>
        <w:jc w:val="both"/>
        <w:rPr>
          <w:sz w:val="24"/>
        </w:rPr>
        <w:sectPr>
          <w:pgSz w:w="12240" w:h="15840"/>
          <w:pgMar w:header="0" w:footer="1304" w:top="1500" w:bottom="1560" w:left="1720" w:right="1420"/>
        </w:sectPr>
      </w:pPr>
    </w:p>
    <w:p>
      <w:pPr>
        <w:pStyle w:val="BodyText"/>
        <w:rPr>
          <w:sz w:val="20"/>
        </w:rPr>
      </w:pPr>
    </w:p>
    <w:p>
      <w:pPr>
        <w:pStyle w:val="BodyText"/>
        <w:rPr>
          <w:sz w:val="20"/>
        </w:rPr>
      </w:pPr>
    </w:p>
    <w:p>
      <w:pPr>
        <w:pStyle w:val="BodyText"/>
        <w:spacing w:before="9"/>
        <w:rPr>
          <w:sz w:val="22"/>
        </w:rPr>
      </w:pPr>
    </w:p>
    <w:p>
      <w:pPr>
        <w:pStyle w:val="Heading1"/>
        <w:ind w:left="215"/>
      </w:pPr>
      <w:bookmarkStart w:name="_TOC_250008" w:id="5"/>
      <w:bookmarkEnd w:id="5"/>
      <w:r>
        <w:rPr/>
        <w:t>JUSTIFICACIÓN</w:t>
      </w:r>
    </w:p>
    <w:p>
      <w:pPr>
        <w:pStyle w:val="BodyText"/>
        <w:rPr>
          <w:b/>
        </w:rPr>
      </w:pPr>
    </w:p>
    <w:p>
      <w:pPr>
        <w:pStyle w:val="BodyText"/>
        <w:rPr>
          <w:b/>
        </w:rPr>
      </w:pPr>
    </w:p>
    <w:p>
      <w:pPr>
        <w:pStyle w:val="BodyText"/>
        <w:spacing w:before="7"/>
        <w:rPr>
          <w:b/>
          <w:sz w:val="23"/>
        </w:rPr>
      </w:pPr>
    </w:p>
    <w:p>
      <w:pPr>
        <w:pStyle w:val="BodyText"/>
        <w:spacing w:line="480" w:lineRule="auto"/>
        <w:ind w:left="152" w:right="126" w:firstLine="705"/>
        <w:jc w:val="both"/>
      </w:pPr>
      <w:r>
        <w:rPr/>
        <w:t>El parasitismo representa una de las formas de vida más exitosa sobre nuestro planeta, al menos el 50% de las plantas y animales son parasitados en alguna etapa de su ciclo de vida. Sin embargo, teniendo en cuenta la importancia de los parásitos en la estructura de los ecosistemas, estos han recibido un nivel de atención relativamente pequeño. Los complejos ciclos de vida que tienen muchos parásitos permiten utilizarlos como indicadores de la biología y de la conducta de sus hospederos.</w:t>
      </w:r>
    </w:p>
    <w:p>
      <w:pPr>
        <w:pStyle w:val="BodyText"/>
        <w:spacing w:line="480" w:lineRule="auto" w:before="10"/>
        <w:ind w:left="152" w:right="115"/>
        <w:jc w:val="both"/>
      </w:pPr>
      <w:r>
        <w:rPr/>
        <w:t>Los parásitos en los peces de aguas continentales constituyen un grupo muy interesante para realizar estudios poblacionales y de comunidades. La Cuenca Alta del </w:t>
      </w:r>
      <w:r>
        <w:rPr>
          <w:spacing w:val="-3"/>
        </w:rPr>
        <w:t>Río </w:t>
      </w:r>
      <w:r>
        <w:rPr/>
        <w:t>Lerma es una de las cuencas hidrográficas más importantes y más estudiadas de México, además de ser una de las más contaminadas, puesto que su calidad de agua en general </w:t>
      </w:r>
      <w:r>
        <w:rPr>
          <w:spacing w:val="-3"/>
        </w:rPr>
        <w:t>no </w:t>
      </w:r>
      <w:r>
        <w:rPr/>
        <w:t>es buena para </w:t>
      </w:r>
      <w:r>
        <w:rPr>
          <w:spacing w:val="-3"/>
        </w:rPr>
        <w:t>la </w:t>
      </w:r>
      <w:r>
        <w:rPr/>
        <w:t>protección de </w:t>
      </w:r>
      <w:r>
        <w:rPr>
          <w:spacing w:val="-3"/>
        </w:rPr>
        <w:t>la </w:t>
      </w:r>
      <w:r>
        <w:rPr/>
        <w:t>vida acuática, muchas especies han desaparecido y </w:t>
      </w:r>
      <w:r>
        <w:rPr>
          <w:spacing w:val="-5"/>
        </w:rPr>
        <w:t>la </w:t>
      </w:r>
      <w:r>
        <w:rPr/>
        <w:t>contaminación comienza a cobrar estragos, </w:t>
      </w:r>
      <w:r>
        <w:rPr>
          <w:spacing w:val="-3"/>
        </w:rPr>
        <w:t>ya </w:t>
      </w:r>
      <w:r>
        <w:rPr/>
        <w:t>que se </w:t>
      </w:r>
      <w:r>
        <w:rPr>
          <w:spacing w:val="-3"/>
        </w:rPr>
        <w:t>ha </w:t>
      </w:r>
      <w:r>
        <w:rPr/>
        <w:t>perdido de vista </w:t>
      </w:r>
      <w:r>
        <w:rPr>
          <w:spacing w:val="-3"/>
        </w:rPr>
        <w:t>la </w:t>
      </w:r>
      <w:r>
        <w:rPr/>
        <w:t>protección a </w:t>
      </w:r>
      <w:r>
        <w:rPr>
          <w:spacing w:val="-5"/>
        </w:rPr>
        <w:t>la </w:t>
      </w:r>
      <w:r>
        <w:rPr/>
        <w:t>vida acuática, y por consiguiente también se </w:t>
      </w:r>
      <w:r>
        <w:rPr>
          <w:spacing w:val="-3"/>
        </w:rPr>
        <w:t>ha </w:t>
      </w:r>
      <w:r>
        <w:rPr/>
        <w:t>perdido</w:t>
      </w:r>
      <w:r>
        <w:rPr>
          <w:spacing w:val="-13"/>
        </w:rPr>
        <w:t> </w:t>
      </w:r>
      <w:r>
        <w:rPr/>
        <w:t>biodiversidad.</w:t>
      </w:r>
    </w:p>
    <w:p>
      <w:pPr>
        <w:pStyle w:val="BodyText"/>
        <w:spacing w:line="480" w:lineRule="auto" w:before="10"/>
        <w:ind w:left="152" w:right="126"/>
        <w:jc w:val="both"/>
      </w:pPr>
      <w:r>
        <w:rPr/>
        <w:t>Si bien, conservar las especies exige primero saber dónde y cómo viven, con que especies coexisten o en el caso particular de éste trabajo, la importancia de las especies parásitas que han coevolucionado con ellas, en general; entender su ecología. A pesar de esto nuestro conocimiento sobre la biología de </w:t>
      </w:r>
      <w:r>
        <w:rPr>
          <w:i/>
        </w:rPr>
        <w:t>Girardinichthys multiradiatus</w:t>
      </w:r>
      <w:r>
        <w:rPr/>
        <w:t>, una especie endémica de México y en estatus vulnerable existe poca información del rol que juega el parasitismo en las poblaciones de esta especie además de la importancia ecológica que tiene sobre muchos</w:t>
      </w:r>
    </w:p>
    <w:p>
      <w:pPr>
        <w:spacing w:after="0" w:line="480" w:lineRule="auto"/>
        <w:jc w:val="both"/>
        <w:sectPr>
          <w:pgSz w:w="12240" w:h="15840"/>
          <w:pgMar w:header="0" w:footer="1304" w:top="1500" w:bottom="1560" w:left="1720" w:right="1400"/>
        </w:sectPr>
      </w:pPr>
    </w:p>
    <w:p>
      <w:pPr>
        <w:pStyle w:val="BodyText"/>
        <w:spacing w:before="7"/>
        <w:rPr>
          <w:sz w:val="20"/>
        </w:rPr>
      </w:pPr>
    </w:p>
    <w:p>
      <w:pPr>
        <w:pStyle w:val="BodyText"/>
        <w:spacing w:line="480" w:lineRule="auto" w:before="69"/>
        <w:ind w:left="152" w:right="103"/>
        <w:jc w:val="both"/>
      </w:pPr>
      <w:r>
        <w:rPr/>
        <w:t>rasgos de sus historias de vida, como es el crecimiento. Con éste estudio se pretende determinar si la carga parasitaria en ésta especie tiene un impacto en algunos parámetros morfométricos.</w:t>
      </w:r>
    </w:p>
    <w:p>
      <w:pPr>
        <w:spacing w:after="0" w:line="480" w:lineRule="auto"/>
        <w:jc w:val="both"/>
        <w:sectPr>
          <w:pgSz w:w="12240" w:h="15840"/>
          <w:pgMar w:header="0" w:footer="1304" w:top="1500" w:bottom="1560" w:left="1720" w:right="1420"/>
        </w:sectPr>
      </w:pPr>
    </w:p>
    <w:p>
      <w:pPr>
        <w:pStyle w:val="BodyText"/>
        <w:spacing w:before="1"/>
        <w:rPr>
          <w:sz w:val="21"/>
        </w:rPr>
      </w:pPr>
    </w:p>
    <w:p>
      <w:pPr>
        <w:pStyle w:val="Heading1"/>
      </w:pPr>
      <w:bookmarkStart w:name="_TOC_250007" w:id="6"/>
      <w:bookmarkEnd w:id="6"/>
      <w:r>
        <w:rPr/>
        <w:t>HIPÓTESIS</w:t>
      </w:r>
    </w:p>
    <w:p>
      <w:pPr>
        <w:pStyle w:val="BodyText"/>
        <w:rPr>
          <w:b/>
        </w:rPr>
      </w:pPr>
    </w:p>
    <w:p>
      <w:pPr>
        <w:pStyle w:val="BodyText"/>
        <w:rPr>
          <w:b/>
        </w:rPr>
      </w:pPr>
    </w:p>
    <w:p>
      <w:pPr>
        <w:pStyle w:val="BodyText"/>
        <w:spacing w:before="7"/>
        <w:rPr>
          <w:b/>
          <w:sz w:val="23"/>
        </w:rPr>
      </w:pPr>
    </w:p>
    <w:p>
      <w:pPr>
        <w:pStyle w:val="BodyText"/>
        <w:spacing w:line="480" w:lineRule="auto"/>
        <w:ind w:left="152" w:right="117"/>
        <w:jc w:val="both"/>
      </w:pPr>
      <w:r>
        <w:rPr/>
        <w:t>La riqueza parasitaria en algunos peces está correlacionada con parámetros </w:t>
      </w:r>
      <w:r>
        <w:rPr>
          <w:spacing w:val="-3"/>
        </w:rPr>
        <w:t>como </w:t>
      </w:r>
      <w:r>
        <w:rPr>
          <w:spacing w:val="-5"/>
        </w:rPr>
        <w:t>lo </w:t>
      </w:r>
      <w:r>
        <w:rPr/>
        <w:t>es el peso y </w:t>
      </w:r>
      <w:r>
        <w:rPr>
          <w:spacing w:val="-3"/>
        </w:rPr>
        <w:t>la </w:t>
      </w:r>
      <w:r>
        <w:rPr/>
        <w:t>talla del hospedero; es decir </w:t>
      </w:r>
      <w:r>
        <w:rPr>
          <w:spacing w:val="-3"/>
        </w:rPr>
        <w:t>la </w:t>
      </w:r>
      <w:r>
        <w:rPr/>
        <w:t>disponibilidad de más/menos espacio </w:t>
      </w:r>
      <w:r>
        <w:rPr>
          <w:spacing w:val="4"/>
        </w:rPr>
        <w:t>en </w:t>
      </w:r>
      <w:r>
        <w:rPr>
          <w:i/>
        </w:rPr>
        <w:t>Girardinichthys multiradiatus </w:t>
      </w:r>
      <w:r>
        <w:rPr/>
        <w:t>para los parásitos puede ser más/menos aprovechado por los mismos y se sigue un patrón similar a </w:t>
      </w:r>
      <w:r>
        <w:rPr>
          <w:spacing w:val="-5"/>
        </w:rPr>
        <w:t>lo </w:t>
      </w:r>
      <w:r>
        <w:rPr/>
        <w:t>largo de los diferentes grupos de peso y talla. Por </w:t>
      </w:r>
      <w:r>
        <w:rPr>
          <w:spacing w:val="-5"/>
        </w:rPr>
        <w:t>lo </w:t>
      </w:r>
      <w:r>
        <w:rPr/>
        <w:t>tanto </w:t>
      </w:r>
      <w:r>
        <w:rPr>
          <w:spacing w:val="-5"/>
        </w:rPr>
        <w:t>la </w:t>
      </w:r>
      <w:r>
        <w:rPr/>
        <w:t>variación de </w:t>
      </w:r>
      <w:r>
        <w:rPr>
          <w:spacing w:val="-3"/>
        </w:rPr>
        <w:t>la </w:t>
      </w:r>
      <w:r>
        <w:rPr/>
        <w:t>intensidad parasitaria en </w:t>
      </w:r>
      <w:r>
        <w:rPr>
          <w:i/>
        </w:rPr>
        <w:t>Girardinichthys multiradiatus </w:t>
      </w:r>
      <w:r>
        <w:rPr/>
        <w:t>dependerá de </w:t>
      </w:r>
      <w:r>
        <w:rPr>
          <w:spacing w:val="-5"/>
        </w:rPr>
        <w:t>la </w:t>
      </w:r>
      <w:r>
        <w:rPr/>
        <w:t>talla y peso de los</w:t>
      </w:r>
      <w:r>
        <w:rPr>
          <w:spacing w:val="-9"/>
        </w:rPr>
        <w:t> </w:t>
      </w:r>
      <w:r>
        <w:rPr/>
        <w:t>organismos.</w:t>
      </w:r>
    </w:p>
    <w:p>
      <w:pPr>
        <w:pStyle w:val="ListParagraph"/>
        <w:numPr>
          <w:ilvl w:val="2"/>
          <w:numId w:val="4"/>
        </w:numPr>
        <w:tabs>
          <w:tab w:pos="859" w:val="left" w:leader="none"/>
        </w:tabs>
        <w:spacing w:line="470" w:lineRule="auto" w:before="12" w:after="0"/>
        <w:ind w:left="873" w:right="127" w:hanging="360"/>
        <w:jc w:val="both"/>
        <w:rPr>
          <w:sz w:val="24"/>
        </w:rPr>
      </w:pPr>
      <w:r>
        <w:rPr>
          <w:sz w:val="24"/>
        </w:rPr>
        <w:t>Los individuos que presentan una </w:t>
      </w:r>
      <w:r>
        <w:rPr>
          <w:spacing w:val="-3"/>
          <w:sz w:val="24"/>
        </w:rPr>
        <w:t>mayor </w:t>
      </w:r>
      <w:r>
        <w:rPr>
          <w:sz w:val="24"/>
        </w:rPr>
        <w:t>carga parasitaria </w:t>
      </w:r>
      <w:r>
        <w:rPr>
          <w:spacing w:val="-4"/>
          <w:sz w:val="24"/>
        </w:rPr>
        <w:t>y/o </w:t>
      </w:r>
      <w:r>
        <w:rPr>
          <w:sz w:val="24"/>
        </w:rPr>
        <w:t>intensidad parasitaria son los que presentarán tallas y pesos mayores comparados con los peces con menor carga parasitaria </w:t>
      </w:r>
      <w:r>
        <w:rPr>
          <w:spacing w:val="-4"/>
          <w:sz w:val="24"/>
        </w:rPr>
        <w:t>y/o </w:t>
      </w:r>
      <w:r>
        <w:rPr>
          <w:sz w:val="24"/>
        </w:rPr>
        <w:t>intensidad</w:t>
      </w:r>
      <w:r>
        <w:rPr>
          <w:spacing w:val="1"/>
          <w:sz w:val="24"/>
        </w:rPr>
        <w:t> </w:t>
      </w:r>
      <w:r>
        <w:rPr>
          <w:sz w:val="24"/>
        </w:rPr>
        <w:t>parasitaria.</w:t>
      </w:r>
    </w:p>
    <w:p>
      <w:pPr>
        <w:pStyle w:val="ListParagraph"/>
        <w:numPr>
          <w:ilvl w:val="2"/>
          <w:numId w:val="4"/>
        </w:numPr>
        <w:tabs>
          <w:tab w:pos="859" w:val="left" w:leader="none"/>
        </w:tabs>
        <w:spacing w:line="465" w:lineRule="auto" w:before="23" w:after="0"/>
        <w:ind w:left="873" w:right="136" w:hanging="360"/>
        <w:jc w:val="both"/>
        <w:rPr>
          <w:sz w:val="24"/>
        </w:rPr>
      </w:pPr>
      <w:r>
        <w:rPr>
          <w:sz w:val="24"/>
        </w:rPr>
        <w:t>Existe una relación positiva entre el tamaño de aletas de los machos y </w:t>
      </w:r>
      <w:r>
        <w:rPr>
          <w:spacing w:val="-3"/>
          <w:sz w:val="24"/>
        </w:rPr>
        <w:t>la </w:t>
      </w:r>
      <w:r>
        <w:rPr>
          <w:sz w:val="24"/>
        </w:rPr>
        <w:t>carga parasitaria.</w:t>
      </w:r>
    </w:p>
    <w:p>
      <w:pPr>
        <w:pStyle w:val="ListParagraph"/>
        <w:numPr>
          <w:ilvl w:val="2"/>
          <w:numId w:val="4"/>
        </w:numPr>
        <w:tabs>
          <w:tab w:pos="859" w:val="left" w:leader="none"/>
        </w:tabs>
        <w:spacing w:line="465" w:lineRule="auto" w:before="28" w:after="0"/>
        <w:ind w:left="873" w:right="135" w:hanging="360"/>
        <w:jc w:val="both"/>
        <w:rPr>
          <w:sz w:val="24"/>
        </w:rPr>
      </w:pPr>
      <w:r>
        <w:rPr>
          <w:sz w:val="24"/>
        </w:rPr>
        <w:t>Existe una relación positiva entre </w:t>
      </w:r>
      <w:r>
        <w:rPr>
          <w:spacing w:val="-3"/>
          <w:sz w:val="24"/>
        </w:rPr>
        <w:t>la </w:t>
      </w:r>
      <w:r>
        <w:rPr>
          <w:sz w:val="24"/>
        </w:rPr>
        <w:t>profundidad corporal de los peces y </w:t>
      </w:r>
      <w:r>
        <w:rPr>
          <w:spacing w:val="-3"/>
          <w:sz w:val="24"/>
        </w:rPr>
        <w:t>la </w:t>
      </w:r>
      <w:r>
        <w:rPr>
          <w:sz w:val="24"/>
        </w:rPr>
        <w:t>carga parasitaria y/o intensidad</w:t>
      </w:r>
      <w:r>
        <w:rPr>
          <w:spacing w:val="-20"/>
          <w:sz w:val="24"/>
        </w:rPr>
        <w:t> </w:t>
      </w:r>
      <w:r>
        <w:rPr>
          <w:sz w:val="24"/>
        </w:rPr>
        <w:t>parasitaria.</w:t>
      </w:r>
    </w:p>
    <w:p>
      <w:pPr>
        <w:pStyle w:val="BodyText"/>
        <w:spacing w:line="480" w:lineRule="auto" w:before="26"/>
        <w:ind w:left="152" w:right="119"/>
        <w:jc w:val="both"/>
      </w:pPr>
      <w:r>
        <w:rPr/>
        <w:t>Ho= No hay relación entre la intensidad parasitaria y la talla, peso, longitud de las aletas y profundidad.</w:t>
      </w:r>
    </w:p>
    <w:p>
      <w:pPr>
        <w:spacing w:after="0" w:line="480" w:lineRule="auto"/>
        <w:jc w:val="both"/>
        <w:sectPr>
          <w:pgSz w:w="12240" w:h="15840"/>
          <w:pgMar w:header="0" w:footer="1304" w:top="1500" w:bottom="1560" w:left="1720" w:right="1400"/>
        </w:sectPr>
      </w:pPr>
    </w:p>
    <w:p>
      <w:pPr>
        <w:pStyle w:val="BodyText"/>
        <w:spacing w:before="1"/>
        <w:rPr>
          <w:sz w:val="21"/>
        </w:rPr>
      </w:pPr>
    </w:p>
    <w:p>
      <w:pPr>
        <w:pStyle w:val="Heading1"/>
      </w:pPr>
      <w:bookmarkStart w:name="_TOC_250006" w:id="7"/>
      <w:bookmarkEnd w:id="7"/>
      <w:r>
        <w:rPr/>
        <w:t>OBJETIVO GENERAL</w:t>
      </w:r>
    </w:p>
    <w:p>
      <w:pPr>
        <w:pStyle w:val="BodyText"/>
        <w:rPr>
          <w:b/>
        </w:rPr>
      </w:pPr>
    </w:p>
    <w:p>
      <w:pPr>
        <w:pStyle w:val="BodyText"/>
        <w:rPr>
          <w:b/>
        </w:rPr>
      </w:pPr>
    </w:p>
    <w:p>
      <w:pPr>
        <w:pStyle w:val="BodyText"/>
        <w:spacing w:before="7"/>
        <w:rPr>
          <w:b/>
          <w:sz w:val="23"/>
        </w:rPr>
      </w:pPr>
    </w:p>
    <w:p>
      <w:pPr>
        <w:pStyle w:val="BodyText"/>
        <w:spacing w:line="480" w:lineRule="auto"/>
        <w:ind w:left="152" w:right="104"/>
        <w:jc w:val="both"/>
      </w:pPr>
      <w:r>
        <w:rPr/>
        <w:t>Determinar si existe un efecto de la carga parasitaria en algunos parámetros morfométricos de </w:t>
      </w:r>
      <w:r>
        <w:rPr>
          <w:i/>
        </w:rPr>
        <w:t>Girardinichthys multiradiatus </w:t>
      </w:r>
      <w:r>
        <w:rPr/>
        <w:t>y analizar si la intensidad parasitaria varía de acuerdo a la talla de los organismos.</w:t>
      </w:r>
    </w:p>
    <w:p>
      <w:pPr>
        <w:pStyle w:val="BodyText"/>
      </w:pPr>
    </w:p>
    <w:p>
      <w:pPr>
        <w:pStyle w:val="BodyText"/>
        <w:spacing w:before="3"/>
        <w:rPr>
          <w:sz w:val="25"/>
        </w:rPr>
      </w:pPr>
    </w:p>
    <w:p>
      <w:pPr>
        <w:pStyle w:val="Heading1"/>
        <w:spacing w:before="0"/>
      </w:pPr>
      <w:bookmarkStart w:name="_TOC_250005" w:id="8"/>
      <w:bookmarkEnd w:id="8"/>
      <w:r>
        <w:rPr/>
        <w:t>OBJETIVOS PARTICULARES</w:t>
      </w:r>
    </w:p>
    <w:p>
      <w:pPr>
        <w:pStyle w:val="BodyText"/>
        <w:rPr>
          <w:b/>
        </w:rPr>
      </w:pPr>
    </w:p>
    <w:p>
      <w:pPr>
        <w:pStyle w:val="BodyText"/>
        <w:rPr>
          <w:b/>
        </w:rPr>
      </w:pPr>
    </w:p>
    <w:p>
      <w:pPr>
        <w:pStyle w:val="BodyText"/>
        <w:spacing w:before="7"/>
        <w:rPr>
          <w:b/>
          <w:sz w:val="23"/>
        </w:rPr>
      </w:pPr>
    </w:p>
    <w:p>
      <w:pPr>
        <w:pStyle w:val="ListParagraph"/>
        <w:numPr>
          <w:ilvl w:val="0"/>
          <w:numId w:val="5"/>
        </w:numPr>
        <w:tabs>
          <w:tab w:pos="859" w:val="left" w:leader="none"/>
        </w:tabs>
        <w:spacing w:line="480" w:lineRule="auto" w:before="0" w:after="0"/>
        <w:ind w:left="873" w:right="105" w:hanging="360"/>
        <w:jc w:val="both"/>
        <w:rPr>
          <w:i/>
          <w:sz w:val="24"/>
        </w:rPr>
      </w:pPr>
      <w:r>
        <w:rPr>
          <w:sz w:val="24"/>
        </w:rPr>
        <w:t>Determinar si existe una relación entre el tamaño de </w:t>
      </w:r>
      <w:r>
        <w:rPr>
          <w:spacing w:val="-4"/>
          <w:sz w:val="24"/>
        </w:rPr>
        <w:t>las </w:t>
      </w:r>
      <w:r>
        <w:rPr>
          <w:sz w:val="24"/>
        </w:rPr>
        <w:t>aletas impares, y </w:t>
      </w:r>
      <w:r>
        <w:rPr>
          <w:spacing w:val="-3"/>
          <w:sz w:val="24"/>
        </w:rPr>
        <w:t>la </w:t>
      </w:r>
      <w:r>
        <w:rPr>
          <w:sz w:val="24"/>
        </w:rPr>
        <w:t>carga parasitaria en </w:t>
      </w:r>
      <w:r>
        <w:rPr>
          <w:i/>
          <w:sz w:val="24"/>
        </w:rPr>
        <w:t>Girardinichthys</w:t>
      </w:r>
      <w:r>
        <w:rPr>
          <w:i/>
          <w:spacing w:val="-15"/>
          <w:sz w:val="24"/>
        </w:rPr>
        <w:t> </w:t>
      </w:r>
      <w:r>
        <w:rPr>
          <w:i/>
          <w:sz w:val="24"/>
        </w:rPr>
        <w:t>multiradiatus.</w:t>
      </w:r>
    </w:p>
    <w:p>
      <w:pPr>
        <w:pStyle w:val="ListParagraph"/>
        <w:numPr>
          <w:ilvl w:val="0"/>
          <w:numId w:val="5"/>
        </w:numPr>
        <w:tabs>
          <w:tab w:pos="859" w:val="left" w:leader="none"/>
        </w:tabs>
        <w:spacing w:line="480" w:lineRule="auto" w:before="10" w:after="0"/>
        <w:ind w:left="873" w:right="112" w:hanging="360"/>
        <w:jc w:val="both"/>
        <w:rPr>
          <w:sz w:val="24"/>
        </w:rPr>
      </w:pPr>
      <w:r>
        <w:rPr>
          <w:sz w:val="24"/>
        </w:rPr>
        <w:t>Determinar si existe una relación entre </w:t>
      </w:r>
      <w:r>
        <w:rPr>
          <w:spacing w:val="-3"/>
          <w:sz w:val="24"/>
        </w:rPr>
        <w:t>la </w:t>
      </w:r>
      <w:r>
        <w:rPr>
          <w:sz w:val="24"/>
        </w:rPr>
        <w:t>longitud total, </w:t>
      </w:r>
      <w:r>
        <w:rPr>
          <w:spacing w:val="-5"/>
          <w:sz w:val="24"/>
        </w:rPr>
        <w:t>la </w:t>
      </w:r>
      <w:r>
        <w:rPr>
          <w:sz w:val="24"/>
        </w:rPr>
        <w:t>profundidad del cuerpo del pez y </w:t>
      </w:r>
      <w:r>
        <w:rPr>
          <w:spacing w:val="-3"/>
          <w:sz w:val="24"/>
        </w:rPr>
        <w:t>la </w:t>
      </w:r>
      <w:r>
        <w:rPr>
          <w:sz w:val="24"/>
        </w:rPr>
        <w:t>carga</w:t>
      </w:r>
      <w:r>
        <w:rPr>
          <w:spacing w:val="-7"/>
          <w:sz w:val="24"/>
        </w:rPr>
        <w:t> </w:t>
      </w:r>
      <w:r>
        <w:rPr>
          <w:sz w:val="24"/>
        </w:rPr>
        <w:t>parasitaria.</w:t>
      </w:r>
    </w:p>
    <w:p>
      <w:pPr>
        <w:pStyle w:val="ListParagraph"/>
        <w:numPr>
          <w:ilvl w:val="0"/>
          <w:numId w:val="5"/>
        </w:numPr>
        <w:tabs>
          <w:tab w:pos="859" w:val="left" w:leader="none"/>
        </w:tabs>
        <w:spacing w:line="480" w:lineRule="auto" w:before="10" w:after="0"/>
        <w:ind w:left="873" w:right="100" w:hanging="360"/>
        <w:jc w:val="both"/>
        <w:rPr>
          <w:sz w:val="24"/>
        </w:rPr>
      </w:pPr>
      <w:r>
        <w:rPr>
          <w:sz w:val="24"/>
        </w:rPr>
        <w:t>Determinar si existe una relación entre el peso - talla y </w:t>
      </w:r>
      <w:r>
        <w:rPr>
          <w:spacing w:val="-3"/>
          <w:sz w:val="24"/>
        </w:rPr>
        <w:t>la </w:t>
      </w:r>
      <w:r>
        <w:rPr>
          <w:sz w:val="24"/>
        </w:rPr>
        <w:t>carga parasitaria </w:t>
      </w:r>
      <w:r>
        <w:rPr>
          <w:spacing w:val="4"/>
          <w:sz w:val="24"/>
        </w:rPr>
        <w:t>del </w:t>
      </w:r>
      <w:r>
        <w:rPr>
          <w:sz w:val="24"/>
        </w:rPr>
        <w:t>hospedero.</w:t>
      </w:r>
    </w:p>
    <w:p>
      <w:pPr>
        <w:pStyle w:val="ListParagraph"/>
        <w:numPr>
          <w:ilvl w:val="0"/>
          <w:numId w:val="5"/>
        </w:numPr>
        <w:tabs>
          <w:tab w:pos="859" w:val="left" w:leader="none"/>
        </w:tabs>
        <w:spacing w:line="480" w:lineRule="auto" w:before="10" w:after="0"/>
        <w:ind w:left="873" w:right="105" w:hanging="360"/>
        <w:jc w:val="both"/>
        <w:rPr>
          <w:sz w:val="24"/>
        </w:rPr>
      </w:pPr>
      <w:r>
        <w:rPr>
          <w:sz w:val="24"/>
        </w:rPr>
        <w:t>Determinar si existen diferencias en </w:t>
      </w:r>
      <w:r>
        <w:rPr>
          <w:spacing w:val="-5"/>
          <w:sz w:val="24"/>
        </w:rPr>
        <w:t>la </w:t>
      </w:r>
      <w:r>
        <w:rPr>
          <w:sz w:val="24"/>
        </w:rPr>
        <w:t>intensidad parasitaria de </w:t>
      </w:r>
      <w:r>
        <w:rPr>
          <w:spacing w:val="-3"/>
          <w:sz w:val="24"/>
        </w:rPr>
        <w:t>la </w:t>
      </w:r>
      <w:r>
        <w:rPr>
          <w:sz w:val="24"/>
        </w:rPr>
        <w:t>tres especies más abundantes (</w:t>
      </w:r>
      <w:r>
        <w:rPr>
          <w:i/>
          <w:sz w:val="24"/>
        </w:rPr>
        <w:t>Tylodelphys </w:t>
      </w:r>
      <w:r>
        <w:rPr>
          <w:sz w:val="24"/>
        </w:rPr>
        <w:t>sp</w:t>
      </w:r>
      <w:r>
        <w:rPr>
          <w:i/>
          <w:sz w:val="24"/>
        </w:rPr>
        <w:t>., Bothriocephalus acheilognathi </w:t>
      </w:r>
      <w:r>
        <w:rPr>
          <w:sz w:val="24"/>
        </w:rPr>
        <w:t>y </w:t>
      </w:r>
      <w:r>
        <w:rPr>
          <w:i/>
          <w:sz w:val="24"/>
        </w:rPr>
        <w:t>Valipora </w:t>
      </w:r>
      <w:r>
        <w:rPr>
          <w:i/>
          <w:sz w:val="24"/>
        </w:rPr>
        <w:t>campylancristrota)</w:t>
      </w:r>
      <w:r>
        <w:rPr>
          <w:i/>
          <w:spacing w:val="-3"/>
          <w:sz w:val="24"/>
        </w:rPr>
        <w:t> </w:t>
      </w:r>
      <w:r>
        <w:rPr>
          <w:sz w:val="24"/>
        </w:rPr>
        <w:t>entre:</w:t>
      </w:r>
    </w:p>
    <w:p>
      <w:pPr>
        <w:pStyle w:val="ListParagraph"/>
        <w:numPr>
          <w:ilvl w:val="1"/>
          <w:numId w:val="5"/>
        </w:numPr>
        <w:tabs>
          <w:tab w:pos="1569" w:val="left" w:leader="none"/>
          <w:tab w:pos="1570" w:val="left" w:leader="none"/>
        </w:tabs>
        <w:spacing w:line="240" w:lineRule="auto" w:before="13" w:after="0"/>
        <w:ind w:left="1569" w:right="0" w:hanging="336"/>
        <w:jc w:val="left"/>
        <w:rPr>
          <w:sz w:val="24"/>
        </w:rPr>
      </w:pPr>
      <w:r>
        <w:rPr>
          <w:sz w:val="24"/>
        </w:rPr>
        <w:t>localidades</w:t>
      </w:r>
    </w:p>
    <w:p>
      <w:pPr>
        <w:pStyle w:val="BodyText"/>
        <w:spacing w:before="7"/>
        <w:rPr>
          <w:sz w:val="23"/>
        </w:rPr>
      </w:pPr>
    </w:p>
    <w:p>
      <w:pPr>
        <w:pStyle w:val="ListParagraph"/>
        <w:numPr>
          <w:ilvl w:val="1"/>
          <w:numId w:val="5"/>
        </w:numPr>
        <w:tabs>
          <w:tab w:pos="1569" w:val="left" w:leader="none"/>
          <w:tab w:pos="1570" w:val="left" w:leader="none"/>
        </w:tabs>
        <w:spacing w:line="240" w:lineRule="auto" w:before="1" w:after="0"/>
        <w:ind w:left="1569" w:right="0" w:hanging="336"/>
        <w:jc w:val="left"/>
        <w:rPr>
          <w:sz w:val="24"/>
        </w:rPr>
      </w:pPr>
      <w:r>
        <w:rPr>
          <w:sz w:val="24"/>
        </w:rPr>
        <w:t>intervalos de peso, longitud total, longitud patrón y</w:t>
      </w:r>
      <w:r>
        <w:rPr>
          <w:spacing w:val="-25"/>
          <w:sz w:val="24"/>
        </w:rPr>
        <w:t> </w:t>
      </w:r>
      <w:r>
        <w:rPr>
          <w:sz w:val="24"/>
        </w:rPr>
        <w:t>altura.</w:t>
      </w:r>
    </w:p>
    <w:p>
      <w:pPr>
        <w:pStyle w:val="BodyText"/>
        <w:spacing w:before="1"/>
      </w:pPr>
    </w:p>
    <w:p>
      <w:pPr>
        <w:pStyle w:val="ListParagraph"/>
        <w:numPr>
          <w:ilvl w:val="1"/>
          <w:numId w:val="5"/>
        </w:numPr>
        <w:tabs>
          <w:tab w:pos="1569" w:val="left" w:leader="none"/>
          <w:tab w:pos="1570" w:val="left" w:leader="none"/>
        </w:tabs>
        <w:spacing w:line="240" w:lineRule="auto" w:before="0" w:after="0"/>
        <w:ind w:left="1569" w:right="0" w:hanging="336"/>
        <w:jc w:val="left"/>
        <w:rPr>
          <w:i/>
          <w:sz w:val="24"/>
        </w:rPr>
      </w:pPr>
      <w:r>
        <w:rPr>
          <w:sz w:val="24"/>
        </w:rPr>
        <w:t>machos y hembras de </w:t>
      </w:r>
      <w:r>
        <w:rPr>
          <w:i/>
          <w:sz w:val="24"/>
        </w:rPr>
        <w:t>G.</w:t>
      </w:r>
      <w:r>
        <w:rPr>
          <w:i/>
          <w:spacing w:val="-7"/>
          <w:sz w:val="24"/>
        </w:rPr>
        <w:t> </w:t>
      </w:r>
      <w:r>
        <w:rPr>
          <w:i/>
          <w:sz w:val="24"/>
        </w:rPr>
        <w:t>multiradiatus</w:t>
      </w:r>
    </w:p>
    <w:p>
      <w:pPr>
        <w:pStyle w:val="BodyText"/>
        <w:spacing w:before="6"/>
        <w:rPr>
          <w:i/>
          <w:sz w:val="23"/>
        </w:rPr>
      </w:pPr>
    </w:p>
    <w:p>
      <w:pPr>
        <w:pStyle w:val="ListParagraph"/>
        <w:numPr>
          <w:ilvl w:val="0"/>
          <w:numId w:val="5"/>
        </w:numPr>
        <w:tabs>
          <w:tab w:pos="859" w:val="left" w:leader="none"/>
        </w:tabs>
        <w:spacing w:line="240" w:lineRule="auto" w:before="0" w:after="0"/>
        <w:ind w:left="858" w:right="0" w:hanging="345"/>
        <w:jc w:val="left"/>
        <w:rPr>
          <w:sz w:val="24"/>
        </w:rPr>
      </w:pPr>
      <w:r>
        <w:rPr>
          <w:sz w:val="24"/>
        </w:rPr>
        <w:t>Analizar si </w:t>
      </w:r>
      <w:r>
        <w:rPr>
          <w:spacing w:val="-3"/>
          <w:sz w:val="24"/>
        </w:rPr>
        <w:t>la </w:t>
      </w:r>
      <w:r>
        <w:rPr>
          <w:sz w:val="24"/>
        </w:rPr>
        <w:t>etapa reproductiva del pez es un factor importante para </w:t>
      </w:r>
      <w:r>
        <w:rPr>
          <w:spacing w:val="-5"/>
          <w:sz w:val="24"/>
        </w:rPr>
        <w:t>la</w:t>
      </w:r>
      <w:r>
        <w:rPr>
          <w:spacing w:val="-18"/>
          <w:sz w:val="24"/>
        </w:rPr>
        <w:t> </w:t>
      </w:r>
      <w:r>
        <w:rPr>
          <w:sz w:val="24"/>
        </w:rPr>
        <w:t>parasitosis.</w:t>
      </w:r>
    </w:p>
    <w:p>
      <w:pPr>
        <w:spacing w:after="0" w:line="240" w:lineRule="auto"/>
        <w:jc w:val="left"/>
        <w:rPr>
          <w:sz w:val="24"/>
        </w:rPr>
        <w:sectPr>
          <w:pgSz w:w="12240" w:h="15840"/>
          <w:pgMar w:header="0" w:footer="1304" w:top="1500" w:bottom="1560" w:left="1720" w:right="1420"/>
        </w:sectPr>
      </w:pPr>
    </w:p>
    <w:p>
      <w:pPr>
        <w:pStyle w:val="BodyText"/>
        <w:rPr>
          <w:sz w:val="20"/>
        </w:rPr>
      </w:pPr>
    </w:p>
    <w:p>
      <w:pPr>
        <w:pStyle w:val="BodyText"/>
        <w:rPr>
          <w:sz w:val="20"/>
        </w:rPr>
      </w:pPr>
    </w:p>
    <w:p>
      <w:pPr>
        <w:pStyle w:val="BodyText"/>
        <w:spacing w:before="9"/>
        <w:rPr>
          <w:sz w:val="22"/>
        </w:rPr>
      </w:pPr>
    </w:p>
    <w:p>
      <w:pPr>
        <w:pStyle w:val="Heading1"/>
        <w:ind w:right="152"/>
        <w:jc w:val="left"/>
      </w:pPr>
      <w:bookmarkStart w:name="_TOC_250004" w:id="9"/>
      <w:bookmarkEnd w:id="9"/>
      <w:r>
        <w:rPr/>
        <w:t>MATERIALES Y MÉTODOS</w:t>
      </w:r>
    </w:p>
    <w:p>
      <w:pPr>
        <w:pStyle w:val="BodyText"/>
        <w:rPr>
          <w:b/>
        </w:rPr>
      </w:pPr>
    </w:p>
    <w:p>
      <w:pPr>
        <w:spacing w:before="197"/>
        <w:ind w:left="152" w:right="152" w:firstLine="0"/>
        <w:jc w:val="left"/>
        <w:rPr>
          <w:i/>
          <w:sz w:val="24"/>
        </w:rPr>
      </w:pPr>
      <w:r>
        <w:rPr>
          <w:i/>
          <w:sz w:val="24"/>
          <w:u w:val="single"/>
        </w:rPr>
        <w:t>Captura de individuos</w:t>
      </w:r>
    </w:p>
    <w:p>
      <w:pPr>
        <w:pStyle w:val="BodyText"/>
        <w:rPr>
          <w:i/>
          <w:sz w:val="20"/>
        </w:rPr>
      </w:pPr>
    </w:p>
    <w:p>
      <w:pPr>
        <w:pStyle w:val="BodyText"/>
        <w:spacing w:before="9"/>
        <w:rPr>
          <w:i/>
          <w:sz w:val="21"/>
        </w:rPr>
      </w:pPr>
    </w:p>
    <w:p>
      <w:pPr>
        <w:pStyle w:val="BodyText"/>
        <w:spacing w:line="480" w:lineRule="auto" w:before="69"/>
        <w:ind w:left="152" w:right="279" w:firstLine="705"/>
        <w:jc w:val="both"/>
      </w:pPr>
      <w:r>
        <w:rPr/>
        <w:t>Se utilizaron registros de individuos de la especie </w:t>
      </w:r>
      <w:r>
        <w:rPr>
          <w:i/>
        </w:rPr>
        <w:t>Girardinichthys multiradiatus </w:t>
      </w:r>
      <w:r>
        <w:rPr/>
        <w:t>(N=1383) tanto machos (n=700) como hembras (n=683), previamente colectados mensualmente por Sánchez Nava, (2004) entre Junio de 1999 y Noviembre de 2001 en las poblaciones de La Laguna de Chicnahuapan en el Municipio de Almoloya del Río, Estado de México y del Embalse San Juanico en el municipio de Acambay, Estado de México. De estos organismos se conocía el peso, sexo, longitud patrón y anchura máxima así mismo se calculó la carga  y la intensidad parasitaria (2004), para el presente estudio.</w:t>
      </w:r>
    </w:p>
    <w:p>
      <w:pPr>
        <w:spacing w:before="212"/>
        <w:ind w:left="152" w:right="152" w:firstLine="0"/>
        <w:jc w:val="left"/>
        <w:rPr>
          <w:i/>
          <w:sz w:val="24"/>
        </w:rPr>
      </w:pPr>
      <w:r>
        <w:rPr>
          <w:i/>
          <w:sz w:val="24"/>
          <w:u w:val="single"/>
        </w:rPr>
        <w:t>Organización de datos</w:t>
      </w:r>
    </w:p>
    <w:p>
      <w:pPr>
        <w:pStyle w:val="BodyText"/>
        <w:rPr>
          <w:i/>
          <w:sz w:val="20"/>
        </w:rPr>
      </w:pPr>
    </w:p>
    <w:p>
      <w:pPr>
        <w:pStyle w:val="BodyText"/>
        <w:spacing w:before="9"/>
        <w:rPr>
          <w:i/>
          <w:sz w:val="21"/>
        </w:rPr>
      </w:pPr>
    </w:p>
    <w:p>
      <w:pPr>
        <w:pStyle w:val="BodyText"/>
        <w:spacing w:line="480" w:lineRule="auto" w:before="69"/>
        <w:ind w:left="152" w:right="152" w:firstLine="705"/>
      </w:pPr>
      <w:r>
        <w:rPr/>
        <w:t>Los datos se organizaron en bases de datos, que incluían los parámetros morfométricos de cada individuo (Figura 1) así como la localidad a la que pertenecían.</w:t>
      </w:r>
    </w:p>
    <w:p>
      <w:pPr>
        <w:pStyle w:val="BodyText"/>
        <w:spacing w:line="480" w:lineRule="auto" w:before="10"/>
        <w:ind w:left="152" w:right="278"/>
        <w:jc w:val="both"/>
      </w:pPr>
      <w:r>
        <w:rPr/>
        <w:t>Así mismo se asignaron códigos de identificación a las hembras de la localidad del Embalse San Juanico les dimos la categoría 1 (uno), y a los machos de esta población la categoría 2 (dos); las categorías para los organismos de la Localidad de Chicnahuapan fueron 3 (tres) y 4 (cuatro) respectivamente para hembras y machos.</w:t>
      </w:r>
    </w:p>
    <w:p>
      <w:pPr>
        <w:spacing w:before="212"/>
        <w:ind w:left="152" w:right="0" w:firstLine="0"/>
        <w:jc w:val="both"/>
        <w:rPr>
          <w:i/>
          <w:sz w:val="24"/>
        </w:rPr>
      </w:pPr>
      <w:r>
        <w:rPr>
          <w:i/>
          <w:sz w:val="24"/>
          <w:u w:val="single"/>
        </w:rPr>
        <w:t>Análisis estadísticos</w:t>
      </w:r>
    </w:p>
    <w:p>
      <w:pPr>
        <w:pStyle w:val="BodyText"/>
        <w:rPr>
          <w:i/>
          <w:sz w:val="20"/>
        </w:rPr>
      </w:pPr>
    </w:p>
    <w:p>
      <w:pPr>
        <w:pStyle w:val="BodyText"/>
        <w:spacing w:before="9"/>
        <w:rPr>
          <w:i/>
          <w:sz w:val="21"/>
        </w:rPr>
      </w:pPr>
    </w:p>
    <w:p>
      <w:pPr>
        <w:pStyle w:val="BodyText"/>
        <w:spacing w:line="480" w:lineRule="auto" w:before="69"/>
        <w:ind w:left="152" w:right="23"/>
      </w:pPr>
      <w:r>
        <w:rPr/>
        <w:t>Todos los datos fueron sometidos a pruebas de normalidad y las variables con distribuciones no  normales  fueron  transformadas  (LOG  ó  1/N).  Se  evaluó  la  posible  relación  entre  la</w:t>
      </w:r>
    </w:p>
    <w:p>
      <w:pPr>
        <w:spacing w:after="0" w:line="480" w:lineRule="auto"/>
        <w:sectPr>
          <w:pgSz w:w="12240" w:h="15840"/>
          <w:pgMar w:header="0" w:footer="1304" w:top="1500" w:bottom="1560" w:left="1720" w:right="1240"/>
        </w:sectPr>
      </w:pPr>
    </w:p>
    <w:p>
      <w:pPr>
        <w:pStyle w:val="BodyText"/>
        <w:spacing w:before="7"/>
        <w:rPr>
          <w:sz w:val="20"/>
        </w:rPr>
      </w:pPr>
    </w:p>
    <w:p>
      <w:pPr>
        <w:pStyle w:val="BodyText"/>
        <w:spacing w:line="480" w:lineRule="auto" w:before="69"/>
        <w:ind w:left="152" w:right="102"/>
        <w:jc w:val="both"/>
      </w:pPr>
      <w:r>
        <w:rPr/>
        <w:t>morfología ( incluyendo el peso ) y </w:t>
      </w:r>
      <w:r>
        <w:rPr>
          <w:spacing w:val="-5"/>
        </w:rPr>
        <w:t>la </w:t>
      </w:r>
      <w:r>
        <w:rPr/>
        <w:t>intensidad parasitaria (no. de parásitos de una especie por individuo; Margolis </w:t>
      </w:r>
      <w:r>
        <w:rPr>
          <w:i/>
        </w:rPr>
        <w:t>et al</w:t>
      </w:r>
      <w:r>
        <w:rPr/>
        <w:t>., 1982) de dos maneras : a nivel global, usando toda </w:t>
      </w:r>
      <w:r>
        <w:rPr>
          <w:spacing w:val="-5"/>
        </w:rPr>
        <w:t>la </w:t>
      </w:r>
      <w:r>
        <w:rPr/>
        <w:t>muestra de peces infectados exclusivamente con cada una de </w:t>
      </w:r>
      <w:r>
        <w:rPr>
          <w:spacing w:val="-4"/>
        </w:rPr>
        <w:t>las</w:t>
      </w:r>
      <w:r>
        <w:rPr>
          <w:spacing w:val="52"/>
        </w:rPr>
        <w:t> </w:t>
      </w:r>
      <w:r>
        <w:rPr/>
        <w:t>tres especies parásitas y posteriormente por separado para cada </w:t>
      </w:r>
      <w:r>
        <w:rPr>
          <w:spacing w:val="-3"/>
        </w:rPr>
        <w:t>sexo </w:t>
      </w:r>
      <w:r>
        <w:rPr/>
        <w:t>en cada localidad mediante un Análisis de Regresión entre </w:t>
      </w:r>
      <w:r>
        <w:rPr>
          <w:spacing w:val="-5"/>
        </w:rPr>
        <w:t>la </w:t>
      </w:r>
      <w:r>
        <w:rPr/>
        <w:t>intensidad parasitaria y las variables morfométricas. Primero se realizó un Análisis de Componentes Principales (PCA), con todos los datos morfométricos con el </w:t>
      </w:r>
      <w:r>
        <w:rPr>
          <w:spacing w:val="-3"/>
        </w:rPr>
        <w:t>fin </w:t>
      </w:r>
      <w:r>
        <w:rPr/>
        <w:t>de reducir el número de variables a analizar; una vez obtenidos los componentes principales realizamos un Análisis de Covarianza factorial (ANCOVA) para evaluar </w:t>
      </w:r>
      <w:r>
        <w:rPr>
          <w:spacing w:val="-5"/>
        </w:rPr>
        <w:t>la </w:t>
      </w:r>
      <w:r>
        <w:rPr/>
        <w:t>posible influencia del sexo de </w:t>
      </w:r>
      <w:r>
        <w:rPr>
          <w:i/>
        </w:rPr>
        <w:t>G. multiradiatus </w:t>
      </w:r>
      <w:r>
        <w:rPr/>
        <w:t>y de </w:t>
      </w:r>
      <w:r>
        <w:rPr>
          <w:spacing w:val="-3"/>
        </w:rPr>
        <w:t>la </w:t>
      </w:r>
      <w:r>
        <w:rPr/>
        <w:t>localidad (FACTORES) en </w:t>
      </w:r>
      <w:r>
        <w:rPr>
          <w:spacing w:val="-3"/>
        </w:rPr>
        <w:t>la </w:t>
      </w:r>
      <w:r>
        <w:rPr/>
        <w:t>intensidad parasitaria de cada una de </w:t>
      </w:r>
      <w:r>
        <w:rPr>
          <w:spacing w:val="-3"/>
        </w:rPr>
        <w:t>las </w:t>
      </w:r>
      <w:r>
        <w:rPr/>
        <w:t>especies parásitas (metacercarias de </w:t>
      </w:r>
      <w:r>
        <w:rPr>
          <w:i/>
        </w:rPr>
        <w:t>Tylodelphys </w:t>
      </w:r>
      <w:r>
        <w:rPr/>
        <w:t>sp., </w:t>
      </w:r>
      <w:r>
        <w:rPr>
          <w:spacing w:val="-5"/>
        </w:rPr>
        <w:t>la </w:t>
      </w:r>
      <w:r>
        <w:rPr/>
        <w:t>intensidad de </w:t>
      </w:r>
      <w:r>
        <w:rPr>
          <w:i/>
        </w:rPr>
        <w:t>B. </w:t>
      </w:r>
      <w:r>
        <w:rPr>
          <w:i/>
        </w:rPr>
        <w:t>acheiloghnathi </w:t>
      </w:r>
      <w:r>
        <w:rPr/>
        <w:t>y </w:t>
      </w:r>
      <w:r>
        <w:rPr>
          <w:i/>
        </w:rPr>
        <w:t>Valipora campylancristrota) </w:t>
      </w:r>
      <w:r>
        <w:rPr/>
        <w:t>(VARIABLE INDEPENDIENTE), incluyendo cada uno de los tres componentes principales (PC1, PC2 Y PC3) </w:t>
      </w:r>
      <w:r>
        <w:rPr>
          <w:spacing w:val="-3"/>
        </w:rPr>
        <w:t>como </w:t>
      </w:r>
      <w:r>
        <w:rPr/>
        <w:t>COVARIABLES y después realizamos un análisis de regresión por separado de intensidad parasitaria en cada uno de los tres componentes principales para cada sexo en cada localidad. Todos los datos fueron procesados utilizando Statgraphics Plus ™ 5.1 para Windows y NCSS ™ v7.1.21. Los datos ( valores </w:t>
      </w:r>
      <w:r>
        <w:rPr>
          <w:spacing w:val="-3"/>
        </w:rPr>
        <w:t>no </w:t>
      </w:r>
      <w:r>
        <w:rPr/>
        <w:t>transformados ) se expresan como x ± SE si </w:t>
      </w:r>
      <w:r>
        <w:rPr>
          <w:spacing w:val="-3"/>
        </w:rPr>
        <w:t>no </w:t>
      </w:r>
      <w:r>
        <w:rPr/>
        <w:t>se </w:t>
      </w:r>
      <w:r>
        <w:rPr>
          <w:spacing w:val="-2"/>
        </w:rPr>
        <w:t>indica </w:t>
      </w:r>
      <w:r>
        <w:rPr>
          <w:spacing w:val="-5"/>
        </w:rPr>
        <w:t>lo </w:t>
      </w:r>
      <w:r>
        <w:rPr/>
        <w:t>contrario y solo los organismos que presentaban éstos parásitos fueron los únicos que se tomaron en cuenta para los</w:t>
      </w:r>
      <w:r>
        <w:rPr>
          <w:spacing w:val="-13"/>
        </w:rPr>
        <w:t> </w:t>
      </w:r>
      <w:r>
        <w:rPr/>
        <w:t>análisis.</w:t>
      </w:r>
    </w:p>
    <w:p>
      <w:pPr>
        <w:spacing w:after="0" w:line="480" w:lineRule="auto"/>
        <w:jc w:val="both"/>
        <w:sectPr>
          <w:pgSz w:w="12240" w:h="15840"/>
          <w:pgMar w:header="0" w:footer="1304" w:top="1500" w:bottom="1560" w:left="1720" w:right="1240"/>
        </w:sectPr>
      </w:pPr>
    </w:p>
    <w:p>
      <w:pPr>
        <w:pStyle w:val="BodyText"/>
        <w:spacing w:before="3"/>
        <w:rPr>
          <w:sz w:val="27"/>
        </w:rPr>
      </w:pPr>
    </w:p>
    <w:p>
      <w:pPr>
        <w:pStyle w:val="BodyText"/>
        <w:ind w:left="1256"/>
        <w:rPr>
          <w:sz w:val="20"/>
        </w:rPr>
      </w:pPr>
      <w:r>
        <w:rPr>
          <w:sz w:val="20"/>
        </w:rPr>
        <w:drawing>
          <wp:inline distT="0" distB="0" distL="0" distR="0">
            <wp:extent cx="4227796" cy="2612898"/>
            <wp:effectExtent l="0" t="0" r="0" b="0"/>
            <wp:docPr id="5" name="image2.jpeg" descr=""/>
            <wp:cNvGraphicFramePr>
              <a:graphicFrameLocks noChangeAspect="1"/>
            </wp:cNvGraphicFramePr>
            <a:graphic>
              <a:graphicData uri="http://schemas.openxmlformats.org/drawingml/2006/picture">
                <pic:pic>
                  <pic:nvPicPr>
                    <pic:cNvPr id="6" name="image2.jpeg"/>
                    <pic:cNvPicPr/>
                  </pic:nvPicPr>
                  <pic:blipFill>
                    <a:blip r:embed="rId7" cstate="print"/>
                    <a:stretch>
                      <a:fillRect/>
                    </a:stretch>
                  </pic:blipFill>
                  <pic:spPr>
                    <a:xfrm>
                      <a:off x="0" y="0"/>
                      <a:ext cx="4227796" cy="2612898"/>
                    </a:xfrm>
                    <a:prstGeom prst="rect">
                      <a:avLst/>
                    </a:prstGeom>
                  </pic:spPr>
                </pic:pic>
              </a:graphicData>
            </a:graphic>
          </wp:inline>
        </w:drawing>
      </w:r>
      <w:r>
        <w:rPr>
          <w:sz w:val="20"/>
        </w:rPr>
      </w:r>
    </w:p>
    <w:p>
      <w:pPr>
        <w:pStyle w:val="BodyText"/>
        <w:rPr>
          <w:sz w:val="20"/>
        </w:rPr>
      </w:pPr>
    </w:p>
    <w:p>
      <w:pPr>
        <w:pStyle w:val="BodyText"/>
        <w:spacing w:before="9"/>
        <w:rPr>
          <w:sz w:val="19"/>
        </w:rPr>
      </w:pPr>
    </w:p>
    <w:p>
      <w:pPr>
        <w:spacing w:before="0"/>
        <w:ind w:left="479" w:right="1304" w:firstLine="0"/>
        <w:jc w:val="both"/>
        <w:rPr>
          <w:b/>
          <w:sz w:val="20"/>
        </w:rPr>
      </w:pPr>
      <w:r>
        <w:rPr>
          <w:b/>
          <w:sz w:val="20"/>
        </w:rPr>
        <w:t>Fig. 1 Parámetros morfométricos de </w:t>
      </w:r>
      <w:r>
        <w:rPr>
          <w:b/>
          <w:i/>
          <w:sz w:val="20"/>
        </w:rPr>
        <w:t>G. multiradiatus</w:t>
      </w:r>
      <w:r>
        <w:rPr>
          <w:b/>
          <w:sz w:val="20"/>
        </w:rPr>
        <w:t>. (a) anatomía del macho, donde la profundidad del cuerpo es un correlato de tamaño de las aletas impares, que son mayores y mas coloridas en los machos y constituyen un blanco de la elección femenina de pareja (e.g. Macías-García et al. 2012), (b) anatomía de la hembra.</w:t>
      </w:r>
    </w:p>
    <w:p>
      <w:pPr>
        <w:spacing w:after="0"/>
        <w:jc w:val="both"/>
        <w:rPr>
          <w:sz w:val="20"/>
        </w:rPr>
        <w:sectPr>
          <w:pgSz w:w="12240" w:h="15840"/>
          <w:pgMar w:header="0" w:footer="1304" w:top="1500" w:bottom="1560" w:left="1720" w:right="1420"/>
        </w:sectPr>
      </w:pPr>
    </w:p>
    <w:p>
      <w:pPr>
        <w:pStyle w:val="BodyText"/>
        <w:rPr>
          <w:b/>
          <w:sz w:val="20"/>
        </w:rPr>
      </w:pPr>
    </w:p>
    <w:p>
      <w:pPr>
        <w:pStyle w:val="BodyText"/>
        <w:rPr>
          <w:b/>
          <w:sz w:val="20"/>
        </w:rPr>
      </w:pPr>
    </w:p>
    <w:p>
      <w:pPr>
        <w:pStyle w:val="BodyText"/>
        <w:spacing w:before="9"/>
        <w:rPr>
          <w:b/>
          <w:sz w:val="22"/>
        </w:rPr>
      </w:pPr>
    </w:p>
    <w:p>
      <w:pPr>
        <w:pStyle w:val="Heading1"/>
      </w:pPr>
      <w:bookmarkStart w:name="_TOC_250003" w:id="10"/>
      <w:bookmarkEnd w:id="10"/>
      <w:r>
        <w:rPr/>
        <w:t>RESULTADOS</w:t>
      </w:r>
    </w:p>
    <w:p>
      <w:pPr>
        <w:pStyle w:val="BodyText"/>
        <w:rPr>
          <w:b/>
        </w:rPr>
      </w:pPr>
    </w:p>
    <w:p>
      <w:pPr>
        <w:pStyle w:val="BodyText"/>
        <w:rPr>
          <w:b/>
        </w:rPr>
      </w:pPr>
    </w:p>
    <w:p>
      <w:pPr>
        <w:pStyle w:val="BodyText"/>
        <w:spacing w:before="7"/>
        <w:rPr>
          <w:b/>
          <w:sz w:val="23"/>
        </w:rPr>
      </w:pPr>
    </w:p>
    <w:p>
      <w:pPr>
        <w:pStyle w:val="BodyText"/>
        <w:spacing w:line="480" w:lineRule="auto"/>
        <w:ind w:left="152" w:right="101"/>
        <w:jc w:val="both"/>
      </w:pPr>
      <w:r>
        <w:rPr/>
        <w:t>De los 1383 registros que conformaban la matriz original un total de 673 peces no albergan ningún parásito, mientras que 159 fueron parasitados simultáneamente por más de una especie: los peces en estas dos categorías fueron excluidos de los análisis, tomamos en cuenta sólo a los organismos que presentaba alguna de las tres especies parasitas más importantes   (551)   de   los   cuales   389   peces   fueron   infectados   exclusivamente  por</w:t>
      </w:r>
    </w:p>
    <w:p>
      <w:pPr>
        <w:pStyle w:val="BodyText"/>
        <w:spacing w:line="306" w:lineRule="exact"/>
        <w:ind w:left="152"/>
        <w:jc w:val="both"/>
      </w:pPr>
      <w:r>
        <w:rPr/>
        <w:t>metacercarias  de  </w:t>
      </w:r>
      <w:r>
        <w:rPr>
          <w:i/>
        </w:rPr>
        <w:t>Tylodelphys  </w:t>
      </w:r>
      <w:r>
        <w:rPr/>
        <w:t>sp.</w:t>
      </w:r>
      <w:r>
        <w:rPr>
          <w:i/>
        </w:rPr>
        <w:t>,  </w:t>
      </w:r>
      <w:r>
        <w:rPr/>
        <w:t>(Chicnahuapan,  n=157</w:t>
      </w:r>
      <w:r>
        <w:rPr>
          <w:rFonts w:ascii="MS Mincho" w:hAnsi="MS Mincho"/>
        </w:rPr>
        <w:t>♀♀ </w:t>
      </w:r>
      <w:r>
        <w:rPr/>
        <w:t>y 155</w:t>
      </w:r>
      <w:r>
        <w:rPr>
          <w:rFonts w:ascii="MS Mincho" w:hAnsi="MS Mincho"/>
        </w:rPr>
        <w:t>♂♂</w:t>
      </w:r>
      <w:r>
        <w:rPr/>
        <w:t>; San  Juanico,</w:t>
      </w:r>
    </w:p>
    <w:p>
      <w:pPr>
        <w:pStyle w:val="BodyText"/>
        <w:spacing w:before="4"/>
        <w:rPr>
          <w:sz w:val="25"/>
        </w:rPr>
      </w:pPr>
    </w:p>
    <w:p>
      <w:pPr>
        <w:spacing w:before="0"/>
        <w:ind w:left="152" w:right="0" w:firstLine="0"/>
        <w:jc w:val="both"/>
        <w:rPr>
          <w:rFonts w:ascii="MS Mincho" w:hAnsi="MS Mincho"/>
          <w:sz w:val="24"/>
        </w:rPr>
      </w:pPr>
      <w:r>
        <w:rPr>
          <w:sz w:val="24"/>
        </w:rPr>
        <w:t>n=31</w:t>
      </w:r>
      <w:r>
        <w:rPr>
          <w:rFonts w:ascii="MS Mincho" w:hAnsi="MS Mincho"/>
          <w:sz w:val="24"/>
        </w:rPr>
        <w:t>♀♀</w:t>
      </w:r>
      <w:r>
        <w:rPr>
          <w:rFonts w:ascii="MS Mincho" w:hAnsi="MS Mincho"/>
          <w:spacing w:val="-56"/>
          <w:sz w:val="24"/>
        </w:rPr>
        <w:t> </w:t>
      </w:r>
      <w:r>
        <w:rPr>
          <w:sz w:val="24"/>
        </w:rPr>
        <w:t>y 46</w:t>
      </w:r>
      <w:r>
        <w:rPr>
          <w:rFonts w:ascii="MS Mincho" w:hAnsi="MS Mincho"/>
          <w:sz w:val="24"/>
        </w:rPr>
        <w:t>♂♂</w:t>
      </w:r>
      <w:r>
        <w:rPr>
          <w:sz w:val="24"/>
        </w:rPr>
        <w:t>), 89 registros para </w:t>
      </w:r>
      <w:r>
        <w:rPr>
          <w:i/>
          <w:sz w:val="24"/>
        </w:rPr>
        <w:t>B. acheiloghnathi </w:t>
      </w:r>
      <w:r>
        <w:rPr>
          <w:sz w:val="24"/>
        </w:rPr>
        <w:t>(Chicnahuapan, n=30</w:t>
      </w:r>
      <w:r>
        <w:rPr>
          <w:rFonts w:ascii="MS Mincho" w:hAnsi="MS Mincho"/>
          <w:sz w:val="24"/>
        </w:rPr>
        <w:t>♀♀</w:t>
      </w:r>
      <w:r>
        <w:rPr>
          <w:rFonts w:ascii="MS Mincho" w:hAnsi="MS Mincho"/>
          <w:spacing w:val="-56"/>
          <w:sz w:val="24"/>
        </w:rPr>
        <w:t> </w:t>
      </w:r>
      <w:r>
        <w:rPr>
          <w:sz w:val="24"/>
        </w:rPr>
        <w:t>y 19</w:t>
      </w:r>
      <w:r>
        <w:rPr>
          <w:rFonts w:ascii="MS Mincho" w:hAnsi="MS Mincho"/>
          <w:sz w:val="24"/>
        </w:rPr>
        <w:t>♂</w:t>
      </w:r>
    </w:p>
    <w:p>
      <w:pPr>
        <w:pStyle w:val="BodyText"/>
        <w:spacing w:before="12"/>
        <w:rPr>
          <w:rFonts w:ascii="MS Mincho"/>
          <w:sz w:val="21"/>
        </w:rPr>
      </w:pPr>
    </w:p>
    <w:p>
      <w:pPr>
        <w:spacing w:before="0"/>
        <w:ind w:left="152" w:right="0" w:firstLine="0"/>
        <w:jc w:val="both"/>
        <w:rPr>
          <w:i/>
          <w:sz w:val="24"/>
        </w:rPr>
      </w:pPr>
      <w:r>
        <w:rPr>
          <w:rFonts w:ascii="MS Mincho" w:hAnsi="MS Mincho"/>
          <w:sz w:val="24"/>
        </w:rPr>
        <w:t>♂ </w:t>
      </w:r>
      <w:r>
        <w:rPr>
          <w:sz w:val="24"/>
        </w:rPr>
        <w:t>;  San  Juanico,  n=18 </w:t>
      </w:r>
      <w:r>
        <w:rPr>
          <w:rFonts w:ascii="MS Mincho" w:hAnsi="MS Mincho"/>
          <w:sz w:val="24"/>
        </w:rPr>
        <w:t>♀♀ </w:t>
      </w:r>
      <w:r>
        <w:rPr>
          <w:sz w:val="24"/>
        </w:rPr>
        <w:t>y  22 </w:t>
      </w:r>
      <w:r>
        <w:rPr>
          <w:rFonts w:ascii="MS Mincho" w:hAnsi="MS Mincho"/>
          <w:sz w:val="24"/>
        </w:rPr>
        <w:t>♂♂ </w:t>
      </w:r>
      <w:r>
        <w:rPr>
          <w:sz w:val="24"/>
        </w:rPr>
        <w:t>),  y  73  registros  para  </w:t>
      </w:r>
      <w:r>
        <w:rPr>
          <w:i/>
          <w:sz w:val="24"/>
        </w:rPr>
        <w:t>V. Campylancristrota</w:t>
      </w:r>
    </w:p>
    <w:p>
      <w:pPr>
        <w:pStyle w:val="BodyText"/>
        <w:spacing w:before="4"/>
        <w:rPr>
          <w:i/>
          <w:sz w:val="25"/>
        </w:rPr>
      </w:pPr>
    </w:p>
    <w:p>
      <w:pPr>
        <w:pStyle w:val="BodyText"/>
        <w:ind w:left="152"/>
        <w:jc w:val="both"/>
      </w:pPr>
      <w:r>
        <w:rPr/>
        <w:t>(Chicnahuapan, n=5</w:t>
      </w:r>
      <w:r>
        <w:rPr>
          <w:rFonts w:ascii="MS Mincho" w:hAnsi="MS Mincho"/>
        </w:rPr>
        <w:t>♀♀</w:t>
      </w:r>
      <w:r>
        <w:rPr>
          <w:rFonts w:ascii="MS Mincho" w:hAnsi="MS Mincho"/>
          <w:spacing w:val="-56"/>
        </w:rPr>
        <w:t> </w:t>
      </w:r>
      <w:r>
        <w:rPr/>
        <w:t>y 6</w:t>
      </w:r>
      <w:r>
        <w:rPr>
          <w:rFonts w:ascii="MS Mincho" w:hAnsi="MS Mincho"/>
        </w:rPr>
        <w:t>♂♂</w:t>
      </w:r>
      <w:r>
        <w:rPr/>
        <w:t>; San Juanico, n=29</w:t>
      </w:r>
      <w:r>
        <w:rPr>
          <w:rFonts w:ascii="MS Mincho" w:hAnsi="MS Mincho"/>
        </w:rPr>
        <w:t>♀♀</w:t>
      </w:r>
      <w:r>
        <w:rPr>
          <w:rFonts w:ascii="MS Mincho" w:hAnsi="MS Mincho"/>
          <w:spacing w:val="-56"/>
        </w:rPr>
        <w:t> </w:t>
      </w:r>
      <w:r>
        <w:rPr/>
        <w:t>y 33</w:t>
      </w:r>
      <w:r>
        <w:rPr>
          <w:rFonts w:ascii="MS Mincho" w:hAnsi="MS Mincho"/>
        </w:rPr>
        <w:t>♂♂</w:t>
      </w:r>
      <w:r>
        <w:rPr/>
        <w:t>) (Ver Tabla 1).</w:t>
      </w:r>
    </w:p>
    <w:p>
      <w:pPr>
        <w:pStyle w:val="BodyText"/>
        <w:spacing w:before="6"/>
        <w:rPr>
          <w:sz w:val="28"/>
        </w:rPr>
      </w:pPr>
    </w:p>
    <w:p>
      <w:pPr>
        <w:pStyle w:val="BodyText"/>
        <w:spacing w:line="480" w:lineRule="auto" w:before="1"/>
        <w:ind w:left="152" w:right="101"/>
        <w:jc w:val="both"/>
      </w:pPr>
      <w:r>
        <w:rPr/>
        <w:t>A partir del Análisis de Componentes Principales (ACP) obtuvimos tres componentes ortogonales, los dos primeros componentes explican el 73.55% de </w:t>
      </w:r>
      <w:r>
        <w:rPr>
          <w:spacing w:val="-5"/>
        </w:rPr>
        <w:t>la </w:t>
      </w:r>
      <w:r>
        <w:rPr/>
        <w:t>varianza; </w:t>
      </w:r>
      <w:r>
        <w:rPr>
          <w:spacing w:val="4"/>
        </w:rPr>
        <w:t>el </w:t>
      </w:r>
      <w:r>
        <w:rPr/>
        <w:t>Componente Principal 1 (CP1; 42.8% de </w:t>
      </w:r>
      <w:r>
        <w:rPr>
          <w:spacing w:val="-5"/>
        </w:rPr>
        <w:t>la </w:t>
      </w:r>
      <w:r>
        <w:rPr/>
        <w:t>varianza), se puede </w:t>
      </w:r>
      <w:r>
        <w:rPr>
          <w:spacing w:val="-3"/>
        </w:rPr>
        <w:t>describir </w:t>
      </w:r>
      <w:r>
        <w:rPr/>
        <w:t>como una medida de </w:t>
      </w:r>
      <w:r>
        <w:rPr>
          <w:spacing w:val="-5"/>
        </w:rPr>
        <w:t>la </w:t>
      </w:r>
      <w:r>
        <w:rPr/>
        <w:t>talla. </w:t>
      </w:r>
      <w:r>
        <w:rPr>
          <w:spacing w:val="3"/>
        </w:rPr>
        <w:t>El </w:t>
      </w:r>
      <w:r>
        <w:rPr/>
        <w:t>Componente Principal 2 (CP2; 30.75%) </w:t>
      </w:r>
      <w:r>
        <w:rPr>
          <w:spacing w:val="-3"/>
        </w:rPr>
        <w:t>fue </w:t>
      </w:r>
      <w:r>
        <w:rPr/>
        <w:t>influenciado principalmente por </w:t>
      </w:r>
      <w:r>
        <w:rPr>
          <w:spacing w:val="-3"/>
        </w:rPr>
        <w:t>la </w:t>
      </w:r>
      <w:r>
        <w:rPr/>
        <w:t>profundidad de los peces, y el Componente Principal 3 (CP3; 26.2%), confiere un alto eigenvalor para </w:t>
      </w:r>
      <w:r>
        <w:rPr>
          <w:spacing w:val="-5"/>
        </w:rPr>
        <w:t>la </w:t>
      </w:r>
      <w:r>
        <w:rPr/>
        <w:t>variable peso (Anexo</w:t>
      </w:r>
      <w:r>
        <w:rPr>
          <w:spacing w:val="4"/>
        </w:rPr>
        <w:t> </w:t>
      </w:r>
      <w:r>
        <w:rPr/>
        <w:t>2).</w:t>
      </w:r>
    </w:p>
    <w:p>
      <w:pPr>
        <w:spacing w:after="0" w:line="480" w:lineRule="auto"/>
        <w:jc w:val="both"/>
        <w:sectPr>
          <w:pgSz w:w="12240" w:h="15840"/>
          <w:pgMar w:header="0" w:footer="1304" w:top="1500" w:bottom="1560" w:left="1720" w:right="1420"/>
        </w:sectPr>
      </w:pPr>
    </w:p>
    <w:p>
      <w:pPr>
        <w:pStyle w:val="BodyText"/>
        <w:spacing w:before="7"/>
        <w:rPr>
          <w:sz w:val="20"/>
        </w:rPr>
      </w:pPr>
    </w:p>
    <w:p>
      <w:pPr>
        <w:pStyle w:val="BodyText"/>
        <w:spacing w:line="480" w:lineRule="auto" w:before="69" w:after="18"/>
        <w:ind w:left="212"/>
      </w:pPr>
      <w:r>
        <w:rPr/>
        <w:t>Tabla 1. Intensidad media de las tres especies más abundantes de parásitos para las dos poblaciones de </w:t>
      </w:r>
      <w:r>
        <w:rPr>
          <w:i/>
        </w:rPr>
        <w:t>G. multiradiatus</w:t>
      </w:r>
      <w:r>
        <w:rPr/>
        <w:t>.</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7"/>
        <w:gridCol w:w="1416"/>
        <w:gridCol w:w="2082"/>
        <w:gridCol w:w="1056"/>
        <w:gridCol w:w="1096"/>
        <w:gridCol w:w="1376"/>
      </w:tblGrid>
      <w:tr>
        <w:trPr>
          <w:trHeight w:val="1229" w:hRule="exact"/>
        </w:trPr>
        <w:tc>
          <w:tcPr>
            <w:tcW w:w="1977" w:type="dxa"/>
            <w:tcBorders>
              <w:left w:val="nil"/>
              <w:right w:val="nil"/>
            </w:tcBorders>
          </w:tcPr>
          <w:p>
            <w:pPr>
              <w:pStyle w:val="TableParagraph"/>
              <w:rPr>
                <w:sz w:val="20"/>
              </w:rPr>
            </w:pPr>
          </w:p>
          <w:p>
            <w:pPr>
              <w:pStyle w:val="TableParagraph"/>
              <w:spacing w:before="8"/>
              <w:rPr>
                <w:sz w:val="19"/>
              </w:rPr>
            </w:pPr>
          </w:p>
          <w:p>
            <w:pPr>
              <w:pStyle w:val="TableParagraph"/>
              <w:ind w:left="586" w:right="412"/>
              <w:rPr>
                <w:b/>
                <w:sz w:val="20"/>
              </w:rPr>
            </w:pPr>
            <w:r>
              <w:rPr>
                <w:b/>
                <w:sz w:val="20"/>
              </w:rPr>
              <w:t>Helminto</w:t>
            </w:r>
          </w:p>
        </w:tc>
        <w:tc>
          <w:tcPr>
            <w:tcW w:w="1416" w:type="dxa"/>
            <w:tcBorders>
              <w:left w:val="nil"/>
              <w:right w:val="nil"/>
            </w:tcBorders>
          </w:tcPr>
          <w:p>
            <w:pPr>
              <w:pStyle w:val="TableParagraph"/>
              <w:rPr>
                <w:sz w:val="20"/>
              </w:rPr>
            </w:pPr>
          </w:p>
          <w:p>
            <w:pPr>
              <w:pStyle w:val="TableParagraph"/>
              <w:spacing w:before="8"/>
              <w:rPr>
                <w:sz w:val="19"/>
              </w:rPr>
            </w:pPr>
          </w:p>
          <w:p>
            <w:pPr>
              <w:pStyle w:val="TableParagraph"/>
              <w:ind w:right="233"/>
              <w:jc w:val="right"/>
              <w:rPr>
                <w:b/>
                <w:sz w:val="20"/>
              </w:rPr>
            </w:pPr>
            <w:r>
              <w:rPr>
                <w:b/>
                <w:sz w:val="20"/>
              </w:rPr>
              <w:t>Hospedero</w:t>
            </w:r>
          </w:p>
        </w:tc>
        <w:tc>
          <w:tcPr>
            <w:tcW w:w="2082" w:type="dxa"/>
            <w:tcBorders>
              <w:left w:val="nil"/>
              <w:right w:val="nil"/>
            </w:tcBorders>
          </w:tcPr>
          <w:p>
            <w:pPr>
              <w:pStyle w:val="TableParagraph"/>
              <w:rPr>
                <w:sz w:val="20"/>
              </w:rPr>
            </w:pPr>
          </w:p>
          <w:p>
            <w:pPr>
              <w:pStyle w:val="TableParagraph"/>
              <w:spacing w:before="8"/>
              <w:rPr>
                <w:sz w:val="19"/>
              </w:rPr>
            </w:pPr>
          </w:p>
          <w:p>
            <w:pPr>
              <w:pStyle w:val="TableParagraph"/>
              <w:ind w:left="616"/>
              <w:rPr>
                <w:b/>
                <w:sz w:val="20"/>
              </w:rPr>
            </w:pPr>
            <w:r>
              <w:rPr>
                <w:b/>
                <w:sz w:val="20"/>
              </w:rPr>
              <w:t>Localidad</w:t>
            </w:r>
          </w:p>
        </w:tc>
        <w:tc>
          <w:tcPr>
            <w:tcW w:w="1056" w:type="dxa"/>
            <w:tcBorders>
              <w:left w:val="nil"/>
              <w:right w:val="nil"/>
            </w:tcBorders>
            <w:textDirection w:val="btLr"/>
          </w:tcPr>
          <w:p>
            <w:pPr>
              <w:pStyle w:val="TableParagraph"/>
              <w:spacing w:line="247" w:lineRule="auto" w:before="94"/>
              <w:ind w:left="119" w:right="116" w:hanging="4"/>
              <w:jc w:val="center"/>
              <w:rPr>
                <w:b/>
                <w:sz w:val="20"/>
              </w:rPr>
            </w:pPr>
            <w:r>
              <w:rPr>
                <w:b/>
                <w:spacing w:val="-2"/>
                <w:w w:val="100"/>
                <w:sz w:val="20"/>
              </w:rPr>
              <w:t>N</w:t>
            </w:r>
            <w:r>
              <w:rPr>
                <w:b/>
                <w:w w:val="100"/>
                <w:sz w:val="20"/>
              </w:rPr>
              <w:t>o.</w:t>
            </w:r>
            <w:r>
              <w:rPr>
                <w:b/>
                <w:spacing w:val="4"/>
                <w:sz w:val="20"/>
              </w:rPr>
              <w:t> </w:t>
            </w:r>
            <w:r>
              <w:rPr>
                <w:b/>
                <w:spacing w:val="-7"/>
                <w:w w:val="100"/>
                <w:sz w:val="20"/>
              </w:rPr>
              <w:t>d</w:t>
            </w:r>
            <w:r>
              <w:rPr>
                <w:b/>
                <w:w w:val="100"/>
                <w:sz w:val="20"/>
              </w:rPr>
              <w:t>e o</w:t>
            </w:r>
            <w:r>
              <w:rPr>
                <w:b/>
                <w:spacing w:val="1"/>
                <w:w w:val="100"/>
                <w:sz w:val="20"/>
              </w:rPr>
              <w:t>r</w:t>
            </w:r>
            <w:r>
              <w:rPr>
                <w:b/>
                <w:w w:val="100"/>
                <w:sz w:val="20"/>
              </w:rPr>
              <w:t>ga</w:t>
            </w:r>
            <w:r>
              <w:rPr>
                <w:b/>
                <w:spacing w:val="-2"/>
                <w:w w:val="100"/>
                <w:sz w:val="20"/>
              </w:rPr>
              <w:t>n</w:t>
            </w:r>
            <w:r>
              <w:rPr>
                <w:b/>
                <w:spacing w:val="1"/>
                <w:w w:val="100"/>
                <w:sz w:val="20"/>
              </w:rPr>
              <w:t>i</w:t>
            </w:r>
            <w:r>
              <w:rPr>
                <w:b/>
                <w:spacing w:val="-2"/>
                <w:w w:val="100"/>
                <w:sz w:val="20"/>
              </w:rPr>
              <w:t>s</w:t>
            </w:r>
            <w:r>
              <w:rPr>
                <w:b/>
                <w:spacing w:val="-5"/>
                <w:w w:val="100"/>
                <w:sz w:val="20"/>
              </w:rPr>
              <w:t>m</w:t>
            </w:r>
            <w:r>
              <w:rPr>
                <w:b/>
                <w:w w:val="100"/>
                <w:sz w:val="20"/>
              </w:rPr>
              <w:t>os </w:t>
            </w:r>
            <w:r>
              <w:rPr>
                <w:b/>
                <w:spacing w:val="1"/>
                <w:w w:val="100"/>
                <w:sz w:val="20"/>
              </w:rPr>
              <w:t>e</w:t>
            </w:r>
            <w:r>
              <w:rPr>
                <w:b/>
                <w:w w:val="100"/>
                <w:sz w:val="20"/>
              </w:rPr>
              <w:t>xa</w:t>
            </w:r>
            <w:r>
              <w:rPr>
                <w:b/>
                <w:spacing w:val="-5"/>
                <w:w w:val="100"/>
                <w:sz w:val="20"/>
              </w:rPr>
              <w:t>m</w:t>
            </w:r>
            <w:r>
              <w:rPr>
                <w:b/>
                <w:spacing w:val="1"/>
                <w:w w:val="100"/>
                <w:sz w:val="20"/>
              </w:rPr>
              <w:t>i</w:t>
            </w:r>
            <w:r>
              <w:rPr>
                <w:b/>
                <w:spacing w:val="-2"/>
                <w:w w:val="100"/>
                <w:sz w:val="20"/>
              </w:rPr>
              <w:t>n</w:t>
            </w:r>
            <w:r>
              <w:rPr>
                <w:b/>
                <w:w w:val="100"/>
                <w:sz w:val="20"/>
              </w:rPr>
              <w:t>a</w:t>
            </w:r>
            <w:r>
              <w:rPr>
                <w:b/>
                <w:spacing w:val="-2"/>
                <w:w w:val="100"/>
                <w:sz w:val="20"/>
              </w:rPr>
              <w:t>d</w:t>
            </w:r>
            <w:r>
              <w:rPr>
                <w:b/>
                <w:w w:val="100"/>
                <w:sz w:val="20"/>
              </w:rPr>
              <w:t>o </w:t>
            </w:r>
            <w:r>
              <w:rPr>
                <w:b/>
                <w:w w:val="100"/>
                <w:sz w:val="20"/>
              </w:rPr>
              <w:t>s</w:t>
            </w:r>
          </w:p>
        </w:tc>
        <w:tc>
          <w:tcPr>
            <w:tcW w:w="1096" w:type="dxa"/>
            <w:tcBorders>
              <w:left w:val="nil"/>
              <w:right w:val="nil"/>
            </w:tcBorders>
            <w:textDirection w:val="btLr"/>
          </w:tcPr>
          <w:p>
            <w:pPr>
              <w:pStyle w:val="TableParagraph"/>
              <w:spacing w:line="244" w:lineRule="auto"/>
              <w:ind w:left="115" w:right="96" w:firstLine="220"/>
              <w:rPr>
                <w:b/>
                <w:sz w:val="20"/>
              </w:rPr>
            </w:pPr>
            <w:r>
              <w:rPr>
                <w:b/>
                <w:spacing w:val="-2"/>
                <w:w w:val="100"/>
                <w:sz w:val="20"/>
              </w:rPr>
              <w:t>N</w:t>
            </w:r>
            <w:r>
              <w:rPr>
                <w:b/>
                <w:w w:val="100"/>
                <w:sz w:val="20"/>
              </w:rPr>
              <w:t>o.</w:t>
            </w:r>
            <w:r>
              <w:rPr>
                <w:b/>
                <w:spacing w:val="4"/>
                <w:sz w:val="20"/>
              </w:rPr>
              <w:t> </w:t>
            </w:r>
            <w:r>
              <w:rPr>
                <w:b/>
                <w:spacing w:val="-7"/>
                <w:w w:val="100"/>
                <w:sz w:val="20"/>
              </w:rPr>
              <w:t>d</w:t>
            </w:r>
            <w:r>
              <w:rPr>
                <w:b/>
                <w:w w:val="100"/>
                <w:sz w:val="20"/>
              </w:rPr>
              <w:t>e o</w:t>
            </w:r>
            <w:r>
              <w:rPr>
                <w:b/>
                <w:spacing w:val="1"/>
                <w:w w:val="100"/>
                <w:sz w:val="20"/>
              </w:rPr>
              <w:t>r</w:t>
            </w:r>
            <w:r>
              <w:rPr>
                <w:b/>
                <w:w w:val="100"/>
                <w:sz w:val="20"/>
              </w:rPr>
              <w:t>ga</w:t>
            </w:r>
            <w:r>
              <w:rPr>
                <w:b/>
                <w:spacing w:val="-2"/>
                <w:w w:val="100"/>
                <w:sz w:val="20"/>
              </w:rPr>
              <w:t>n</w:t>
            </w:r>
            <w:r>
              <w:rPr>
                <w:b/>
                <w:spacing w:val="1"/>
                <w:w w:val="100"/>
                <w:sz w:val="20"/>
              </w:rPr>
              <w:t>i</w:t>
            </w:r>
            <w:r>
              <w:rPr>
                <w:b/>
                <w:spacing w:val="-2"/>
                <w:w w:val="100"/>
                <w:sz w:val="20"/>
              </w:rPr>
              <w:t>s</w:t>
            </w:r>
            <w:r>
              <w:rPr>
                <w:b/>
                <w:spacing w:val="-5"/>
                <w:w w:val="100"/>
                <w:sz w:val="20"/>
              </w:rPr>
              <w:t>m</w:t>
            </w:r>
            <w:r>
              <w:rPr>
                <w:b/>
                <w:w w:val="100"/>
                <w:sz w:val="20"/>
              </w:rPr>
              <w:t>os </w:t>
            </w:r>
            <w:r>
              <w:rPr>
                <w:b/>
                <w:spacing w:val="-2"/>
                <w:w w:val="100"/>
                <w:sz w:val="20"/>
              </w:rPr>
              <w:t>p</w:t>
            </w:r>
            <w:r>
              <w:rPr>
                <w:b/>
                <w:w w:val="100"/>
                <w:sz w:val="20"/>
              </w:rPr>
              <w:t>a</w:t>
            </w:r>
            <w:r>
              <w:rPr>
                <w:b/>
                <w:spacing w:val="1"/>
                <w:w w:val="100"/>
                <w:sz w:val="20"/>
              </w:rPr>
              <w:t>r</w:t>
            </w:r>
            <w:r>
              <w:rPr>
                <w:b/>
                <w:w w:val="100"/>
                <w:sz w:val="20"/>
              </w:rPr>
              <w:t>a</w:t>
            </w:r>
            <w:r>
              <w:rPr>
                <w:b/>
                <w:spacing w:val="-2"/>
                <w:w w:val="100"/>
                <w:sz w:val="20"/>
              </w:rPr>
              <w:t>s</w:t>
            </w:r>
            <w:r>
              <w:rPr>
                <w:b/>
                <w:spacing w:val="1"/>
                <w:w w:val="100"/>
                <w:sz w:val="20"/>
              </w:rPr>
              <w:t>i</w:t>
            </w:r>
            <w:r>
              <w:rPr>
                <w:b/>
                <w:w w:val="100"/>
                <w:sz w:val="20"/>
              </w:rPr>
              <w:t>ta</w:t>
            </w:r>
            <w:r>
              <w:rPr>
                <w:b/>
                <w:spacing w:val="-2"/>
                <w:w w:val="100"/>
                <w:sz w:val="20"/>
              </w:rPr>
              <w:t>d</w:t>
            </w:r>
            <w:r>
              <w:rPr>
                <w:b/>
                <w:w w:val="100"/>
                <w:sz w:val="20"/>
              </w:rPr>
              <w:t>os</w:t>
            </w:r>
          </w:p>
        </w:tc>
        <w:tc>
          <w:tcPr>
            <w:tcW w:w="1376" w:type="dxa"/>
            <w:tcBorders>
              <w:left w:val="nil"/>
              <w:right w:val="nil"/>
            </w:tcBorders>
          </w:tcPr>
          <w:p>
            <w:pPr>
              <w:pStyle w:val="TableParagraph"/>
              <w:spacing w:before="7"/>
              <w:rPr>
                <w:sz w:val="19"/>
              </w:rPr>
            </w:pPr>
          </w:p>
          <w:p>
            <w:pPr>
              <w:pStyle w:val="TableParagraph"/>
              <w:ind w:left="343" w:right="116"/>
              <w:jc w:val="center"/>
              <w:rPr>
                <w:b/>
                <w:sz w:val="20"/>
              </w:rPr>
            </w:pPr>
            <w:r>
              <w:rPr>
                <w:b/>
                <w:sz w:val="20"/>
              </w:rPr>
              <w:t>Intensidad media</w:t>
            </w:r>
          </w:p>
          <w:p>
            <w:pPr>
              <w:pStyle w:val="TableParagraph"/>
              <w:ind w:left="339" w:right="116"/>
              <w:jc w:val="center"/>
              <w:rPr>
                <w:b/>
                <w:sz w:val="20"/>
              </w:rPr>
            </w:pPr>
            <w:r>
              <w:rPr>
                <w:b/>
                <w:sz w:val="20"/>
              </w:rPr>
              <w:t>( </w:t>
            </w:r>
            <w:r>
              <w:rPr>
                <w:b/>
                <w:sz w:val="20"/>
                <w:u w:val="single"/>
              </w:rPr>
              <w:t>+ </w:t>
            </w:r>
            <w:r>
              <w:rPr>
                <w:b/>
                <w:sz w:val="20"/>
              </w:rPr>
              <w:t>SE)</w:t>
            </w:r>
          </w:p>
        </w:tc>
      </w:tr>
      <w:tr>
        <w:trPr>
          <w:trHeight w:val="2426" w:hRule="exact"/>
        </w:trPr>
        <w:tc>
          <w:tcPr>
            <w:tcW w:w="1977" w:type="dxa"/>
            <w:tcBorders>
              <w:left w:val="nil"/>
              <w:bottom w:val="nil"/>
              <w:right w:val="nil"/>
            </w:tcBorders>
          </w:tcPr>
          <w:p>
            <w:pPr>
              <w:pStyle w:val="TableParagraph"/>
              <w:spacing w:line="482" w:lineRule="auto"/>
              <w:ind w:left="110" w:right="104"/>
              <w:jc w:val="both"/>
              <w:rPr>
                <w:sz w:val="18"/>
              </w:rPr>
            </w:pPr>
            <w:r>
              <w:rPr>
                <w:sz w:val="18"/>
              </w:rPr>
              <w:t>Larva de Tremátodo Familia: Diplostomidae (Poirier, 1886)</w:t>
            </w:r>
          </w:p>
          <w:p>
            <w:pPr>
              <w:pStyle w:val="TableParagraph"/>
              <w:rPr>
                <w:sz w:val="18"/>
              </w:rPr>
            </w:pPr>
          </w:p>
          <w:p>
            <w:pPr>
              <w:pStyle w:val="TableParagraph"/>
              <w:spacing w:before="3"/>
              <w:rPr>
                <w:sz w:val="18"/>
              </w:rPr>
            </w:pPr>
          </w:p>
          <w:p>
            <w:pPr>
              <w:pStyle w:val="TableParagraph"/>
              <w:spacing w:before="1"/>
              <w:ind w:left="110"/>
              <w:jc w:val="both"/>
              <w:rPr>
                <w:sz w:val="18"/>
              </w:rPr>
            </w:pPr>
            <w:r>
              <w:rPr>
                <w:i/>
                <w:sz w:val="18"/>
              </w:rPr>
              <w:t>Tylodelphys </w:t>
            </w:r>
            <w:r>
              <w:rPr>
                <w:sz w:val="18"/>
              </w:rPr>
              <w:t>sp.</w:t>
            </w:r>
          </w:p>
        </w:tc>
        <w:tc>
          <w:tcPr>
            <w:tcW w:w="1416" w:type="dxa"/>
            <w:tcBorders>
              <w:left w:val="nil"/>
              <w:bottom w:val="nil"/>
              <w:right w:val="nil"/>
            </w:tcBorders>
          </w:tcPr>
          <w:p>
            <w:pPr>
              <w:pStyle w:val="TableParagraph"/>
              <w:spacing w:line="203" w:lineRule="exact"/>
              <w:ind w:right="157"/>
              <w:jc w:val="right"/>
              <w:rPr>
                <w:i/>
                <w:sz w:val="18"/>
              </w:rPr>
            </w:pPr>
            <w:r>
              <w:rPr>
                <w:i/>
                <w:sz w:val="18"/>
              </w:rPr>
              <w:t>G.multiradiatus</w:t>
            </w:r>
          </w:p>
        </w:tc>
        <w:tc>
          <w:tcPr>
            <w:tcW w:w="2082" w:type="dxa"/>
            <w:tcBorders>
              <w:left w:val="nil"/>
              <w:bottom w:val="nil"/>
              <w:right w:val="nil"/>
            </w:tcBorders>
          </w:tcPr>
          <w:p>
            <w:pPr>
              <w:pStyle w:val="TableParagraph"/>
              <w:ind w:left="126" w:right="119"/>
              <w:jc w:val="both"/>
              <w:rPr>
                <w:sz w:val="20"/>
              </w:rPr>
            </w:pPr>
            <w:r>
              <w:rPr>
                <w:sz w:val="20"/>
              </w:rPr>
              <w:t>Laguna Chicnahuapan (Almoloya del Río, Edo. Méx.)</w:t>
            </w:r>
          </w:p>
          <w:p>
            <w:pPr>
              <w:pStyle w:val="TableParagraph"/>
              <w:rPr>
                <w:sz w:val="20"/>
              </w:rPr>
            </w:pPr>
          </w:p>
          <w:p>
            <w:pPr>
              <w:pStyle w:val="TableParagraph"/>
              <w:rPr>
                <w:sz w:val="20"/>
              </w:rPr>
            </w:pPr>
          </w:p>
          <w:p>
            <w:pPr>
              <w:pStyle w:val="TableParagraph"/>
              <w:rPr>
                <w:sz w:val="20"/>
              </w:rPr>
            </w:pPr>
          </w:p>
          <w:p>
            <w:pPr>
              <w:pStyle w:val="TableParagraph"/>
              <w:spacing w:before="4"/>
              <w:rPr>
                <w:sz w:val="20"/>
              </w:rPr>
            </w:pPr>
          </w:p>
          <w:p>
            <w:pPr>
              <w:pStyle w:val="TableParagraph"/>
              <w:tabs>
                <w:tab w:pos="1584" w:val="left" w:leader="none"/>
              </w:tabs>
              <w:spacing w:line="237" w:lineRule="auto"/>
              <w:ind w:left="126" w:right="118"/>
              <w:jc w:val="both"/>
              <w:rPr>
                <w:sz w:val="20"/>
              </w:rPr>
            </w:pPr>
            <w:r>
              <w:rPr>
                <w:sz w:val="20"/>
              </w:rPr>
              <w:t>Embalse San Juanico (Acambay,</w:t>
              <w:tab/>
              <w:t>Edo. Méx.)</w:t>
            </w:r>
          </w:p>
        </w:tc>
        <w:tc>
          <w:tcPr>
            <w:tcW w:w="1056" w:type="dxa"/>
            <w:tcBorders>
              <w:left w:val="nil"/>
              <w:bottom w:val="nil"/>
              <w:right w:val="nil"/>
            </w:tcBorders>
          </w:tcPr>
          <w:p>
            <w:pPr>
              <w:pStyle w:val="TableParagraph"/>
              <w:spacing w:line="221" w:lineRule="exact"/>
              <w:ind w:left="314"/>
              <w:rPr>
                <w:sz w:val="20"/>
              </w:rPr>
            </w:pPr>
            <w:r>
              <w:rPr>
                <w:sz w:val="20"/>
              </w:rPr>
              <w:t>708</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20"/>
              </w:rPr>
            </w:pPr>
          </w:p>
          <w:p>
            <w:pPr>
              <w:pStyle w:val="TableParagraph"/>
              <w:spacing w:before="1"/>
              <w:ind w:left="314"/>
              <w:rPr>
                <w:sz w:val="20"/>
              </w:rPr>
            </w:pPr>
            <w:r>
              <w:rPr>
                <w:sz w:val="20"/>
              </w:rPr>
              <w:t>675</w:t>
            </w:r>
          </w:p>
        </w:tc>
        <w:tc>
          <w:tcPr>
            <w:tcW w:w="1096" w:type="dxa"/>
            <w:tcBorders>
              <w:left w:val="nil"/>
              <w:bottom w:val="nil"/>
              <w:right w:val="nil"/>
            </w:tcBorders>
          </w:tcPr>
          <w:p>
            <w:pPr>
              <w:pStyle w:val="TableParagraph"/>
              <w:spacing w:line="221" w:lineRule="exact"/>
              <w:ind w:left="441" w:right="315"/>
              <w:jc w:val="center"/>
              <w:rPr>
                <w:sz w:val="20"/>
              </w:rPr>
            </w:pPr>
            <w:r>
              <w:rPr>
                <w:sz w:val="20"/>
              </w:rPr>
              <w:t>312</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20"/>
              </w:rPr>
            </w:pPr>
          </w:p>
          <w:p>
            <w:pPr>
              <w:pStyle w:val="TableParagraph"/>
              <w:spacing w:before="1"/>
              <w:ind w:left="436" w:right="315"/>
              <w:jc w:val="center"/>
              <w:rPr>
                <w:sz w:val="20"/>
              </w:rPr>
            </w:pPr>
            <w:r>
              <w:rPr>
                <w:sz w:val="20"/>
              </w:rPr>
              <w:t>77</w:t>
            </w:r>
          </w:p>
        </w:tc>
        <w:tc>
          <w:tcPr>
            <w:tcW w:w="1376" w:type="dxa"/>
            <w:tcBorders>
              <w:left w:val="nil"/>
              <w:bottom w:val="nil"/>
              <w:right w:val="nil"/>
            </w:tcBorders>
          </w:tcPr>
          <w:p>
            <w:pPr>
              <w:pStyle w:val="TableParagraph"/>
              <w:spacing w:line="221" w:lineRule="exact"/>
              <w:ind w:left="333"/>
              <w:rPr>
                <w:sz w:val="20"/>
              </w:rPr>
            </w:pPr>
            <w:r>
              <w:rPr>
                <w:sz w:val="20"/>
              </w:rPr>
              <w:t>8.75 </w:t>
            </w:r>
            <w:r>
              <w:rPr>
                <w:sz w:val="20"/>
                <w:u w:val="single"/>
              </w:rPr>
              <w:t>+ </w:t>
            </w:r>
            <w:r>
              <w:rPr>
                <w:sz w:val="20"/>
              </w:rPr>
              <w:t>1.6</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20"/>
              </w:rPr>
            </w:pPr>
          </w:p>
          <w:p>
            <w:pPr>
              <w:pStyle w:val="TableParagraph"/>
              <w:spacing w:before="1"/>
              <w:ind w:left="333"/>
              <w:rPr>
                <w:sz w:val="20"/>
              </w:rPr>
            </w:pPr>
            <w:r>
              <w:rPr>
                <w:sz w:val="20"/>
              </w:rPr>
              <w:t>2.98 </w:t>
            </w:r>
            <w:r>
              <w:rPr>
                <w:sz w:val="20"/>
                <w:u w:val="single"/>
              </w:rPr>
              <w:t>+ </w:t>
            </w:r>
            <w:r>
              <w:rPr>
                <w:sz w:val="20"/>
              </w:rPr>
              <w:t>0.4</w:t>
            </w:r>
          </w:p>
        </w:tc>
      </w:tr>
      <w:tr>
        <w:trPr>
          <w:trHeight w:val="3124" w:hRule="exact"/>
        </w:trPr>
        <w:tc>
          <w:tcPr>
            <w:tcW w:w="1977" w:type="dxa"/>
            <w:tcBorders>
              <w:top w:val="nil"/>
              <w:left w:val="nil"/>
              <w:bottom w:val="nil"/>
              <w:right w:val="nil"/>
            </w:tcBorders>
          </w:tcPr>
          <w:p>
            <w:pPr>
              <w:pStyle w:val="TableParagraph"/>
              <w:spacing w:line="480" w:lineRule="auto" w:before="114"/>
              <w:ind w:left="110" w:right="582"/>
              <w:rPr>
                <w:sz w:val="18"/>
              </w:rPr>
            </w:pPr>
            <w:r>
              <w:rPr>
                <w:sz w:val="18"/>
              </w:rPr>
              <w:t>Céstodo Adulto Familia: Bothriocephalide (Blanchard,1849) </w:t>
            </w:r>
            <w:r>
              <w:rPr>
                <w:i/>
                <w:sz w:val="18"/>
              </w:rPr>
              <w:t>Bothriocephalus </w:t>
            </w:r>
            <w:r>
              <w:rPr>
                <w:i/>
                <w:sz w:val="18"/>
              </w:rPr>
              <w:t>acheilognathi </w:t>
            </w:r>
            <w:r>
              <w:rPr>
                <w:sz w:val="18"/>
              </w:rPr>
              <w:t>(Yamaguti,1934)</w:t>
            </w:r>
          </w:p>
        </w:tc>
        <w:tc>
          <w:tcPr>
            <w:tcW w:w="1416" w:type="dxa"/>
            <w:tcBorders>
              <w:top w:val="nil"/>
              <w:left w:val="nil"/>
              <w:bottom w:val="nil"/>
              <w:right w:val="nil"/>
            </w:tcBorders>
          </w:tcPr>
          <w:p>
            <w:pPr>
              <w:pStyle w:val="TableParagraph"/>
              <w:spacing w:before="114"/>
              <w:ind w:right="124"/>
              <w:jc w:val="right"/>
              <w:rPr>
                <w:i/>
                <w:sz w:val="18"/>
              </w:rPr>
            </w:pPr>
            <w:r>
              <w:rPr>
                <w:i/>
                <w:sz w:val="18"/>
              </w:rPr>
              <w:t>G.multiradiatus</w:t>
            </w:r>
          </w:p>
        </w:tc>
        <w:tc>
          <w:tcPr>
            <w:tcW w:w="2082" w:type="dxa"/>
            <w:tcBorders>
              <w:top w:val="nil"/>
              <w:left w:val="nil"/>
              <w:bottom w:val="nil"/>
              <w:right w:val="nil"/>
            </w:tcBorders>
          </w:tcPr>
          <w:p>
            <w:pPr>
              <w:pStyle w:val="TableParagraph"/>
              <w:spacing w:before="110"/>
              <w:ind w:left="144" w:right="140"/>
              <w:jc w:val="center"/>
              <w:rPr>
                <w:sz w:val="20"/>
              </w:rPr>
            </w:pPr>
            <w:r>
              <w:rPr>
                <w:sz w:val="20"/>
              </w:rPr>
              <w:t>Laguna Chicnahuapan (Almoloya del Río, Edo. Méx.)</w:t>
            </w:r>
          </w:p>
          <w:p>
            <w:pPr>
              <w:pStyle w:val="TableParagraph"/>
              <w:rPr>
                <w:sz w:val="20"/>
              </w:rPr>
            </w:pPr>
          </w:p>
          <w:p>
            <w:pPr>
              <w:pStyle w:val="TableParagraph"/>
              <w:rPr>
                <w:sz w:val="20"/>
              </w:rPr>
            </w:pPr>
          </w:p>
          <w:p>
            <w:pPr>
              <w:pStyle w:val="TableParagraph"/>
              <w:rPr>
                <w:sz w:val="20"/>
              </w:rPr>
            </w:pPr>
          </w:p>
          <w:p>
            <w:pPr>
              <w:pStyle w:val="TableParagraph"/>
              <w:spacing w:before="9"/>
              <w:rPr>
                <w:sz w:val="19"/>
              </w:rPr>
            </w:pPr>
          </w:p>
          <w:p>
            <w:pPr>
              <w:pStyle w:val="TableParagraph"/>
              <w:ind w:left="145" w:right="135"/>
              <w:jc w:val="center"/>
              <w:rPr>
                <w:sz w:val="20"/>
              </w:rPr>
            </w:pPr>
            <w:r>
              <w:rPr>
                <w:sz w:val="20"/>
              </w:rPr>
              <w:t>Embalse San Juanico (Acambay, Edo.</w:t>
            </w:r>
          </w:p>
          <w:p>
            <w:pPr>
              <w:pStyle w:val="TableParagraph"/>
              <w:ind w:left="140" w:right="140"/>
              <w:jc w:val="center"/>
              <w:rPr>
                <w:sz w:val="20"/>
              </w:rPr>
            </w:pPr>
            <w:r>
              <w:rPr>
                <w:sz w:val="20"/>
              </w:rPr>
              <w:t>Méx.)</w:t>
            </w:r>
          </w:p>
        </w:tc>
        <w:tc>
          <w:tcPr>
            <w:tcW w:w="1056" w:type="dxa"/>
            <w:tcBorders>
              <w:top w:val="nil"/>
              <w:left w:val="nil"/>
              <w:bottom w:val="nil"/>
              <w:right w:val="nil"/>
            </w:tcBorders>
          </w:tcPr>
          <w:p>
            <w:pPr>
              <w:pStyle w:val="TableParagraph"/>
              <w:spacing w:before="110"/>
              <w:ind w:left="314"/>
              <w:rPr>
                <w:sz w:val="20"/>
              </w:rPr>
            </w:pPr>
            <w:r>
              <w:rPr>
                <w:sz w:val="20"/>
              </w:rPr>
              <w:t>708</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19"/>
              </w:rPr>
            </w:pPr>
          </w:p>
          <w:p>
            <w:pPr>
              <w:pStyle w:val="TableParagraph"/>
              <w:spacing w:before="1"/>
              <w:ind w:left="314"/>
              <w:rPr>
                <w:sz w:val="20"/>
              </w:rPr>
            </w:pPr>
            <w:r>
              <w:rPr>
                <w:sz w:val="20"/>
              </w:rPr>
              <w:t>675</w:t>
            </w:r>
          </w:p>
        </w:tc>
        <w:tc>
          <w:tcPr>
            <w:tcW w:w="1096" w:type="dxa"/>
            <w:tcBorders>
              <w:top w:val="nil"/>
              <w:left w:val="nil"/>
              <w:bottom w:val="nil"/>
              <w:right w:val="nil"/>
            </w:tcBorders>
          </w:tcPr>
          <w:p>
            <w:pPr>
              <w:pStyle w:val="TableParagraph"/>
              <w:spacing w:before="110"/>
              <w:ind w:left="436" w:right="315"/>
              <w:jc w:val="center"/>
              <w:rPr>
                <w:sz w:val="20"/>
              </w:rPr>
            </w:pPr>
            <w:r>
              <w:rPr>
                <w:sz w:val="20"/>
              </w:rPr>
              <w:t>49</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19"/>
              </w:rPr>
            </w:pPr>
          </w:p>
          <w:p>
            <w:pPr>
              <w:pStyle w:val="TableParagraph"/>
              <w:spacing w:before="1"/>
              <w:ind w:left="436" w:right="315"/>
              <w:jc w:val="center"/>
              <w:rPr>
                <w:sz w:val="20"/>
              </w:rPr>
            </w:pPr>
            <w:r>
              <w:rPr>
                <w:sz w:val="20"/>
              </w:rPr>
              <w:t>40</w:t>
            </w:r>
          </w:p>
        </w:tc>
        <w:tc>
          <w:tcPr>
            <w:tcW w:w="1376" w:type="dxa"/>
            <w:tcBorders>
              <w:top w:val="nil"/>
              <w:left w:val="nil"/>
              <w:bottom w:val="nil"/>
              <w:right w:val="nil"/>
            </w:tcBorders>
          </w:tcPr>
          <w:p>
            <w:pPr>
              <w:pStyle w:val="TableParagraph"/>
              <w:spacing w:before="110"/>
              <w:ind w:left="391"/>
              <w:rPr>
                <w:sz w:val="20"/>
              </w:rPr>
            </w:pPr>
            <w:r>
              <w:rPr>
                <w:sz w:val="20"/>
              </w:rPr>
              <w:t>1.6 </w:t>
            </w:r>
            <w:r>
              <w:rPr>
                <w:sz w:val="20"/>
                <w:u w:val="single"/>
              </w:rPr>
              <w:t>+ </w:t>
            </w:r>
            <w:r>
              <w:rPr>
                <w:sz w:val="20"/>
              </w:rPr>
              <w:t>1.24</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19"/>
              </w:rPr>
            </w:pPr>
          </w:p>
          <w:p>
            <w:pPr>
              <w:pStyle w:val="TableParagraph"/>
              <w:spacing w:before="1"/>
              <w:ind w:left="343"/>
              <w:rPr>
                <w:sz w:val="20"/>
              </w:rPr>
            </w:pPr>
            <w:r>
              <w:rPr>
                <w:sz w:val="20"/>
              </w:rPr>
              <w:t>1.41 </w:t>
            </w:r>
            <w:r>
              <w:rPr>
                <w:sz w:val="20"/>
                <w:u w:val="single"/>
              </w:rPr>
              <w:t>+ </w:t>
            </w:r>
            <w:r>
              <w:rPr>
                <w:sz w:val="20"/>
              </w:rPr>
              <w:t>0.50</w:t>
            </w:r>
          </w:p>
        </w:tc>
      </w:tr>
      <w:tr>
        <w:trPr>
          <w:trHeight w:val="2886" w:hRule="exact"/>
        </w:trPr>
        <w:tc>
          <w:tcPr>
            <w:tcW w:w="1977" w:type="dxa"/>
            <w:tcBorders>
              <w:top w:val="nil"/>
              <w:left w:val="nil"/>
              <w:right w:val="nil"/>
            </w:tcBorders>
          </w:tcPr>
          <w:p>
            <w:pPr>
              <w:pStyle w:val="TableParagraph"/>
              <w:spacing w:before="3"/>
              <w:rPr>
                <w:sz w:val="26"/>
              </w:rPr>
            </w:pPr>
          </w:p>
          <w:p>
            <w:pPr>
              <w:pStyle w:val="TableParagraph"/>
              <w:spacing w:line="477" w:lineRule="auto"/>
              <w:ind w:left="110" w:right="412"/>
              <w:rPr>
                <w:sz w:val="18"/>
              </w:rPr>
            </w:pPr>
            <w:r>
              <w:rPr>
                <w:sz w:val="18"/>
              </w:rPr>
              <w:t>Metacestodo Familia Dilepididae</w:t>
            </w:r>
          </w:p>
          <w:p>
            <w:pPr>
              <w:pStyle w:val="TableParagraph"/>
              <w:spacing w:line="480" w:lineRule="auto" w:before="9"/>
              <w:ind w:left="110" w:right="117"/>
              <w:rPr>
                <w:sz w:val="18"/>
              </w:rPr>
            </w:pPr>
            <w:r>
              <w:rPr>
                <w:sz w:val="18"/>
              </w:rPr>
              <w:t>(Railliet y Henry, 1909) </w:t>
            </w:r>
            <w:r>
              <w:rPr>
                <w:i/>
                <w:sz w:val="18"/>
              </w:rPr>
              <w:t>Valipora </w:t>
            </w:r>
            <w:r>
              <w:rPr>
                <w:i/>
                <w:sz w:val="18"/>
              </w:rPr>
              <w:t>campylancristrota </w:t>
            </w:r>
            <w:r>
              <w:rPr>
                <w:sz w:val="18"/>
              </w:rPr>
              <w:t>(Wed1,1855)</w:t>
            </w:r>
          </w:p>
        </w:tc>
        <w:tc>
          <w:tcPr>
            <w:tcW w:w="1416" w:type="dxa"/>
            <w:tcBorders>
              <w:top w:val="nil"/>
              <w:left w:val="nil"/>
              <w:right w:val="nil"/>
            </w:tcBorders>
          </w:tcPr>
          <w:p>
            <w:pPr>
              <w:pStyle w:val="TableParagraph"/>
              <w:spacing w:before="3"/>
              <w:rPr>
                <w:sz w:val="26"/>
              </w:rPr>
            </w:pPr>
          </w:p>
          <w:p>
            <w:pPr>
              <w:pStyle w:val="TableParagraph"/>
              <w:ind w:right="124"/>
              <w:jc w:val="right"/>
              <w:rPr>
                <w:i/>
                <w:sz w:val="18"/>
              </w:rPr>
            </w:pPr>
            <w:r>
              <w:rPr>
                <w:i/>
                <w:sz w:val="18"/>
              </w:rPr>
              <w:t>G.multiradiatus</w:t>
            </w:r>
          </w:p>
        </w:tc>
        <w:tc>
          <w:tcPr>
            <w:tcW w:w="2082" w:type="dxa"/>
            <w:tcBorders>
              <w:top w:val="nil"/>
              <w:left w:val="nil"/>
              <w:right w:val="nil"/>
            </w:tcBorders>
          </w:tcPr>
          <w:p>
            <w:pPr>
              <w:pStyle w:val="TableParagraph"/>
              <w:spacing w:before="8"/>
              <w:rPr>
                <w:sz w:val="29"/>
              </w:rPr>
            </w:pPr>
          </w:p>
          <w:p>
            <w:pPr>
              <w:pStyle w:val="TableParagraph"/>
              <w:ind w:left="145" w:right="140"/>
              <w:jc w:val="center"/>
              <w:rPr>
                <w:sz w:val="20"/>
              </w:rPr>
            </w:pPr>
            <w:r>
              <w:rPr>
                <w:sz w:val="20"/>
              </w:rPr>
              <w:t>Laguna Chicnahuapan (Almoloya del Río, Edo. Méx.)</w:t>
            </w:r>
          </w:p>
          <w:p>
            <w:pPr>
              <w:pStyle w:val="TableParagraph"/>
              <w:rPr>
                <w:sz w:val="20"/>
              </w:rPr>
            </w:pPr>
          </w:p>
          <w:p>
            <w:pPr>
              <w:pStyle w:val="TableParagraph"/>
              <w:rPr>
                <w:sz w:val="20"/>
              </w:rPr>
            </w:pPr>
          </w:p>
          <w:p>
            <w:pPr>
              <w:pStyle w:val="TableParagraph"/>
              <w:rPr>
                <w:sz w:val="20"/>
              </w:rPr>
            </w:pPr>
          </w:p>
          <w:p>
            <w:pPr>
              <w:pStyle w:val="TableParagraph"/>
              <w:spacing w:before="2"/>
              <w:rPr>
                <w:sz w:val="20"/>
              </w:rPr>
            </w:pPr>
          </w:p>
          <w:p>
            <w:pPr>
              <w:pStyle w:val="TableParagraph"/>
              <w:ind w:left="145" w:right="135"/>
              <w:jc w:val="center"/>
              <w:rPr>
                <w:sz w:val="20"/>
              </w:rPr>
            </w:pPr>
            <w:r>
              <w:rPr>
                <w:sz w:val="20"/>
              </w:rPr>
              <w:t>Embalse San Juanico (Acambay, Edo.</w:t>
            </w:r>
          </w:p>
          <w:p>
            <w:pPr>
              <w:pStyle w:val="TableParagraph"/>
              <w:ind w:left="140" w:right="140"/>
              <w:jc w:val="center"/>
              <w:rPr>
                <w:sz w:val="20"/>
              </w:rPr>
            </w:pPr>
            <w:r>
              <w:rPr>
                <w:sz w:val="20"/>
              </w:rPr>
              <w:t>Méx.)</w:t>
            </w:r>
          </w:p>
        </w:tc>
        <w:tc>
          <w:tcPr>
            <w:tcW w:w="1056" w:type="dxa"/>
            <w:tcBorders>
              <w:top w:val="nil"/>
              <w:left w:val="nil"/>
              <w:right w:val="nil"/>
            </w:tcBorders>
          </w:tcPr>
          <w:p>
            <w:pPr>
              <w:pStyle w:val="TableParagraph"/>
              <w:rPr>
                <w:sz w:val="20"/>
              </w:rPr>
            </w:pPr>
          </w:p>
          <w:p>
            <w:pPr>
              <w:pStyle w:val="TableParagraph"/>
              <w:rPr>
                <w:sz w:val="20"/>
              </w:rPr>
            </w:pPr>
          </w:p>
          <w:p>
            <w:pPr>
              <w:pStyle w:val="TableParagraph"/>
              <w:spacing w:before="9"/>
              <w:rPr>
                <w:sz w:val="29"/>
              </w:rPr>
            </w:pPr>
          </w:p>
          <w:p>
            <w:pPr>
              <w:pStyle w:val="TableParagraph"/>
              <w:ind w:left="314"/>
              <w:rPr>
                <w:sz w:val="20"/>
              </w:rPr>
            </w:pPr>
            <w:r>
              <w:rPr>
                <w:sz w:val="20"/>
              </w:rPr>
              <w:t>708</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20"/>
              </w:rPr>
            </w:pPr>
          </w:p>
          <w:p>
            <w:pPr>
              <w:pStyle w:val="TableParagraph"/>
              <w:ind w:left="314"/>
              <w:rPr>
                <w:sz w:val="20"/>
              </w:rPr>
            </w:pPr>
            <w:r>
              <w:rPr>
                <w:sz w:val="20"/>
              </w:rPr>
              <w:t>675</w:t>
            </w:r>
          </w:p>
        </w:tc>
        <w:tc>
          <w:tcPr>
            <w:tcW w:w="1096" w:type="dxa"/>
            <w:tcBorders>
              <w:top w:val="nil"/>
              <w:left w:val="nil"/>
              <w:right w:val="nil"/>
            </w:tcBorders>
          </w:tcPr>
          <w:p>
            <w:pPr>
              <w:pStyle w:val="TableParagraph"/>
              <w:rPr>
                <w:sz w:val="20"/>
              </w:rPr>
            </w:pPr>
          </w:p>
          <w:p>
            <w:pPr>
              <w:pStyle w:val="TableParagraph"/>
              <w:rPr>
                <w:sz w:val="20"/>
              </w:rPr>
            </w:pPr>
          </w:p>
          <w:p>
            <w:pPr>
              <w:pStyle w:val="TableParagraph"/>
              <w:spacing w:before="9"/>
              <w:rPr>
                <w:sz w:val="29"/>
              </w:rPr>
            </w:pPr>
          </w:p>
          <w:p>
            <w:pPr>
              <w:pStyle w:val="TableParagraph"/>
              <w:ind w:left="436" w:right="315"/>
              <w:jc w:val="center"/>
              <w:rPr>
                <w:sz w:val="20"/>
              </w:rPr>
            </w:pPr>
            <w:r>
              <w:rPr>
                <w:sz w:val="20"/>
              </w:rPr>
              <w:t>11</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20"/>
              </w:rPr>
            </w:pPr>
          </w:p>
          <w:p>
            <w:pPr>
              <w:pStyle w:val="TableParagraph"/>
              <w:ind w:left="436" w:right="315"/>
              <w:jc w:val="center"/>
              <w:rPr>
                <w:sz w:val="20"/>
              </w:rPr>
            </w:pPr>
            <w:r>
              <w:rPr>
                <w:sz w:val="20"/>
              </w:rPr>
              <w:t>62</w:t>
            </w:r>
          </w:p>
        </w:tc>
        <w:tc>
          <w:tcPr>
            <w:tcW w:w="1376" w:type="dxa"/>
            <w:tcBorders>
              <w:top w:val="nil"/>
              <w:left w:val="nil"/>
              <w:right w:val="nil"/>
            </w:tcBorders>
          </w:tcPr>
          <w:p>
            <w:pPr>
              <w:pStyle w:val="TableParagraph"/>
              <w:rPr>
                <w:sz w:val="20"/>
              </w:rPr>
            </w:pPr>
          </w:p>
          <w:p>
            <w:pPr>
              <w:pStyle w:val="TableParagraph"/>
              <w:rPr>
                <w:sz w:val="20"/>
              </w:rPr>
            </w:pPr>
          </w:p>
          <w:p>
            <w:pPr>
              <w:pStyle w:val="TableParagraph"/>
              <w:spacing w:before="9"/>
              <w:rPr>
                <w:sz w:val="29"/>
              </w:rPr>
            </w:pPr>
          </w:p>
          <w:p>
            <w:pPr>
              <w:pStyle w:val="TableParagraph"/>
              <w:ind w:left="367"/>
              <w:rPr>
                <w:sz w:val="20"/>
              </w:rPr>
            </w:pPr>
            <w:r>
              <w:rPr>
                <w:sz w:val="20"/>
              </w:rPr>
              <w:t>1.54</w:t>
            </w:r>
            <w:r>
              <w:rPr>
                <w:sz w:val="20"/>
                <w:u w:val="single"/>
              </w:rPr>
              <w:t>+ </w:t>
            </w:r>
            <w:r>
              <w:rPr>
                <w:sz w:val="20"/>
              </w:rPr>
              <w:t>0.81</w:t>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20"/>
              </w:rPr>
            </w:pPr>
          </w:p>
          <w:p>
            <w:pPr>
              <w:pStyle w:val="TableParagraph"/>
              <w:ind w:left="391"/>
              <w:rPr>
                <w:sz w:val="20"/>
              </w:rPr>
            </w:pPr>
            <w:r>
              <w:rPr>
                <w:sz w:val="20"/>
              </w:rPr>
              <w:t>1.0 </w:t>
            </w:r>
            <w:r>
              <w:rPr>
                <w:sz w:val="20"/>
                <w:u w:val="single"/>
              </w:rPr>
              <w:t>+ </w:t>
            </w:r>
            <w:r>
              <w:rPr>
                <w:sz w:val="20"/>
              </w:rPr>
              <w:t>0.82</w:t>
            </w:r>
          </w:p>
        </w:tc>
      </w:tr>
    </w:tbl>
    <w:p>
      <w:pPr>
        <w:spacing w:after="0"/>
        <w:rPr>
          <w:sz w:val="20"/>
        </w:rPr>
        <w:sectPr>
          <w:pgSz w:w="12240" w:h="15840"/>
          <w:pgMar w:header="0" w:footer="1304" w:top="1500" w:bottom="1560" w:left="1660" w:right="1360"/>
        </w:sectPr>
      </w:pPr>
    </w:p>
    <w:p>
      <w:pPr>
        <w:pStyle w:val="BodyText"/>
        <w:spacing w:before="7"/>
        <w:rPr>
          <w:sz w:val="20"/>
        </w:rPr>
      </w:pPr>
    </w:p>
    <w:p>
      <w:pPr>
        <w:pStyle w:val="BodyText"/>
        <w:spacing w:line="480" w:lineRule="auto" w:before="69"/>
        <w:ind w:left="152" w:right="263"/>
        <w:jc w:val="both"/>
      </w:pPr>
      <w:r>
        <w:rPr/>
        <w:t>Una vez obtenidos los componentes principales determinamos si existían diferencias en la intensidad de </w:t>
      </w:r>
      <w:r>
        <w:rPr>
          <w:i/>
        </w:rPr>
        <w:t>Tylodelphys </w:t>
      </w:r>
      <w:r>
        <w:rPr/>
        <w:t>sp., </w:t>
      </w:r>
      <w:r>
        <w:rPr>
          <w:i/>
        </w:rPr>
        <w:t>B</w:t>
      </w:r>
      <w:r>
        <w:rPr/>
        <w:t>. </w:t>
      </w:r>
      <w:r>
        <w:rPr>
          <w:i/>
        </w:rPr>
        <w:t>acheilognathi </w:t>
      </w:r>
      <w:r>
        <w:rPr/>
        <w:t>y/ó </w:t>
      </w:r>
      <w:r>
        <w:rPr>
          <w:i/>
        </w:rPr>
        <w:t>Valipora campylancristrota </w:t>
      </w:r>
      <w:r>
        <w:rPr/>
        <w:t>y si esta variabilidad podría ser explicada por las covariables (Componentes principales) o por la localidad y el sexo de los organismos (Ver Anexo 2).</w:t>
      </w:r>
    </w:p>
    <w:p>
      <w:pPr>
        <w:pStyle w:val="BodyText"/>
      </w:pPr>
    </w:p>
    <w:p>
      <w:pPr>
        <w:pStyle w:val="BodyText"/>
      </w:pPr>
    </w:p>
    <w:p>
      <w:pPr>
        <w:pStyle w:val="ListParagraph"/>
        <w:numPr>
          <w:ilvl w:val="0"/>
          <w:numId w:val="6"/>
        </w:numPr>
        <w:tabs>
          <w:tab w:pos="580" w:val="left" w:leader="none"/>
          <w:tab w:pos="581" w:val="left" w:leader="none"/>
        </w:tabs>
        <w:spacing w:line="480" w:lineRule="auto" w:before="212" w:after="0"/>
        <w:ind w:left="580" w:right="255" w:hanging="428"/>
        <w:jc w:val="left"/>
        <w:rPr>
          <w:sz w:val="24"/>
        </w:rPr>
      </w:pPr>
      <w:r>
        <w:rPr>
          <w:sz w:val="24"/>
        </w:rPr>
        <w:t>Diferencias en </w:t>
      </w:r>
      <w:r>
        <w:rPr>
          <w:spacing w:val="-3"/>
          <w:sz w:val="24"/>
        </w:rPr>
        <w:t>la </w:t>
      </w:r>
      <w:r>
        <w:rPr>
          <w:sz w:val="24"/>
        </w:rPr>
        <w:t>intensidad parasitaria de </w:t>
      </w:r>
      <w:r>
        <w:rPr>
          <w:i/>
          <w:sz w:val="24"/>
        </w:rPr>
        <w:t>Tylodelphys </w:t>
      </w:r>
      <w:r>
        <w:rPr>
          <w:sz w:val="24"/>
        </w:rPr>
        <w:t>sp. de acuerdo al sexo y localidad de </w:t>
      </w:r>
      <w:r>
        <w:rPr>
          <w:i/>
          <w:sz w:val="24"/>
        </w:rPr>
        <w:t>G.</w:t>
      </w:r>
      <w:r>
        <w:rPr>
          <w:i/>
          <w:spacing w:val="-7"/>
          <w:sz w:val="24"/>
        </w:rPr>
        <w:t> </w:t>
      </w:r>
      <w:r>
        <w:rPr>
          <w:i/>
          <w:sz w:val="24"/>
        </w:rPr>
        <w:t>multiradiatus</w:t>
      </w:r>
      <w:r>
        <w:rPr>
          <w:sz w:val="24"/>
        </w:rPr>
        <w:t>.</w:t>
      </w:r>
    </w:p>
    <w:p>
      <w:pPr>
        <w:pStyle w:val="BodyText"/>
        <w:rPr>
          <w:sz w:val="20"/>
        </w:rPr>
      </w:pPr>
    </w:p>
    <w:p>
      <w:pPr>
        <w:pStyle w:val="BodyText"/>
        <w:rPr>
          <w:sz w:val="26"/>
        </w:rPr>
      </w:pPr>
      <w:r>
        <w:rPr/>
        <w:drawing>
          <wp:anchor distT="0" distB="0" distL="0" distR="0" allowOverlap="1" layoutInCell="1" locked="0" behindDoc="0" simplePos="0" relativeHeight="1216">
            <wp:simplePos x="0" y="0"/>
            <wp:positionH relativeFrom="page">
              <wp:posOffset>1791970</wp:posOffset>
            </wp:positionH>
            <wp:positionV relativeFrom="paragraph">
              <wp:posOffset>215216</wp:posOffset>
            </wp:positionV>
            <wp:extent cx="4425667" cy="2417826"/>
            <wp:effectExtent l="0" t="0" r="0" b="0"/>
            <wp:wrapTopAndBottom/>
            <wp:docPr id="7" name="image3.jpeg" descr=""/>
            <wp:cNvGraphicFramePr>
              <a:graphicFrameLocks noChangeAspect="1"/>
            </wp:cNvGraphicFramePr>
            <a:graphic>
              <a:graphicData uri="http://schemas.openxmlformats.org/drawingml/2006/picture">
                <pic:pic>
                  <pic:nvPicPr>
                    <pic:cNvPr id="8" name="image3.jpeg"/>
                    <pic:cNvPicPr/>
                  </pic:nvPicPr>
                  <pic:blipFill>
                    <a:blip r:embed="rId8" cstate="print"/>
                    <a:stretch>
                      <a:fillRect/>
                    </a:stretch>
                  </pic:blipFill>
                  <pic:spPr>
                    <a:xfrm>
                      <a:off x="0" y="0"/>
                      <a:ext cx="4425667" cy="2417826"/>
                    </a:xfrm>
                    <a:prstGeom prst="rect">
                      <a:avLst/>
                    </a:prstGeom>
                  </pic:spPr>
                </pic:pic>
              </a:graphicData>
            </a:graphic>
          </wp:anchor>
        </w:drawing>
      </w:r>
    </w:p>
    <w:p>
      <w:pPr>
        <w:pStyle w:val="BodyText"/>
        <w:rPr>
          <w:sz w:val="20"/>
        </w:rPr>
      </w:pPr>
    </w:p>
    <w:p>
      <w:pPr>
        <w:pStyle w:val="BodyText"/>
        <w:rPr>
          <w:sz w:val="20"/>
        </w:rPr>
      </w:pPr>
    </w:p>
    <w:p>
      <w:pPr>
        <w:pStyle w:val="BodyText"/>
        <w:spacing w:before="5"/>
        <w:rPr>
          <w:sz w:val="21"/>
        </w:rPr>
      </w:pPr>
    </w:p>
    <w:p>
      <w:pPr>
        <w:pStyle w:val="BodyText"/>
        <w:spacing w:line="480" w:lineRule="auto" w:before="70"/>
        <w:ind w:left="152" w:right="117"/>
        <w:jc w:val="both"/>
      </w:pPr>
      <w:r>
        <w:rPr/>
        <w:t>Sólo el Componente Principal 3 está sistemáticamente relacionado con </w:t>
      </w:r>
      <w:r>
        <w:rPr>
          <w:spacing w:val="-5"/>
        </w:rPr>
        <w:t>la </w:t>
      </w:r>
      <w:r>
        <w:rPr/>
        <w:t>intensidad del parasitaria, por </w:t>
      </w:r>
      <w:r>
        <w:rPr>
          <w:spacing w:val="-5"/>
        </w:rPr>
        <w:t>lo </w:t>
      </w:r>
      <w:r>
        <w:rPr/>
        <w:t>tanto, se mantuvo </w:t>
      </w:r>
      <w:r>
        <w:rPr>
          <w:spacing w:val="-3"/>
        </w:rPr>
        <w:t>como </w:t>
      </w:r>
      <w:r>
        <w:rPr/>
        <w:t>covariable en el ANOVA. La intensidad  parasitaria fue mayor en Chicnahuapan (8,75 ± 1,6 metacercarias en los peces infectados exclusivamente por género Tylodelphys) que en San Juanico (2,98 ± 0,4, F (1,388) = 17,5, </w:t>
      </w:r>
      <w:r>
        <w:rPr>
          <w:spacing w:val="27"/>
        </w:rPr>
        <w:t> </w:t>
      </w:r>
      <w:r>
        <w:rPr/>
        <w:t>p</w:t>
      </w:r>
    </w:p>
    <w:p>
      <w:pPr>
        <w:pStyle w:val="BodyText"/>
        <w:spacing w:before="10"/>
        <w:ind w:left="152"/>
        <w:jc w:val="both"/>
      </w:pPr>
      <w:r>
        <w:rPr/>
        <w:t>= 0,00004), debido a que las hembras de San Juanico tenía muy pocos parásitos (2,06 ± 0,36)</w:t>
      </w:r>
    </w:p>
    <w:p>
      <w:pPr>
        <w:spacing w:after="0"/>
        <w:jc w:val="both"/>
        <w:sectPr>
          <w:pgSz w:w="12240" w:h="15840"/>
          <w:pgMar w:header="0" w:footer="1304" w:top="1500" w:bottom="1560" w:left="1720" w:right="1260"/>
        </w:sectPr>
      </w:pPr>
    </w:p>
    <w:p>
      <w:pPr>
        <w:pStyle w:val="BodyText"/>
        <w:spacing w:before="7"/>
        <w:rPr>
          <w:sz w:val="20"/>
        </w:rPr>
      </w:pPr>
    </w:p>
    <w:p>
      <w:pPr>
        <w:pStyle w:val="BodyText"/>
        <w:spacing w:line="480" w:lineRule="auto" w:before="69"/>
        <w:ind w:left="152" w:right="19"/>
      </w:pPr>
      <w:r>
        <w:rPr/>
        <w:t>que los machos de San Juanico (10,49 ± 2,79), y que las hembras (3,61 ± 0,58) y los machos de Chicnahuapan (6,99 ± 1,44). (Ver Tabla 1)</w:t>
      </w:r>
    </w:p>
    <w:p>
      <w:pPr>
        <w:pStyle w:val="BodyText"/>
      </w:pPr>
    </w:p>
    <w:p>
      <w:pPr>
        <w:pStyle w:val="BodyText"/>
      </w:pPr>
    </w:p>
    <w:p>
      <w:pPr>
        <w:pStyle w:val="ListParagraph"/>
        <w:numPr>
          <w:ilvl w:val="0"/>
          <w:numId w:val="6"/>
        </w:numPr>
        <w:tabs>
          <w:tab w:pos="427" w:val="left" w:leader="none"/>
        </w:tabs>
        <w:spacing w:line="240" w:lineRule="auto" w:before="212" w:after="0"/>
        <w:ind w:left="426" w:right="0" w:hanging="274"/>
        <w:jc w:val="left"/>
        <w:rPr>
          <w:i/>
          <w:sz w:val="24"/>
        </w:rPr>
      </w:pPr>
      <w:r>
        <w:rPr>
          <w:sz w:val="24"/>
        </w:rPr>
        <w:t>Interacción de los factores (sexo-localidad) en  </w:t>
      </w:r>
      <w:r>
        <w:rPr>
          <w:spacing w:val="-5"/>
          <w:sz w:val="24"/>
        </w:rPr>
        <w:t>la  </w:t>
      </w:r>
      <w:r>
        <w:rPr>
          <w:sz w:val="24"/>
        </w:rPr>
        <w:t>intensidad parasitaria de  </w:t>
      </w:r>
      <w:r>
        <w:rPr>
          <w:spacing w:val="44"/>
          <w:sz w:val="24"/>
        </w:rPr>
        <w:t> </w:t>
      </w:r>
      <w:r>
        <w:rPr>
          <w:i/>
          <w:sz w:val="24"/>
        </w:rPr>
        <w:t>Tylodelphys</w:t>
      </w:r>
    </w:p>
    <w:p>
      <w:pPr>
        <w:pStyle w:val="BodyText"/>
        <w:rPr>
          <w:i/>
        </w:rPr>
      </w:pPr>
    </w:p>
    <w:p>
      <w:pPr>
        <w:pStyle w:val="BodyText"/>
        <w:ind w:left="152" w:right="19"/>
      </w:pPr>
      <w:r>
        <w:rPr/>
        <w:t>sp.</w:t>
      </w:r>
    </w:p>
    <w:p>
      <w:pPr>
        <w:pStyle w:val="BodyText"/>
        <w:rPr>
          <w:sz w:val="20"/>
        </w:rPr>
      </w:pPr>
    </w:p>
    <w:p>
      <w:pPr>
        <w:pStyle w:val="BodyText"/>
        <w:rPr>
          <w:sz w:val="25"/>
        </w:rPr>
      </w:pPr>
      <w:r>
        <w:rPr/>
        <w:drawing>
          <wp:anchor distT="0" distB="0" distL="0" distR="0" allowOverlap="1" layoutInCell="1" locked="0" behindDoc="0" simplePos="0" relativeHeight="1240">
            <wp:simplePos x="0" y="0"/>
            <wp:positionH relativeFrom="page">
              <wp:posOffset>2185670</wp:posOffset>
            </wp:positionH>
            <wp:positionV relativeFrom="paragraph">
              <wp:posOffset>207457</wp:posOffset>
            </wp:positionV>
            <wp:extent cx="3603681" cy="2565654"/>
            <wp:effectExtent l="0" t="0" r="0" b="0"/>
            <wp:wrapTopAndBottom/>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9" cstate="print"/>
                    <a:stretch>
                      <a:fillRect/>
                    </a:stretch>
                  </pic:blipFill>
                  <pic:spPr>
                    <a:xfrm>
                      <a:off x="0" y="0"/>
                      <a:ext cx="3603681" cy="2565654"/>
                    </a:xfrm>
                    <a:prstGeom prst="rect">
                      <a:avLst/>
                    </a:prstGeom>
                  </pic:spPr>
                </pic:pic>
              </a:graphicData>
            </a:graphic>
          </wp:anchor>
        </w:drawing>
      </w:r>
    </w:p>
    <w:p>
      <w:pPr>
        <w:pStyle w:val="BodyText"/>
        <w:rPr>
          <w:sz w:val="20"/>
        </w:rPr>
      </w:pPr>
    </w:p>
    <w:p>
      <w:pPr>
        <w:pStyle w:val="BodyText"/>
        <w:rPr>
          <w:sz w:val="20"/>
        </w:rPr>
      </w:pPr>
    </w:p>
    <w:p>
      <w:pPr>
        <w:pStyle w:val="BodyText"/>
        <w:spacing w:before="2"/>
        <w:rPr>
          <w:sz w:val="27"/>
        </w:rPr>
      </w:pPr>
      <w:r>
        <w:rPr/>
        <w:drawing>
          <wp:anchor distT="0" distB="0" distL="0" distR="0" allowOverlap="1" layoutInCell="1" locked="0" behindDoc="0" simplePos="0" relativeHeight="1264">
            <wp:simplePos x="0" y="0"/>
            <wp:positionH relativeFrom="page">
              <wp:posOffset>2273935</wp:posOffset>
            </wp:positionH>
            <wp:positionV relativeFrom="paragraph">
              <wp:posOffset>223290</wp:posOffset>
            </wp:positionV>
            <wp:extent cx="3439052" cy="2526030"/>
            <wp:effectExtent l="0" t="0" r="0" b="0"/>
            <wp:wrapTopAndBottom/>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10" cstate="print"/>
                    <a:stretch>
                      <a:fillRect/>
                    </a:stretch>
                  </pic:blipFill>
                  <pic:spPr>
                    <a:xfrm>
                      <a:off x="0" y="0"/>
                      <a:ext cx="3439052" cy="2526030"/>
                    </a:xfrm>
                    <a:prstGeom prst="rect">
                      <a:avLst/>
                    </a:prstGeom>
                  </pic:spPr>
                </pic:pic>
              </a:graphicData>
            </a:graphic>
          </wp:anchor>
        </w:drawing>
      </w:r>
    </w:p>
    <w:p>
      <w:pPr>
        <w:spacing w:after="0"/>
        <w:rPr>
          <w:sz w:val="27"/>
        </w:rPr>
        <w:sectPr>
          <w:pgSz w:w="12240" w:h="15840"/>
          <w:pgMar w:header="0" w:footer="1304" w:top="1500" w:bottom="1560" w:left="1720" w:right="1260"/>
        </w:sectPr>
      </w:pPr>
    </w:p>
    <w:p>
      <w:pPr>
        <w:pStyle w:val="BodyText"/>
        <w:rPr>
          <w:sz w:val="20"/>
        </w:rPr>
      </w:pPr>
    </w:p>
    <w:p>
      <w:pPr>
        <w:pStyle w:val="BodyText"/>
        <w:spacing w:before="5"/>
      </w:pPr>
    </w:p>
    <w:p>
      <w:pPr>
        <w:pStyle w:val="BodyText"/>
        <w:spacing w:line="480" w:lineRule="auto" w:before="69"/>
        <w:ind w:left="152" w:right="115"/>
        <w:jc w:val="both"/>
      </w:pPr>
      <w:r>
        <w:rPr/>
        <w:t>Una vez que se tomó en cuenta el efecto del CP3, las hembras tenían menos metacercarias que los machos (F (1,388) = 5,6, p = 0,02), y la interacción entre ambos factores fue significativa (F (1,388) = 6.44, p = 0.01). (Ver Anexo 2)</w:t>
      </w:r>
    </w:p>
    <w:p>
      <w:pPr>
        <w:pStyle w:val="BodyText"/>
        <w:spacing w:line="480" w:lineRule="auto" w:before="10"/>
        <w:ind w:left="152" w:right="113"/>
        <w:jc w:val="both"/>
      </w:pPr>
      <w:r>
        <w:rPr/>
        <w:t>Una exploración de las asociaciones de estas variables canónicas con la intensidad parasitaria sugiere que los machos de San Juanico experimentan una mayor intensidad del parasitaria, mientras más grandes son (talla) (PC1), mientras que en ambas poblaciones los machos más pesados (PC3) son más parasitados. Las hembras de San Juanico albergaba muy pocas metacercarias (ver más abajo), mientras que los organismos de Chicnahuapan más pesados (PC3) y con cuerpo más ancho (PC2) presentan una mayor intensidad parasitaria (Ver Anexo 5).</w:t>
      </w:r>
    </w:p>
    <w:p>
      <w:pPr>
        <w:spacing w:after="0" w:line="480" w:lineRule="auto"/>
        <w:jc w:val="both"/>
        <w:sectPr>
          <w:pgSz w:w="12240" w:h="15840"/>
          <w:pgMar w:header="0" w:footer="1304" w:top="1500" w:bottom="1560" w:left="1720" w:right="1260"/>
        </w:sectPr>
      </w:pPr>
    </w:p>
    <w:p>
      <w:pPr>
        <w:pStyle w:val="BodyText"/>
        <w:rPr>
          <w:sz w:val="20"/>
        </w:rPr>
      </w:pPr>
    </w:p>
    <w:p>
      <w:pPr>
        <w:pStyle w:val="BodyText"/>
        <w:spacing w:before="2"/>
        <w:rPr>
          <w:sz w:val="18"/>
        </w:rPr>
      </w:pPr>
    </w:p>
    <w:p>
      <w:pPr>
        <w:pStyle w:val="ListParagraph"/>
        <w:numPr>
          <w:ilvl w:val="0"/>
          <w:numId w:val="6"/>
        </w:numPr>
        <w:tabs>
          <w:tab w:pos="484" w:val="left" w:leader="none"/>
        </w:tabs>
        <w:spacing w:line="480" w:lineRule="auto" w:before="69" w:after="17"/>
        <w:ind w:left="152" w:right="105" w:firstLine="0"/>
        <w:jc w:val="left"/>
        <w:rPr>
          <w:sz w:val="24"/>
        </w:rPr>
      </w:pPr>
      <w:r>
        <w:rPr>
          <w:sz w:val="24"/>
        </w:rPr>
        <w:t>Relaciones entre </w:t>
      </w:r>
      <w:r>
        <w:rPr>
          <w:spacing w:val="-5"/>
          <w:sz w:val="24"/>
        </w:rPr>
        <w:t>la </w:t>
      </w:r>
      <w:r>
        <w:rPr>
          <w:sz w:val="24"/>
        </w:rPr>
        <w:t>intensidad parasitaria de </w:t>
      </w:r>
      <w:r>
        <w:rPr>
          <w:i/>
          <w:sz w:val="24"/>
        </w:rPr>
        <w:t>Tylodelphys </w:t>
      </w:r>
      <w:r>
        <w:rPr>
          <w:sz w:val="24"/>
        </w:rPr>
        <w:t>sp</w:t>
      </w:r>
      <w:r>
        <w:rPr>
          <w:i/>
          <w:sz w:val="24"/>
        </w:rPr>
        <w:t>. </w:t>
      </w:r>
      <w:r>
        <w:rPr>
          <w:sz w:val="24"/>
        </w:rPr>
        <w:t>y los Componentes principales.</w:t>
      </w:r>
    </w:p>
    <w:p>
      <w:pPr>
        <w:pStyle w:val="BodyText"/>
        <w:ind w:left="1482"/>
        <w:rPr>
          <w:sz w:val="20"/>
        </w:rPr>
      </w:pPr>
      <w:r>
        <w:rPr>
          <w:sz w:val="20"/>
        </w:rPr>
        <w:drawing>
          <wp:inline distT="0" distB="0" distL="0" distR="0">
            <wp:extent cx="3923195" cy="3112770"/>
            <wp:effectExtent l="0" t="0" r="0" b="0"/>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11" cstate="print"/>
                    <a:stretch>
                      <a:fillRect/>
                    </a:stretch>
                  </pic:blipFill>
                  <pic:spPr>
                    <a:xfrm>
                      <a:off x="0" y="0"/>
                      <a:ext cx="3923195" cy="3112770"/>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3"/>
        <w:rPr>
          <w:sz w:val="28"/>
        </w:rPr>
      </w:pPr>
      <w:r>
        <w:rPr/>
        <w:drawing>
          <wp:anchor distT="0" distB="0" distL="0" distR="0" allowOverlap="1" layoutInCell="1" locked="0" behindDoc="0" simplePos="0" relativeHeight="1288">
            <wp:simplePos x="0" y="0"/>
            <wp:positionH relativeFrom="page">
              <wp:posOffset>2176145</wp:posOffset>
            </wp:positionH>
            <wp:positionV relativeFrom="paragraph">
              <wp:posOffset>231164</wp:posOffset>
            </wp:positionV>
            <wp:extent cx="3613901" cy="2941224"/>
            <wp:effectExtent l="0" t="0" r="0" b="0"/>
            <wp:wrapTopAndBottom/>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12" cstate="print"/>
                    <a:stretch>
                      <a:fillRect/>
                    </a:stretch>
                  </pic:blipFill>
                  <pic:spPr>
                    <a:xfrm>
                      <a:off x="0" y="0"/>
                      <a:ext cx="3613901" cy="2941224"/>
                    </a:xfrm>
                    <a:prstGeom prst="rect">
                      <a:avLst/>
                    </a:prstGeom>
                  </pic:spPr>
                </pic:pic>
              </a:graphicData>
            </a:graphic>
          </wp:anchor>
        </w:drawing>
      </w:r>
    </w:p>
    <w:p>
      <w:pPr>
        <w:spacing w:after="0"/>
        <w:rPr>
          <w:sz w:val="28"/>
        </w:rPr>
        <w:sectPr>
          <w:pgSz w:w="12240" w:h="15840"/>
          <w:pgMar w:header="0" w:footer="1304" w:top="1500" w:bottom="1560" w:left="1720" w:right="1420"/>
        </w:sectPr>
      </w:pPr>
    </w:p>
    <w:p>
      <w:pPr>
        <w:pStyle w:val="BodyText"/>
        <w:rPr>
          <w:sz w:val="20"/>
        </w:rPr>
      </w:pPr>
    </w:p>
    <w:p>
      <w:pPr>
        <w:pStyle w:val="BodyText"/>
        <w:rPr>
          <w:sz w:val="20"/>
        </w:rPr>
      </w:pPr>
    </w:p>
    <w:p>
      <w:pPr>
        <w:pStyle w:val="BodyText"/>
        <w:spacing w:before="4"/>
        <w:rPr>
          <w:sz w:val="27"/>
        </w:rPr>
      </w:pPr>
    </w:p>
    <w:p>
      <w:pPr>
        <w:pStyle w:val="BodyText"/>
        <w:ind w:left="1146"/>
        <w:rPr>
          <w:sz w:val="20"/>
        </w:rPr>
      </w:pPr>
      <w:r>
        <w:rPr>
          <w:sz w:val="20"/>
        </w:rPr>
        <w:drawing>
          <wp:inline distT="0" distB="0" distL="0" distR="0">
            <wp:extent cx="4359257" cy="3337179"/>
            <wp:effectExtent l="0" t="0" r="0" b="0"/>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13" cstate="print"/>
                    <a:stretch>
                      <a:fillRect/>
                    </a:stretch>
                  </pic:blipFill>
                  <pic:spPr>
                    <a:xfrm>
                      <a:off x="0" y="0"/>
                      <a:ext cx="4359257" cy="3337179"/>
                    </a:xfrm>
                    <a:prstGeom prst="rect">
                      <a:avLst/>
                    </a:prstGeom>
                  </pic:spPr>
                </pic:pic>
              </a:graphicData>
            </a:graphic>
          </wp:inline>
        </w:drawing>
      </w:r>
      <w:r>
        <w:rPr>
          <w:sz w:val="20"/>
        </w:rPr>
      </w:r>
    </w:p>
    <w:p>
      <w:pPr>
        <w:pStyle w:val="BodyText"/>
        <w:rPr>
          <w:sz w:val="20"/>
        </w:rPr>
      </w:pPr>
    </w:p>
    <w:p>
      <w:pPr>
        <w:pStyle w:val="BodyText"/>
        <w:rPr>
          <w:sz w:val="20"/>
        </w:rPr>
      </w:pPr>
    </w:p>
    <w:p>
      <w:pPr>
        <w:spacing w:line="480" w:lineRule="auto" w:before="0" w:after="16"/>
        <w:ind w:left="152" w:right="120" w:firstLine="0"/>
        <w:jc w:val="left"/>
        <w:rPr>
          <w:sz w:val="24"/>
        </w:rPr>
      </w:pPr>
      <w:r>
        <w:rPr>
          <w:sz w:val="24"/>
        </w:rPr>
        <w:t>5. Diferencias en la intensidad parasitaria de </w:t>
      </w:r>
      <w:r>
        <w:rPr>
          <w:i/>
          <w:sz w:val="24"/>
        </w:rPr>
        <w:t>Bothriocephalus acheilognathi </w:t>
      </w:r>
      <w:r>
        <w:rPr>
          <w:sz w:val="24"/>
        </w:rPr>
        <w:t>entre sexo y localidad.</w:t>
      </w:r>
    </w:p>
    <w:p>
      <w:pPr>
        <w:pStyle w:val="BodyText"/>
        <w:ind w:left="1011"/>
        <w:rPr>
          <w:sz w:val="20"/>
        </w:rPr>
      </w:pPr>
      <w:r>
        <w:rPr>
          <w:sz w:val="20"/>
        </w:rPr>
        <w:drawing>
          <wp:inline distT="0" distB="0" distL="0" distR="0">
            <wp:extent cx="4498304" cy="2502217"/>
            <wp:effectExtent l="0" t="0" r="0" b="0"/>
            <wp:docPr id="19" name="image9.png" descr=""/>
            <wp:cNvGraphicFramePr>
              <a:graphicFrameLocks noChangeAspect="1"/>
            </wp:cNvGraphicFramePr>
            <a:graphic>
              <a:graphicData uri="http://schemas.openxmlformats.org/drawingml/2006/picture">
                <pic:pic>
                  <pic:nvPicPr>
                    <pic:cNvPr id="20" name="image9.png"/>
                    <pic:cNvPicPr/>
                  </pic:nvPicPr>
                  <pic:blipFill>
                    <a:blip r:embed="rId14" cstate="print"/>
                    <a:stretch>
                      <a:fillRect/>
                    </a:stretch>
                  </pic:blipFill>
                  <pic:spPr>
                    <a:xfrm>
                      <a:off x="0" y="0"/>
                      <a:ext cx="4498304" cy="2502217"/>
                    </a:xfrm>
                    <a:prstGeom prst="rect">
                      <a:avLst/>
                    </a:prstGeom>
                  </pic:spPr>
                </pic:pic>
              </a:graphicData>
            </a:graphic>
          </wp:inline>
        </w:drawing>
      </w:r>
      <w:r>
        <w:rPr>
          <w:sz w:val="20"/>
        </w:rPr>
      </w:r>
    </w:p>
    <w:p>
      <w:pPr>
        <w:spacing w:after="0"/>
        <w:rPr>
          <w:sz w:val="20"/>
        </w:rPr>
        <w:sectPr>
          <w:pgSz w:w="12240" w:h="15840"/>
          <w:pgMar w:header="0" w:footer="1304" w:top="1500" w:bottom="1560" w:left="1720" w:right="1400"/>
        </w:sectPr>
      </w:pPr>
    </w:p>
    <w:p>
      <w:pPr>
        <w:pStyle w:val="BodyText"/>
        <w:spacing w:before="7"/>
        <w:rPr>
          <w:sz w:val="20"/>
        </w:rPr>
      </w:pPr>
    </w:p>
    <w:p>
      <w:pPr>
        <w:pStyle w:val="BodyText"/>
        <w:spacing w:line="432" w:lineRule="auto" w:before="69"/>
        <w:ind w:left="152" w:right="100"/>
        <w:jc w:val="both"/>
      </w:pPr>
      <w:r>
        <w:rPr/>
        <w:t>Ninguno de los tres componentes principales está sistemáticamente relacionado con la intensidad del parasitaria de </w:t>
      </w:r>
      <w:r>
        <w:rPr>
          <w:i/>
        </w:rPr>
        <w:t>Bothriocephalus acheilognathi </w:t>
      </w:r>
      <w:r>
        <w:rPr/>
        <w:t>(F (3,88) = 2,13, p &gt; 0,05) y la interacción entre los factores tampoco fue significativa (F (3,88) = 1,51, p &gt; 0,05); sin embargo los organismos de San Juanico parecen tener una ligera tendencia a presentar una menor intensidad de éste cestodo respecto a los organismos de Chicnahuapan (Ver Anexo 6).</w:t>
      </w:r>
    </w:p>
    <w:p>
      <w:pPr>
        <w:pStyle w:val="BodyText"/>
      </w:pPr>
    </w:p>
    <w:p>
      <w:pPr>
        <w:pStyle w:val="BodyText"/>
        <w:spacing w:before="10"/>
        <w:rPr>
          <w:sz w:val="19"/>
        </w:rPr>
      </w:pPr>
    </w:p>
    <w:p>
      <w:pPr>
        <w:spacing w:line="434" w:lineRule="auto" w:before="0" w:after="4"/>
        <w:ind w:left="152" w:right="109" w:firstLine="0"/>
        <w:jc w:val="both"/>
        <w:rPr>
          <w:sz w:val="24"/>
        </w:rPr>
      </w:pPr>
      <w:r>
        <w:rPr>
          <w:sz w:val="24"/>
        </w:rPr>
        <w:t>4. Diferencias en </w:t>
      </w:r>
      <w:r>
        <w:rPr>
          <w:spacing w:val="-5"/>
          <w:sz w:val="24"/>
        </w:rPr>
        <w:t>la </w:t>
      </w:r>
      <w:r>
        <w:rPr>
          <w:sz w:val="24"/>
        </w:rPr>
        <w:t>intensidad parasitaria de </w:t>
      </w:r>
      <w:r>
        <w:rPr>
          <w:i/>
          <w:sz w:val="24"/>
        </w:rPr>
        <w:t>Valipora campylacristrota </w:t>
      </w:r>
      <w:r>
        <w:rPr>
          <w:sz w:val="24"/>
        </w:rPr>
        <w:t>de acuerdo </w:t>
      </w:r>
      <w:r>
        <w:rPr>
          <w:spacing w:val="2"/>
          <w:sz w:val="24"/>
        </w:rPr>
        <w:t>al </w:t>
      </w:r>
      <w:r>
        <w:rPr>
          <w:sz w:val="24"/>
        </w:rPr>
        <w:t>sexo y </w:t>
      </w:r>
      <w:r>
        <w:rPr>
          <w:spacing w:val="-3"/>
          <w:sz w:val="24"/>
        </w:rPr>
        <w:t>la </w:t>
      </w:r>
      <w:r>
        <w:rPr>
          <w:sz w:val="24"/>
        </w:rPr>
        <w:t>localidad de </w:t>
      </w:r>
      <w:r>
        <w:rPr>
          <w:i/>
          <w:sz w:val="24"/>
        </w:rPr>
        <w:t>G. multiradiatus</w:t>
      </w:r>
      <w:r>
        <w:rPr>
          <w:sz w:val="24"/>
        </w:rPr>
        <w:t>.</w:t>
      </w:r>
    </w:p>
    <w:p>
      <w:pPr>
        <w:pStyle w:val="BodyText"/>
        <w:ind w:left="968"/>
        <w:rPr>
          <w:sz w:val="20"/>
        </w:rPr>
      </w:pPr>
      <w:r>
        <w:rPr>
          <w:sz w:val="20"/>
        </w:rPr>
        <w:drawing>
          <wp:inline distT="0" distB="0" distL="0" distR="0">
            <wp:extent cx="4580734" cy="2744628"/>
            <wp:effectExtent l="0" t="0" r="0" b="0"/>
            <wp:docPr id="21" name="image10.jpeg" descr=""/>
            <wp:cNvGraphicFramePr>
              <a:graphicFrameLocks noChangeAspect="1"/>
            </wp:cNvGraphicFramePr>
            <a:graphic>
              <a:graphicData uri="http://schemas.openxmlformats.org/drawingml/2006/picture">
                <pic:pic>
                  <pic:nvPicPr>
                    <pic:cNvPr id="22" name="image10.jpeg"/>
                    <pic:cNvPicPr/>
                  </pic:nvPicPr>
                  <pic:blipFill>
                    <a:blip r:embed="rId15" cstate="print"/>
                    <a:stretch>
                      <a:fillRect/>
                    </a:stretch>
                  </pic:blipFill>
                  <pic:spPr>
                    <a:xfrm>
                      <a:off x="0" y="0"/>
                      <a:ext cx="4580734" cy="2744628"/>
                    </a:xfrm>
                    <a:prstGeom prst="rect">
                      <a:avLst/>
                    </a:prstGeom>
                  </pic:spPr>
                </pic:pic>
              </a:graphicData>
            </a:graphic>
          </wp:inline>
        </w:drawing>
      </w:r>
      <w:r>
        <w:rPr>
          <w:sz w:val="20"/>
        </w:rPr>
      </w:r>
    </w:p>
    <w:p>
      <w:pPr>
        <w:pStyle w:val="BodyText"/>
      </w:pPr>
    </w:p>
    <w:p>
      <w:pPr>
        <w:pStyle w:val="BodyText"/>
      </w:pPr>
    </w:p>
    <w:p>
      <w:pPr>
        <w:pStyle w:val="BodyText"/>
        <w:spacing w:line="429" w:lineRule="auto" w:before="165"/>
        <w:ind w:left="152" w:right="99"/>
        <w:jc w:val="both"/>
      </w:pPr>
      <w:r>
        <w:rPr/>
        <w:t>No se encontró influencia de ninguna de </w:t>
      </w:r>
      <w:r>
        <w:rPr>
          <w:spacing w:val="-3"/>
        </w:rPr>
        <w:t>las </w:t>
      </w:r>
      <w:r>
        <w:rPr/>
        <w:t>covariables (Componentes Principales) en </w:t>
      </w:r>
      <w:r>
        <w:rPr>
          <w:spacing w:val="-3"/>
        </w:rPr>
        <w:t>la </w:t>
      </w:r>
      <w:r>
        <w:rPr/>
        <w:t>intensidad parasitaria de </w:t>
      </w:r>
      <w:r>
        <w:rPr>
          <w:i/>
        </w:rPr>
        <w:t>Valipora campylancristrota </w:t>
      </w:r>
      <w:r>
        <w:rPr/>
        <w:t>(F </w:t>
      </w:r>
      <w:r>
        <w:rPr>
          <w:position w:val="-2"/>
          <w:sz w:val="16"/>
        </w:rPr>
        <w:t>3,91</w:t>
      </w:r>
      <w:r>
        <w:rPr/>
        <w:t>=0,31; p&gt;0.05) tampoco se encontró significativa </w:t>
      </w:r>
      <w:r>
        <w:rPr>
          <w:spacing w:val="-5"/>
        </w:rPr>
        <w:t>la </w:t>
      </w:r>
      <w:r>
        <w:rPr/>
        <w:t>interacción de los factores (Sexo-Localidad) (F (3,143) = 0,31, p &gt; 0,05)en </w:t>
      </w:r>
      <w:r>
        <w:rPr>
          <w:spacing w:val="-5"/>
        </w:rPr>
        <w:t>la  </w:t>
      </w:r>
      <w:r>
        <w:rPr/>
        <w:t>intensidad parasitaria de entre </w:t>
      </w:r>
      <w:r>
        <w:rPr>
          <w:spacing w:val="-3"/>
        </w:rPr>
        <w:t>las </w:t>
      </w:r>
      <w:r>
        <w:rPr/>
        <w:t>poblaciones de </w:t>
      </w:r>
      <w:r>
        <w:rPr>
          <w:i/>
        </w:rPr>
        <w:t>G. multiradiatus</w:t>
      </w:r>
      <w:r>
        <w:rPr/>
        <w:t>. (Ver </w:t>
      </w:r>
      <w:r>
        <w:rPr>
          <w:spacing w:val="-3"/>
        </w:rPr>
        <w:t>Anexo  </w:t>
      </w:r>
      <w:r>
        <w:rPr/>
        <w:t>7)</w:t>
      </w:r>
    </w:p>
    <w:p>
      <w:pPr>
        <w:spacing w:after="0" w:line="429" w:lineRule="auto"/>
        <w:jc w:val="both"/>
        <w:sectPr>
          <w:pgSz w:w="12240" w:h="15840"/>
          <w:pgMar w:header="0" w:footer="1304" w:top="1500" w:bottom="1560" w:left="1720" w:right="1420"/>
        </w:sectPr>
      </w:pPr>
    </w:p>
    <w:p>
      <w:pPr>
        <w:pStyle w:val="BodyText"/>
        <w:rPr>
          <w:sz w:val="20"/>
        </w:rPr>
      </w:pPr>
    </w:p>
    <w:p>
      <w:pPr>
        <w:pStyle w:val="BodyText"/>
        <w:rPr>
          <w:sz w:val="20"/>
        </w:rPr>
      </w:pPr>
    </w:p>
    <w:p>
      <w:pPr>
        <w:pStyle w:val="BodyText"/>
        <w:spacing w:before="9"/>
        <w:rPr>
          <w:sz w:val="22"/>
        </w:rPr>
      </w:pPr>
    </w:p>
    <w:p>
      <w:pPr>
        <w:pStyle w:val="Heading1"/>
      </w:pPr>
      <w:bookmarkStart w:name="_TOC_250002" w:id="11"/>
      <w:bookmarkEnd w:id="11"/>
      <w:r>
        <w:rPr/>
        <w:t>DISCUSIÓN</w:t>
      </w:r>
    </w:p>
    <w:p>
      <w:pPr>
        <w:pStyle w:val="BodyText"/>
        <w:rPr>
          <w:b/>
        </w:rPr>
      </w:pPr>
    </w:p>
    <w:p>
      <w:pPr>
        <w:pStyle w:val="BodyText"/>
        <w:rPr>
          <w:b/>
        </w:rPr>
      </w:pPr>
    </w:p>
    <w:p>
      <w:pPr>
        <w:pStyle w:val="BodyText"/>
        <w:spacing w:before="7"/>
        <w:rPr>
          <w:b/>
          <w:sz w:val="23"/>
        </w:rPr>
      </w:pPr>
    </w:p>
    <w:p>
      <w:pPr>
        <w:pStyle w:val="BodyText"/>
        <w:spacing w:line="480" w:lineRule="auto"/>
        <w:ind w:left="152" w:right="99"/>
        <w:jc w:val="both"/>
      </w:pPr>
      <w:r>
        <w:rPr/>
        <w:t>Las condiciones ambientales en cada región es uno de los factores más importantes para analizar, ya que podrían estar moldeando el sistema en cada una de las poblaciones, y por lo tanto parámetros de infección. Se sabe que los ciclos biológicos de cada una de las especies parásitas necesitan requerimientos importantes como la temperatura, el pH, salinidad, profundidad y/o estructura física del ambiente (Wootton,1998, Marcogliese &amp; Cone, 1991) además de influir en la composición de la comunidad componente de los peces de aguas continentales, debido a que pueden tener efecto sobre la accesibilidad de los potenciales hospederos intermediarios; como es el caso de </w:t>
      </w:r>
      <w:r>
        <w:rPr>
          <w:i/>
        </w:rPr>
        <w:t>G. multiradiatus</w:t>
      </w:r>
      <w:r>
        <w:rPr/>
        <w:t>,  estas  cualidades intrínsecas de cada una de las localidades es muy probable que se estén presentando para el caso de </w:t>
      </w:r>
      <w:r>
        <w:rPr>
          <w:i/>
        </w:rPr>
        <w:t>Tylodelphys </w:t>
      </w:r>
      <w:r>
        <w:rPr/>
        <w:t>sp., las altas densidades de cercarias pueden facilitar la infección de </w:t>
      </w:r>
      <w:r>
        <w:rPr>
          <w:i/>
        </w:rPr>
        <w:t>G. </w:t>
      </w:r>
      <w:r>
        <w:rPr>
          <w:i/>
        </w:rPr>
        <w:t>multiradiatus</w:t>
      </w:r>
      <w:r>
        <w:rPr/>
        <w:t>, donde éstos larvas se desarrollan y finalmente llegan hasta su hospedero definitivo, las aves ictiófagas, que permiten que el ciclo de éste parásito sea completado y prácticamente sea una especie parásita cosmopolita. Marcogliese &amp; Cone (1991).</w:t>
      </w:r>
    </w:p>
    <w:p>
      <w:pPr>
        <w:pStyle w:val="BodyText"/>
        <w:spacing w:line="480" w:lineRule="auto" w:before="10"/>
        <w:ind w:left="152" w:right="103"/>
        <w:jc w:val="both"/>
      </w:pPr>
      <w:r>
        <w:rPr/>
        <w:t>Un aspecto importante de la Laguna de Chicnahuapan es la alta densidad y diversidad de aves piscívoras y muchas especies del género </w:t>
      </w:r>
      <w:r>
        <w:rPr>
          <w:i/>
        </w:rPr>
        <w:t>Tylodelphys </w:t>
      </w:r>
      <w:r>
        <w:rPr/>
        <w:t>las parasitan (i.e. </w:t>
      </w:r>
      <w:r>
        <w:rPr>
          <w:i/>
        </w:rPr>
        <w:t>Podilymbus </w:t>
      </w:r>
      <w:r>
        <w:rPr>
          <w:i/>
        </w:rPr>
        <w:t>podiceps</w:t>
      </w:r>
      <w:r>
        <w:rPr/>
        <w:t>;Linneo, 1758). </w:t>
      </w:r>
      <w:r>
        <w:rPr>
          <w:i/>
        </w:rPr>
        <w:t>Tylodelphys </w:t>
      </w:r>
      <w:r>
        <w:rPr/>
        <w:t>sp., ha sido registrada como parte de la helmintofauna de vertebrados acuáticos en la Ciénega del Lerma (Pérez-Ponce de León y León Règagnon, 1992) por lo tanto la abundancia de aves ictiófagas en un cuerpo de agua puede condicionar el número  de especies  parásitas  alogénicas  (Rojas  y colaboradores,  1997),  así como  su</w:t>
      </w:r>
    </w:p>
    <w:p>
      <w:pPr>
        <w:spacing w:after="0" w:line="480" w:lineRule="auto"/>
        <w:jc w:val="both"/>
        <w:sectPr>
          <w:pgSz w:w="12240" w:h="15840"/>
          <w:pgMar w:header="0" w:footer="1304" w:top="1500" w:bottom="1560" w:left="1720" w:right="1420"/>
        </w:sectPr>
      </w:pPr>
    </w:p>
    <w:p>
      <w:pPr>
        <w:pStyle w:val="BodyText"/>
        <w:spacing w:before="7"/>
        <w:rPr>
          <w:sz w:val="20"/>
        </w:rPr>
      </w:pPr>
    </w:p>
    <w:p>
      <w:pPr>
        <w:pStyle w:val="BodyText"/>
        <w:spacing w:line="480" w:lineRule="auto" w:before="69"/>
        <w:ind w:left="152" w:right="124"/>
        <w:jc w:val="both"/>
      </w:pPr>
      <w:r>
        <w:rPr/>
        <w:t>abundancia además de que en un sistema acuático, la vía depredador-presa favorece las formas larvarias que maduran en aves sobre las que maduran en peces (Holmes, 1979).</w:t>
      </w:r>
    </w:p>
    <w:p>
      <w:pPr>
        <w:pStyle w:val="BodyText"/>
        <w:spacing w:line="480" w:lineRule="auto" w:before="10"/>
        <w:ind w:left="152" w:right="119"/>
        <w:jc w:val="both"/>
        <w:rPr>
          <w:i/>
        </w:rPr>
      </w:pPr>
      <w:r>
        <w:rPr/>
        <w:t>Por otra parte las poblaciones de caracoles (hospederos intermediarios de tremátodos) en la Laguna de Chicnahuapan y el embalse San Juanico son grandes y diversas, Barragán-Sáenz (2008), registra a </w:t>
      </w:r>
      <w:r>
        <w:rPr>
          <w:i/>
        </w:rPr>
        <w:t>Lymnaea stagnalis </w:t>
      </w:r>
      <w:r>
        <w:rPr/>
        <w:t>y </w:t>
      </w:r>
      <w:r>
        <w:rPr>
          <w:i/>
        </w:rPr>
        <w:t>Physella cubensis </w:t>
      </w:r>
      <w:r>
        <w:rPr/>
        <w:t>como las especies con mayor riqueza de digéneos para la Laguna de Chicnahuapan, además menciona que ésta riqueza presenta una variación dependiendo de la temporalidad, siendo la temporada de lluvias comparado con la época de sequias la que presenta la mayor riqueza; lo cual explicaría el éxito de la transmisión de trematodos en </w:t>
      </w:r>
      <w:r>
        <w:rPr>
          <w:i/>
        </w:rPr>
        <w:t>G. multiradiatus </w:t>
      </w:r>
      <w:r>
        <w:rPr/>
        <w:t>aunado a que el periodo de mayor producción larvaria se da durante los periodos febrero-abril y agosto-octubre para esta laguna y coincide con la época reproductiva de </w:t>
      </w:r>
      <w:r>
        <w:rPr>
          <w:i/>
        </w:rPr>
        <w:t>G. multiradiatus.</w:t>
      </w:r>
    </w:p>
    <w:p>
      <w:pPr>
        <w:pStyle w:val="BodyText"/>
        <w:spacing w:line="480" w:lineRule="auto" w:before="10"/>
        <w:ind w:left="152" w:right="118"/>
        <w:jc w:val="both"/>
      </w:pPr>
      <w:r>
        <w:rPr/>
        <w:t>Cuando evaluamos si </w:t>
      </w:r>
      <w:r>
        <w:rPr>
          <w:spacing w:val="-3"/>
        </w:rPr>
        <w:t>la </w:t>
      </w:r>
      <w:r>
        <w:rPr/>
        <w:t>intensidad parasitaria de metacercarias de </w:t>
      </w:r>
      <w:r>
        <w:rPr>
          <w:i/>
        </w:rPr>
        <w:t>Tylodelphys </w:t>
      </w:r>
      <w:r>
        <w:rPr/>
        <w:t>sp. difiere respecto a </w:t>
      </w:r>
      <w:r>
        <w:rPr>
          <w:spacing w:val="-5"/>
        </w:rPr>
        <w:t>la </w:t>
      </w:r>
      <w:r>
        <w:rPr/>
        <w:t>talla o longevidad de </w:t>
      </w:r>
      <w:r>
        <w:rPr>
          <w:i/>
        </w:rPr>
        <w:t>G. multiradiatus, </w:t>
      </w:r>
      <w:r>
        <w:rPr/>
        <w:t>observamos que </w:t>
      </w:r>
      <w:r>
        <w:rPr>
          <w:spacing w:val="-5"/>
        </w:rPr>
        <w:t>la </w:t>
      </w:r>
      <w:r>
        <w:rPr/>
        <w:t>intensidad de </w:t>
      </w:r>
      <w:r>
        <w:rPr>
          <w:i/>
        </w:rPr>
        <w:t>Tylodelphys </w:t>
      </w:r>
      <w:r>
        <w:rPr/>
        <w:t>sp. es </w:t>
      </w:r>
      <w:r>
        <w:rPr>
          <w:spacing w:val="-3"/>
        </w:rPr>
        <w:t>mayor </w:t>
      </w:r>
      <w:r>
        <w:rPr/>
        <w:t>en hospederos con mayor talla corporal o </w:t>
      </w:r>
      <w:r>
        <w:rPr>
          <w:spacing w:val="-3"/>
        </w:rPr>
        <w:t>mayor </w:t>
      </w:r>
      <w:r>
        <w:rPr/>
        <w:t>peso, estos resultados coinciden con los reportados por Viozzi y Flores (2002), para </w:t>
      </w:r>
      <w:r>
        <w:rPr>
          <w:i/>
        </w:rPr>
        <w:t>Tylodelphys </w:t>
      </w:r>
      <w:r>
        <w:rPr>
          <w:i/>
        </w:rPr>
        <w:t>destructor</w:t>
      </w:r>
      <w:r>
        <w:rPr/>
        <w:t>, en </w:t>
      </w:r>
      <w:r>
        <w:rPr>
          <w:i/>
        </w:rPr>
        <w:t>Odontesthes hatchery </w:t>
      </w:r>
      <w:r>
        <w:rPr>
          <w:spacing w:val="-3"/>
        </w:rPr>
        <w:t>ya </w:t>
      </w:r>
      <w:r>
        <w:rPr/>
        <w:t>que las mayores intensidades medias de éste parásito fueron registradas en los organismos </w:t>
      </w:r>
      <w:r>
        <w:rPr>
          <w:spacing w:val="-3"/>
        </w:rPr>
        <w:t>más</w:t>
      </w:r>
      <w:r>
        <w:rPr>
          <w:spacing w:val="-21"/>
        </w:rPr>
        <w:t> </w:t>
      </w:r>
      <w:r>
        <w:rPr/>
        <w:t>grandes.</w:t>
      </w:r>
    </w:p>
    <w:p>
      <w:pPr>
        <w:pStyle w:val="BodyText"/>
        <w:spacing w:line="480" w:lineRule="auto" w:before="11"/>
        <w:ind w:left="152" w:right="116"/>
        <w:jc w:val="both"/>
        <w:rPr>
          <w:i/>
        </w:rPr>
      </w:pPr>
      <w:r>
        <w:rPr/>
        <w:t>Para algunos autores </w:t>
      </w:r>
      <w:r>
        <w:rPr>
          <w:spacing w:val="-3"/>
        </w:rPr>
        <w:t>la </w:t>
      </w:r>
      <w:r>
        <w:rPr/>
        <w:t>conducta social y </w:t>
      </w:r>
      <w:r>
        <w:rPr>
          <w:spacing w:val="-3"/>
        </w:rPr>
        <w:t>la </w:t>
      </w:r>
      <w:r>
        <w:rPr/>
        <w:t>distribución espacial de los hospederos son características importantes que pueden permitirnos inferir el por qué los organismos de cierta talla o longevidad sean los que presenten </w:t>
      </w:r>
      <w:r>
        <w:rPr>
          <w:spacing w:val="-5"/>
        </w:rPr>
        <w:t>la </w:t>
      </w:r>
      <w:r>
        <w:rPr>
          <w:spacing w:val="-3"/>
        </w:rPr>
        <w:t>mayor </w:t>
      </w:r>
      <w:r>
        <w:rPr/>
        <w:t>intensidad parasitaria (Guégan y colaboradores, 1992, </w:t>
      </w:r>
      <w:r>
        <w:rPr>
          <w:spacing w:val="-3"/>
        </w:rPr>
        <w:t>Poulin, </w:t>
      </w:r>
      <w:r>
        <w:rPr/>
        <w:t>2007) </w:t>
      </w:r>
      <w:r>
        <w:rPr>
          <w:spacing w:val="-5"/>
        </w:rPr>
        <w:t>ya </w:t>
      </w:r>
      <w:r>
        <w:rPr/>
        <w:t>que diferencias en </w:t>
      </w:r>
      <w:r>
        <w:rPr>
          <w:spacing w:val="-5"/>
        </w:rPr>
        <w:t>la </w:t>
      </w:r>
      <w:r>
        <w:rPr/>
        <w:t>conducta se </w:t>
      </w:r>
      <w:r>
        <w:rPr>
          <w:spacing w:val="-3"/>
        </w:rPr>
        <w:t>ha </w:t>
      </w:r>
      <w:r>
        <w:rPr/>
        <w:t>asociado a </w:t>
      </w:r>
      <w:r>
        <w:rPr>
          <w:spacing w:val="-3"/>
        </w:rPr>
        <w:t>la </w:t>
      </w:r>
      <w:r>
        <w:rPr/>
        <w:t>presencia de parásitos, Reavis y Barrett (2001) observaron que </w:t>
      </w:r>
      <w:r>
        <w:rPr>
          <w:spacing w:val="-3"/>
        </w:rPr>
        <w:t>la </w:t>
      </w:r>
      <w:r>
        <w:rPr/>
        <w:t>conducta de</w:t>
      </w:r>
      <w:r>
        <w:rPr>
          <w:spacing w:val="53"/>
        </w:rPr>
        <w:t> </w:t>
      </w:r>
      <w:r>
        <w:rPr>
          <w:i/>
        </w:rPr>
        <w:t>Canthigaster</w:t>
      </w:r>
    </w:p>
    <w:p>
      <w:pPr>
        <w:spacing w:after="0" w:line="480" w:lineRule="auto"/>
        <w:jc w:val="both"/>
        <w:sectPr>
          <w:pgSz w:w="12240" w:h="15840"/>
          <w:pgMar w:header="0" w:footer="1304" w:top="1500" w:bottom="1560" w:left="1720" w:right="1400"/>
        </w:sectPr>
      </w:pPr>
    </w:p>
    <w:p>
      <w:pPr>
        <w:pStyle w:val="BodyText"/>
        <w:spacing w:before="7"/>
        <w:rPr>
          <w:i/>
          <w:sz w:val="20"/>
        </w:rPr>
      </w:pPr>
    </w:p>
    <w:p>
      <w:pPr>
        <w:pStyle w:val="BodyText"/>
        <w:spacing w:line="480" w:lineRule="auto" w:before="69"/>
        <w:ind w:left="152" w:right="102"/>
        <w:jc w:val="both"/>
      </w:pPr>
      <w:r>
        <w:rPr>
          <w:i/>
        </w:rPr>
        <w:t>jactator </w:t>
      </w:r>
      <w:r>
        <w:rPr/>
        <w:t>(Pisces) varía de acuerdo a </w:t>
      </w:r>
      <w:r>
        <w:rPr>
          <w:spacing w:val="-5"/>
        </w:rPr>
        <w:t>la </w:t>
      </w:r>
      <w:r>
        <w:rPr/>
        <w:t>clase de talla y probablemente al sexo, por ejemplo los hospederos machos con tallas o pesos mayores realizan conductas de “patrullaje” o forrajeo en territorios </w:t>
      </w:r>
      <w:r>
        <w:rPr>
          <w:spacing w:val="-4"/>
        </w:rPr>
        <w:t>más </w:t>
      </w:r>
      <w:r>
        <w:rPr/>
        <w:t>grandes en comparación con los machos </w:t>
      </w:r>
      <w:r>
        <w:rPr>
          <w:spacing w:val="-3"/>
        </w:rPr>
        <w:t>mas </w:t>
      </w:r>
      <w:r>
        <w:rPr/>
        <w:t>chicos que se limitan a nadar en territorios reducidos, esto normalmente sin embargo los peces parasitados de tallas mayores tiene una conducta limitada como los peces chicos y  presentan menos interacciones sociales, para el caso de </w:t>
      </w:r>
      <w:r>
        <w:rPr>
          <w:i/>
        </w:rPr>
        <w:t>G. multiradiatus </w:t>
      </w:r>
      <w:r>
        <w:rPr/>
        <w:t>se </w:t>
      </w:r>
      <w:r>
        <w:rPr>
          <w:spacing w:val="-3"/>
        </w:rPr>
        <w:t>sabe </w:t>
      </w:r>
      <w:r>
        <w:rPr/>
        <w:t>que los machos dominantes son territoriales inspeccionan el territorio </w:t>
      </w:r>
      <w:r>
        <w:rPr>
          <w:spacing w:val="-3"/>
        </w:rPr>
        <w:t>mas </w:t>
      </w:r>
      <w:r>
        <w:rPr/>
        <w:t>que </w:t>
      </w:r>
      <w:r>
        <w:rPr>
          <w:spacing w:val="-3"/>
        </w:rPr>
        <w:t>las </w:t>
      </w:r>
      <w:r>
        <w:rPr/>
        <w:t>hembras y los machos subordinados (Macías-García </w:t>
      </w:r>
      <w:r>
        <w:rPr>
          <w:i/>
        </w:rPr>
        <w:t>et al</w:t>
      </w:r>
      <w:r>
        <w:rPr/>
        <w:t>., 1994) sin embargo los organismos con tallas mayores son </w:t>
      </w:r>
      <w:r>
        <w:rPr>
          <w:spacing w:val="-3"/>
        </w:rPr>
        <w:t>mas </w:t>
      </w:r>
      <w:r>
        <w:rPr/>
        <w:t>vulnerables a depredadores y parásitos; además los casos de infecciones masivas en conjunto con un peso corporal mayor, en peces como el pejerrey </w:t>
      </w:r>
      <w:r>
        <w:rPr>
          <w:spacing w:val="-3"/>
        </w:rPr>
        <w:t>no </w:t>
      </w:r>
      <w:r>
        <w:rPr>
          <w:spacing w:val="-5"/>
        </w:rPr>
        <w:t>le </w:t>
      </w:r>
      <w:r>
        <w:rPr/>
        <w:t>permiten realizar movimientos de natación coordinados, convirtiéndose en presas fáciles para las aves ictiófagas (Szidat &amp; Nani 1951, 1952), </w:t>
      </w:r>
      <w:r>
        <w:rPr>
          <w:spacing w:val="-5"/>
        </w:rPr>
        <w:t>lo </w:t>
      </w:r>
      <w:r>
        <w:rPr/>
        <w:t>que probablemente ocurre de manera similar con </w:t>
      </w:r>
      <w:r>
        <w:rPr>
          <w:i/>
        </w:rPr>
        <w:t>G. multiradiatus </w:t>
      </w:r>
      <w:r>
        <w:rPr>
          <w:spacing w:val="-5"/>
        </w:rPr>
        <w:t>ya </w:t>
      </w:r>
      <w:r>
        <w:rPr/>
        <w:t>que su conducta podría estar jugando un papel importante para que el encuentro con el parásito sea mayor, los factores ecológicos de </w:t>
      </w:r>
      <w:r>
        <w:rPr>
          <w:spacing w:val="-3"/>
        </w:rPr>
        <w:t>la </w:t>
      </w:r>
      <w:r>
        <w:rPr/>
        <w:t>especie podrían permitirnos inferir el por qué de las diferencias en </w:t>
      </w:r>
      <w:r>
        <w:rPr>
          <w:spacing w:val="-3"/>
        </w:rPr>
        <w:t>la </w:t>
      </w:r>
      <w:r>
        <w:rPr/>
        <w:t>intensidad parasitaria que encontramos entre sexos, </w:t>
      </w:r>
      <w:r>
        <w:rPr>
          <w:spacing w:val="-5"/>
        </w:rPr>
        <w:t>la </w:t>
      </w:r>
      <w:r>
        <w:rPr/>
        <w:t>territorialidad de los machos y </w:t>
      </w:r>
      <w:r>
        <w:rPr>
          <w:spacing w:val="-3"/>
        </w:rPr>
        <w:t>la </w:t>
      </w:r>
      <w:r>
        <w:rPr/>
        <w:t>vagilidad de las hembras de </w:t>
      </w:r>
      <w:r>
        <w:rPr>
          <w:spacing w:val="-3"/>
        </w:rPr>
        <w:t>la </w:t>
      </w:r>
      <w:r>
        <w:rPr/>
        <w:t>especie incrementa </w:t>
      </w:r>
      <w:r>
        <w:rPr>
          <w:spacing w:val="-5"/>
        </w:rPr>
        <w:t>la </w:t>
      </w:r>
      <w:r>
        <w:rPr/>
        <w:t>probabilidad de encuentro con </w:t>
      </w:r>
      <w:r>
        <w:rPr>
          <w:spacing w:val="-4"/>
        </w:rPr>
        <w:t>las </w:t>
      </w:r>
      <w:r>
        <w:rPr/>
        <w:t>formas infectantes de éste parásito, aunado a que dos de los aspectos clave que influyen en </w:t>
      </w:r>
      <w:r>
        <w:rPr>
          <w:spacing w:val="-5"/>
        </w:rPr>
        <w:t>la </w:t>
      </w:r>
      <w:r>
        <w:rPr/>
        <w:t>evolución de </w:t>
      </w:r>
      <w:r>
        <w:rPr>
          <w:spacing w:val="-5"/>
        </w:rPr>
        <w:t>la </w:t>
      </w:r>
      <w:r>
        <w:rPr/>
        <w:t>especificidad hospedera  es </w:t>
      </w:r>
      <w:r>
        <w:rPr>
          <w:spacing w:val="-3"/>
        </w:rPr>
        <w:t>la </w:t>
      </w:r>
      <w:r>
        <w:rPr/>
        <w:t>talla corporal o longevidad. Zuk (1990) menciona que </w:t>
      </w:r>
      <w:r>
        <w:rPr>
          <w:spacing w:val="-3"/>
        </w:rPr>
        <w:t>la </w:t>
      </w:r>
      <w:r>
        <w:rPr/>
        <w:t>ecología de los machos y hembras es diferente y por </w:t>
      </w:r>
      <w:r>
        <w:rPr>
          <w:spacing w:val="-5"/>
        </w:rPr>
        <w:t>lo </w:t>
      </w:r>
      <w:r>
        <w:rPr/>
        <w:t>tanto los patrones de infección dependientes del sexo, sin embargo </w:t>
      </w:r>
      <w:r>
        <w:rPr>
          <w:spacing w:val="-5"/>
        </w:rPr>
        <w:t>la </w:t>
      </w:r>
      <w:r>
        <w:rPr/>
        <w:t>mayoría de autores (Hauschka, 1947; Goble y Konopka, 1973; Alexander,  1979; Daly &amp; Wilson, 1983; Bundy, 1989 y Alexander y Stimson, 1989) concluyen que</w:t>
      </w:r>
      <w:r>
        <w:rPr>
          <w:spacing w:val="30"/>
        </w:rPr>
        <w:t> </w:t>
      </w:r>
      <w:r>
        <w:rPr/>
        <w:t>los</w:t>
      </w:r>
    </w:p>
    <w:p>
      <w:pPr>
        <w:spacing w:after="0" w:line="480" w:lineRule="auto"/>
        <w:jc w:val="both"/>
        <w:sectPr>
          <w:pgSz w:w="12240" w:h="15840"/>
          <w:pgMar w:header="0" w:footer="1304" w:top="1500" w:bottom="1560" w:left="1720" w:right="1420"/>
        </w:sectPr>
      </w:pPr>
    </w:p>
    <w:p>
      <w:pPr>
        <w:pStyle w:val="BodyText"/>
        <w:spacing w:before="7"/>
        <w:rPr>
          <w:sz w:val="20"/>
        </w:rPr>
      </w:pPr>
    </w:p>
    <w:p>
      <w:pPr>
        <w:pStyle w:val="BodyText"/>
        <w:spacing w:line="480" w:lineRule="auto" w:before="69"/>
        <w:ind w:left="152" w:right="122"/>
        <w:jc w:val="both"/>
      </w:pPr>
      <w:r>
        <w:rPr/>
        <w:t>machos de muchas especies son generalmente </w:t>
      </w:r>
      <w:r>
        <w:rPr>
          <w:spacing w:val="-3"/>
        </w:rPr>
        <w:t>más </w:t>
      </w:r>
      <w:r>
        <w:rPr/>
        <w:t>susceptibles al parasitismo, </w:t>
      </w:r>
      <w:r>
        <w:rPr>
          <w:spacing w:val="-3"/>
        </w:rPr>
        <w:t>no </w:t>
      </w:r>
      <w:r>
        <w:rPr/>
        <w:t>obstante </w:t>
      </w:r>
      <w:r>
        <w:rPr>
          <w:spacing w:val="-3"/>
        </w:rPr>
        <w:t>la </w:t>
      </w:r>
      <w:r>
        <w:rPr/>
        <w:t>selección natural actúa de manera diferente en machos y hembras cuando </w:t>
      </w:r>
      <w:r>
        <w:rPr>
          <w:spacing w:val="-5"/>
        </w:rPr>
        <w:t>la </w:t>
      </w:r>
      <w:r>
        <w:rPr/>
        <w:t>hembras asignan energía en </w:t>
      </w:r>
      <w:r>
        <w:rPr>
          <w:spacing w:val="-3"/>
        </w:rPr>
        <w:t>la </w:t>
      </w:r>
      <w:r>
        <w:rPr/>
        <w:t>reproducción este periodo de estrés, podría estar influyendo en el caso de nuestra especie hospedera, </w:t>
      </w:r>
      <w:r>
        <w:rPr>
          <w:i/>
        </w:rPr>
        <w:t>G. multiradiatus</w:t>
      </w:r>
      <w:r>
        <w:rPr/>
        <w:t>, aunado a que es una especie con dimorfismo sexual </w:t>
      </w:r>
      <w:r>
        <w:rPr>
          <w:spacing w:val="-5"/>
        </w:rPr>
        <w:t>lo </w:t>
      </w:r>
      <w:r>
        <w:rPr/>
        <w:t>que significa que las hembras presentan tallas mayores respecto a los machos mientras que éstos presentan aletas impares grandes y coloridas (Macías Garcia,1991), que son ornamentos sexualmente seleccionados y aumentan el riesgo de ser depredados o parasitados; aunque los procesos de localización de hospederos por parte de los estadios de vida libre de los helmintos han sido poco estudiados se sabe que responden a estímulos ambientales y a señales químicas emitidas por el propio hospedero (Haas </w:t>
      </w:r>
      <w:r>
        <w:rPr>
          <w:i/>
        </w:rPr>
        <w:t>et al</w:t>
      </w:r>
      <w:r>
        <w:rPr/>
        <w:t>., 1995) y algunos estadios larvarios muestran geotaxia negativa y fototaxia positva (Behrens y Nollen, 1992; Nollen, 1994), por </w:t>
      </w:r>
      <w:r>
        <w:rPr>
          <w:spacing w:val="-5"/>
        </w:rPr>
        <w:t>lo </w:t>
      </w:r>
      <w:r>
        <w:rPr/>
        <w:t>tanto podrían estar siendo promovidos por </w:t>
      </w:r>
      <w:r>
        <w:rPr>
          <w:spacing w:val="-3"/>
        </w:rPr>
        <w:t>la </w:t>
      </w:r>
      <w:r>
        <w:rPr/>
        <w:t>intensidad</w:t>
      </w:r>
      <w:r>
        <w:rPr>
          <w:spacing w:val="15"/>
        </w:rPr>
        <w:t> </w:t>
      </w:r>
      <w:r>
        <w:rPr/>
        <w:t>de</w:t>
      </w:r>
      <w:r>
        <w:rPr>
          <w:spacing w:val="19"/>
        </w:rPr>
        <w:t> </w:t>
      </w:r>
      <w:r>
        <w:rPr/>
        <w:t>los</w:t>
      </w:r>
      <w:r>
        <w:rPr>
          <w:spacing w:val="13"/>
        </w:rPr>
        <w:t> </w:t>
      </w:r>
      <w:r>
        <w:rPr/>
        <w:t>parches</w:t>
      </w:r>
      <w:r>
        <w:rPr>
          <w:spacing w:val="13"/>
        </w:rPr>
        <w:t> </w:t>
      </w:r>
      <w:r>
        <w:rPr/>
        <w:t>amarillos</w:t>
      </w:r>
      <w:r>
        <w:rPr>
          <w:spacing w:val="13"/>
        </w:rPr>
        <w:t> </w:t>
      </w:r>
      <w:r>
        <w:rPr/>
        <w:t>en</w:t>
      </w:r>
      <w:r>
        <w:rPr>
          <w:spacing w:val="15"/>
        </w:rPr>
        <w:t> </w:t>
      </w:r>
      <w:r>
        <w:rPr/>
        <w:t>las</w:t>
      </w:r>
      <w:r>
        <w:rPr>
          <w:spacing w:val="13"/>
        </w:rPr>
        <w:t> </w:t>
      </w:r>
      <w:r>
        <w:rPr/>
        <w:t>aletas</w:t>
      </w:r>
      <w:r>
        <w:rPr>
          <w:spacing w:val="13"/>
        </w:rPr>
        <w:t> </w:t>
      </w:r>
      <w:r>
        <w:rPr/>
        <w:t>dorsal</w:t>
      </w:r>
      <w:r>
        <w:rPr>
          <w:spacing w:val="11"/>
        </w:rPr>
        <w:t> </w:t>
      </w:r>
      <w:r>
        <w:rPr/>
        <w:t>y</w:t>
      </w:r>
      <w:r>
        <w:rPr>
          <w:spacing w:val="10"/>
        </w:rPr>
        <w:t> </w:t>
      </w:r>
      <w:r>
        <w:rPr/>
        <w:t>anal</w:t>
      </w:r>
      <w:r>
        <w:rPr>
          <w:spacing w:val="16"/>
        </w:rPr>
        <w:t> </w:t>
      </w:r>
      <w:r>
        <w:rPr/>
        <w:t>y</w:t>
      </w:r>
      <w:r>
        <w:rPr>
          <w:spacing w:val="10"/>
        </w:rPr>
        <w:t> </w:t>
      </w:r>
      <w:r>
        <w:rPr/>
        <w:t>reflectancia</w:t>
      </w:r>
      <w:r>
        <w:rPr>
          <w:spacing w:val="14"/>
        </w:rPr>
        <w:t> </w:t>
      </w:r>
      <w:r>
        <w:rPr/>
        <w:t>UV</w:t>
      </w:r>
      <w:r>
        <w:rPr>
          <w:spacing w:val="15"/>
        </w:rPr>
        <w:t> </w:t>
      </w:r>
      <w:r>
        <w:rPr/>
        <w:t>propia</w:t>
      </w:r>
      <w:r>
        <w:rPr>
          <w:spacing w:val="14"/>
        </w:rPr>
        <w:t> </w:t>
      </w:r>
      <w:r>
        <w:rPr/>
        <w:t>de</w:t>
      </w:r>
    </w:p>
    <w:p>
      <w:pPr>
        <w:pStyle w:val="ListParagraph"/>
        <w:numPr>
          <w:ilvl w:val="0"/>
          <w:numId w:val="7"/>
        </w:numPr>
        <w:tabs>
          <w:tab w:pos="499" w:val="left" w:leader="none"/>
        </w:tabs>
        <w:spacing w:line="480" w:lineRule="auto" w:before="10" w:after="0"/>
        <w:ind w:left="152" w:right="131" w:firstLine="0"/>
        <w:jc w:val="both"/>
        <w:rPr>
          <w:sz w:val="24"/>
        </w:rPr>
      </w:pPr>
      <w:r>
        <w:rPr>
          <w:i/>
          <w:sz w:val="24"/>
        </w:rPr>
        <w:t>multiradiatus </w:t>
      </w:r>
      <w:r>
        <w:rPr>
          <w:sz w:val="24"/>
        </w:rPr>
        <w:t>(Macías Garcia y Burt de Perera, 2002 y Arellano-Aguilar y Macías- García,</w:t>
      </w:r>
      <w:r>
        <w:rPr>
          <w:spacing w:val="-6"/>
          <w:sz w:val="24"/>
        </w:rPr>
        <w:t> </w:t>
      </w:r>
      <w:r>
        <w:rPr>
          <w:sz w:val="24"/>
        </w:rPr>
        <w:t>2008)</w:t>
      </w:r>
    </w:p>
    <w:p>
      <w:pPr>
        <w:pStyle w:val="BodyText"/>
        <w:spacing w:line="480" w:lineRule="auto" w:before="10"/>
        <w:ind w:left="152" w:right="119"/>
        <w:jc w:val="both"/>
      </w:pPr>
      <w:r>
        <w:rPr/>
        <w:t>Aunque los resultados </w:t>
      </w:r>
      <w:r>
        <w:rPr>
          <w:spacing w:val="-3"/>
        </w:rPr>
        <w:t>no </w:t>
      </w:r>
      <w:r>
        <w:rPr/>
        <w:t>mostraron claras diferencias en </w:t>
      </w:r>
      <w:r>
        <w:rPr>
          <w:spacing w:val="-5"/>
        </w:rPr>
        <w:t>la </w:t>
      </w:r>
      <w:r>
        <w:rPr/>
        <w:t>intensidad de </w:t>
      </w:r>
      <w:r>
        <w:rPr>
          <w:i/>
        </w:rPr>
        <w:t>Bothriocephalus </w:t>
      </w:r>
      <w:r>
        <w:rPr>
          <w:i/>
        </w:rPr>
        <w:t>acheilognathi </w:t>
      </w:r>
      <w:r>
        <w:rPr/>
        <w:t>entre poblaciones es interesante considerar que éste parasito puede tener un rol muy importante en </w:t>
      </w:r>
      <w:r>
        <w:rPr>
          <w:spacing w:val="-3"/>
        </w:rPr>
        <w:t>la </w:t>
      </w:r>
      <w:r>
        <w:rPr/>
        <w:t>historia de vida de </w:t>
      </w:r>
      <w:r>
        <w:rPr>
          <w:i/>
        </w:rPr>
        <w:t>G. multiradiatus</w:t>
      </w:r>
      <w:r>
        <w:rPr/>
        <w:t>, puesto que </w:t>
      </w:r>
      <w:r>
        <w:rPr>
          <w:spacing w:val="-3"/>
        </w:rPr>
        <w:t>la </w:t>
      </w:r>
      <w:r>
        <w:rPr/>
        <w:t>talla corporal  de estos hospederos resulta un factor importante para que se </w:t>
      </w:r>
      <w:r>
        <w:rPr>
          <w:spacing w:val="-3"/>
        </w:rPr>
        <w:t>lleve </w:t>
      </w:r>
      <w:r>
        <w:rPr/>
        <w:t>a cabo </w:t>
      </w:r>
      <w:r>
        <w:rPr>
          <w:spacing w:val="-5"/>
        </w:rPr>
        <w:t>la </w:t>
      </w:r>
      <w:r>
        <w:rPr/>
        <w:t>infección,  </w:t>
      </w:r>
      <w:r>
        <w:rPr>
          <w:spacing w:val="-5"/>
        </w:rPr>
        <w:t>lo  </w:t>
      </w:r>
      <w:r>
        <w:rPr/>
        <w:t>que de alguna manera podría ejercer una gran presión sobre </w:t>
      </w:r>
      <w:r>
        <w:rPr>
          <w:spacing w:val="-5"/>
        </w:rPr>
        <w:t>la </w:t>
      </w:r>
      <w:r>
        <w:rPr/>
        <w:t>reproducción de este</w:t>
      </w:r>
      <w:r>
        <w:rPr>
          <w:spacing w:val="-11"/>
        </w:rPr>
        <w:t> </w:t>
      </w:r>
      <w:r>
        <w:rPr/>
        <w:t>pez.</w:t>
      </w:r>
    </w:p>
    <w:p>
      <w:pPr>
        <w:pStyle w:val="BodyText"/>
        <w:spacing w:line="480" w:lineRule="auto" w:before="10"/>
        <w:ind w:left="152" w:right="116"/>
        <w:jc w:val="both"/>
      </w:pPr>
      <w:r>
        <w:rPr/>
        <w:t>Aunado a lo anterior, la importancia de este parásito en México ha sido registrada, ya que desde  su  introducción  a  nuestro  país  junto  con  la  carpa  herbívora  </w:t>
      </w:r>
      <w:r>
        <w:rPr>
          <w:i/>
        </w:rPr>
        <w:t>C.  idellus  </w:t>
      </w:r>
      <w:r>
        <w:rPr/>
        <w:t>(López-</w:t>
      </w:r>
    </w:p>
    <w:p>
      <w:pPr>
        <w:spacing w:after="0" w:line="480" w:lineRule="auto"/>
        <w:jc w:val="both"/>
        <w:sectPr>
          <w:pgSz w:w="12240" w:h="15840"/>
          <w:pgMar w:header="0" w:footer="1304" w:top="1500" w:bottom="1560" w:left="1720" w:right="1400"/>
        </w:sectPr>
      </w:pPr>
    </w:p>
    <w:p>
      <w:pPr>
        <w:pStyle w:val="BodyText"/>
        <w:spacing w:before="7"/>
        <w:rPr>
          <w:sz w:val="20"/>
        </w:rPr>
      </w:pPr>
    </w:p>
    <w:p>
      <w:pPr>
        <w:pStyle w:val="BodyText"/>
        <w:spacing w:line="480" w:lineRule="auto" w:before="69"/>
        <w:ind w:left="152" w:right="100"/>
      </w:pPr>
      <w:r>
        <w:rPr/>
        <w:t>Jiménez, 1981), éste cestodo </w:t>
      </w:r>
      <w:r>
        <w:rPr>
          <w:spacing w:val="-3"/>
        </w:rPr>
        <w:t>ha </w:t>
      </w:r>
      <w:r>
        <w:rPr/>
        <w:t>invadido especies de peces endémicos y nativos. Se </w:t>
      </w:r>
      <w:r>
        <w:rPr>
          <w:spacing w:val="-3"/>
        </w:rPr>
        <w:t>sabe </w:t>
      </w:r>
      <w:r>
        <w:rPr/>
        <w:t>que parasita un gran número de especies en </w:t>
      </w:r>
      <w:r>
        <w:rPr>
          <w:spacing w:val="-5"/>
        </w:rPr>
        <w:t>la </w:t>
      </w:r>
      <w:r>
        <w:rPr/>
        <w:t>cuenca del río Balsas en el sur de México y  </w:t>
      </w:r>
      <w:r>
        <w:rPr>
          <w:spacing w:val="-3"/>
        </w:rPr>
        <w:t>la </w:t>
      </w:r>
      <w:r>
        <w:rPr/>
        <w:t>cuenca del río Lerma- Santiago en el centro de México y </w:t>
      </w:r>
      <w:r>
        <w:rPr>
          <w:spacing w:val="-3"/>
        </w:rPr>
        <w:t>la </w:t>
      </w:r>
      <w:r>
        <w:rPr/>
        <w:t>zona neártica, incluyendo </w:t>
      </w:r>
      <w:r>
        <w:rPr>
          <w:spacing w:val="-3"/>
        </w:rPr>
        <w:t>la </w:t>
      </w:r>
      <w:r>
        <w:rPr/>
        <w:t>cuenca del río Lerma-Santiago (Salgado-Maldonado </w:t>
      </w:r>
      <w:r>
        <w:rPr>
          <w:i/>
        </w:rPr>
        <w:t>et al</w:t>
      </w:r>
      <w:r>
        <w:rPr/>
        <w:t>., 2001). Ya que es una especie generalista es capaz de </w:t>
      </w:r>
      <w:r>
        <w:rPr>
          <w:spacing w:val="-3"/>
        </w:rPr>
        <w:t>invadir </w:t>
      </w:r>
      <w:r>
        <w:rPr/>
        <w:t>una variedad de hospederos definitivos o intermediarios. Considerando que los copépodos intermediarios están ampliamente distribuidos en México, favoreciendo su dispersión, debe ser analizado </w:t>
      </w:r>
      <w:r>
        <w:rPr>
          <w:spacing w:val="-3"/>
        </w:rPr>
        <w:t>de </w:t>
      </w:r>
      <w:r>
        <w:rPr/>
        <w:t>manera </w:t>
      </w:r>
      <w:r>
        <w:rPr>
          <w:spacing w:val="-3"/>
        </w:rPr>
        <w:t>más </w:t>
      </w:r>
      <w:r>
        <w:rPr/>
        <w:t>puntal el efecto sobre </w:t>
      </w:r>
      <w:r>
        <w:rPr>
          <w:spacing w:val="-3"/>
        </w:rPr>
        <w:t>las </w:t>
      </w:r>
      <w:r>
        <w:rPr/>
        <w:t>poblaciones fragmentadas de </w:t>
      </w:r>
      <w:r>
        <w:rPr>
          <w:i/>
        </w:rPr>
        <w:t>G. multiradiatus</w:t>
      </w:r>
      <w:r>
        <w:rPr/>
        <w:t>, </w:t>
      </w:r>
      <w:r>
        <w:rPr>
          <w:spacing w:val="-3"/>
        </w:rPr>
        <w:t>ya </w:t>
      </w:r>
      <w:r>
        <w:rPr/>
        <w:t>que representa una amenaza potencial para los peces nativos mexicanos y se </w:t>
      </w:r>
      <w:r>
        <w:rPr>
          <w:spacing w:val="-3"/>
        </w:rPr>
        <w:t>ha </w:t>
      </w:r>
      <w:r>
        <w:rPr/>
        <w:t>observado que para algunas especies de peces su patología es asociada con altas intensidades parasitarias (Salgado-Maldonado </w:t>
      </w:r>
      <w:r>
        <w:rPr>
          <w:i/>
        </w:rPr>
        <w:t>et al</w:t>
      </w:r>
      <w:r>
        <w:rPr/>
        <w:t>., 2001). La tercera especie parásita </w:t>
      </w:r>
      <w:r>
        <w:rPr>
          <w:spacing w:val="-3"/>
        </w:rPr>
        <w:t>más </w:t>
      </w:r>
      <w:r>
        <w:rPr/>
        <w:t>abundante </w:t>
      </w:r>
      <w:r>
        <w:rPr>
          <w:spacing w:val="-3"/>
        </w:rPr>
        <w:t>fue </w:t>
      </w:r>
      <w:r>
        <w:rPr>
          <w:i/>
        </w:rPr>
        <w:t>Valipora campylancristrota </w:t>
      </w:r>
      <w:r>
        <w:rPr/>
        <w:t>y para ésta especie parásita, </w:t>
      </w:r>
      <w:r>
        <w:rPr>
          <w:spacing w:val="-3"/>
        </w:rPr>
        <w:t>no </w:t>
      </w:r>
      <w:r>
        <w:rPr/>
        <w:t>encontramos diferencias significativas en la intensidad que se presenta en ambas poblaciones, </w:t>
      </w:r>
      <w:r>
        <w:rPr>
          <w:spacing w:val="-5"/>
        </w:rPr>
        <w:t>la </w:t>
      </w:r>
      <w:r>
        <w:rPr/>
        <w:t>población de </w:t>
      </w:r>
      <w:r>
        <w:rPr>
          <w:i/>
        </w:rPr>
        <w:t>G.multiradiatus </w:t>
      </w:r>
      <w:r>
        <w:rPr/>
        <w:t>de </w:t>
      </w:r>
      <w:r>
        <w:rPr>
          <w:spacing w:val="-5"/>
        </w:rPr>
        <w:t>la </w:t>
      </w:r>
      <w:r>
        <w:rPr/>
        <w:t>localidad de San Juanico pareciera presentar una </w:t>
      </w:r>
      <w:r>
        <w:rPr>
          <w:spacing w:val="-3"/>
        </w:rPr>
        <w:t>mayor </w:t>
      </w:r>
      <w:r>
        <w:rPr/>
        <w:t>intensidad parasitaria respecto a </w:t>
      </w:r>
      <w:r>
        <w:rPr>
          <w:spacing w:val="-3"/>
        </w:rPr>
        <w:t>la </w:t>
      </w:r>
      <w:r>
        <w:rPr/>
        <w:t>Población de Chicnahuapan, sin embargo Sánchez-Nava (2004) registra a esta especie como dominante para esta localidad, </w:t>
      </w:r>
      <w:r>
        <w:rPr>
          <w:spacing w:val="-5"/>
        </w:rPr>
        <w:t>la </w:t>
      </w:r>
      <w:r>
        <w:rPr/>
        <w:t>ecología de ésta especie podría permitirnos entender esta variación,  </w:t>
      </w:r>
      <w:r>
        <w:rPr>
          <w:spacing w:val="-3"/>
        </w:rPr>
        <w:t>ya </w:t>
      </w:r>
      <w:r>
        <w:rPr/>
        <w:t>que es un parásito que requiere un copépodo (por ejemplo, </w:t>
      </w:r>
      <w:r>
        <w:rPr>
          <w:i/>
        </w:rPr>
        <w:t>Eudiaptomus graciloides</w:t>
      </w:r>
      <w:r>
        <w:rPr/>
        <w:t>) como primer hospedero intermediario (Jarecka,1970), esto </w:t>
      </w:r>
      <w:r>
        <w:rPr>
          <w:spacing w:val="-3"/>
        </w:rPr>
        <w:t>podría </w:t>
      </w:r>
      <w:r>
        <w:rPr/>
        <w:t>estar permitiendo su amplia diseminación y distribución geográfica, sin embargo </w:t>
      </w:r>
      <w:r>
        <w:rPr>
          <w:spacing w:val="-3"/>
        </w:rPr>
        <w:t>no </w:t>
      </w:r>
      <w:r>
        <w:rPr/>
        <w:t>se tienen estudios sobre </w:t>
      </w:r>
      <w:r>
        <w:rPr>
          <w:spacing w:val="-3"/>
        </w:rPr>
        <w:t>la </w:t>
      </w:r>
      <w:r>
        <w:rPr/>
        <w:t>composición planctónica del embalse San Juanico, pero podríamos inferir que </w:t>
      </w:r>
      <w:r>
        <w:rPr>
          <w:spacing w:val="-5"/>
        </w:rPr>
        <w:t>la </w:t>
      </w:r>
      <w:r>
        <w:rPr/>
        <w:t>presencia de primeros hospederos en ésta localidad es mayor, o bien </w:t>
      </w:r>
      <w:r>
        <w:rPr>
          <w:spacing w:val="-5"/>
        </w:rPr>
        <w:t>la </w:t>
      </w:r>
      <w:r>
        <w:rPr/>
        <w:t>interacción entre dos especies parásitas  abundantes  como   </w:t>
      </w:r>
      <w:r>
        <w:rPr>
          <w:spacing w:val="-5"/>
        </w:rPr>
        <w:t>lo   </w:t>
      </w:r>
      <w:r>
        <w:rPr/>
        <w:t>son   </w:t>
      </w:r>
      <w:r>
        <w:rPr>
          <w:i/>
        </w:rPr>
        <w:t>V.   Campylancristrota   </w:t>
      </w:r>
      <w:r>
        <w:rPr/>
        <w:t>y  </w:t>
      </w:r>
      <w:r>
        <w:rPr>
          <w:i/>
        </w:rPr>
        <w:t>Tylodelphys  </w:t>
      </w:r>
      <w:r>
        <w:rPr/>
        <w:t>sp</w:t>
      </w:r>
      <w:r>
        <w:rPr>
          <w:i/>
        </w:rPr>
        <w:t>.</w:t>
      </w:r>
      <w:r>
        <w:rPr/>
        <w:t>,   </w:t>
      </w:r>
      <w:r>
        <w:rPr>
          <w:spacing w:val="-3"/>
        </w:rPr>
        <w:t>no</w:t>
      </w:r>
      <w:r>
        <w:rPr>
          <w:spacing w:val="53"/>
        </w:rPr>
        <w:t> </w:t>
      </w:r>
      <w:r>
        <w:rPr/>
        <w:t>son</w:t>
      </w:r>
    </w:p>
    <w:p>
      <w:pPr>
        <w:spacing w:after="0" w:line="480" w:lineRule="auto"/>
        <w:sectPr>
          <w:pgSz w:w="12240" w:h="15840"/>
          <w:pgMar w:header="0" w:footer="1304" w:top="1500" w:bottom="1560" w:left="1720" w:right="1420"/>
        </w:sectPr>
      </w:pPr>
    </w:p>
    <w:p>
      <w:pPr>
        <w:pStyle w:val="BodyText"/>
        <w:spacing w:before="7"/>
        <w:rPr>
          <w:sz w:val="20"/>
        </w:rPr>
      </w:pPr>
    </w:p>
    <w:p>
      <w:pPr>
        <w:pStyle w:val="BodyText"/>
        <w:spacing w:line="480" w:lineRule="auto" w:before="69"/>
        <w:ind w:left="152" w:right="107"/>
        <w:jc w:val="both"/>
      </w:pPr>
      <w:r>
        <w:rPr/>
        <w:t>competitivas entre sí, mientras ésta última es mas abundante en Chicnahuapan, </w:t>
      </w:r>
      <w:r>
        <w:rPr>
          <w:i/>
        </w:rPr>
        <w:t>V. </w:t>
      </w:r>
      <w:r>
        <w:rPr>
          <w:i/>
        </w:rPr>
        <w:t>campylancristrota </w:t>
      </w:r>
      <w:r>
        <w:rPr/>
        <w:t>está presente todo el año, sin embargo presenta variaciones estacionales, siendo más abundante en los meses cálidos, para el embalse San Juanico.</w:t>
      </w:r>
    </w:p>
    <w:p>
      <w:pPr>
        <w:pStyle w:val="BodyText"/>
        <w:spacing w:line="480" w:lineRule="auto" w:before="10"/>
        <w:ind w:left="152" w:right="102"/>
        <w:jc w:val="both"/>
      </w:pPr>
      <w:r>
        <w:rPr/>
        <w:t>Los parámetros fisicoquímicos del embalse también podrían estar jugando  un  rol importante en el éxito de esta especie parásita, sobre todo </w:t>
      </w:r>
      <w:r>
        <w:rPr>
          <w:spacing w:val="-5"/>
        </w:rPr>
        <w:t>la </w:t>
      </w:r>
      <w:r>
        <w:rPr/>
        <w:t>temperatura </w:t>
      </w:r>
      <w:r>
        <w:rPr>
          <w:spacing w:val="-5"/>
        </w:rPr>
        <w:t>ya </w:t>
      </w:r>
      <w:r>
        <w:rPr/>
        <w:t>que es un requerimiento para que el </w:t>
      </w:r>
      <w:r>
        <w:rPr>
          <w:spacing w:val="-3"/>
        </w:rPr>
        <w:t>ciclo </w:t>
      </w:r>
      <w:r>
        <w:rPr/>
        <w:t>de vida de éste parásito se </w:t>
      </w:r>
      <w:r>
        <w:rPr>
          <w:spacing w:val="-3"/>
        </w:rPr>
        <w:t>lleve </w:t>
      </w:r>
      <w:r>
        <w:rPr/>
        <w:t>a cabo exitosamente, </w:t>
      </w:r>
      <w:r>
        <w:rPr>
          <w:spacing w:val="-5"/>
        </w:rPr>
        <w:t>ya </w:t>
      </w:r>
      <w:r>
        <w:rPr/>
        <w:t>que una temperatura ideal oscila entre los 17-25º C para que </w:t>
      </w:r>
      <w:r>
        <w:rPr>
          <w:spacing w:val="-3"/>
        </w:rPr>
        <w:t>las </w:t>
      </w:r>
      <w:r>
        <w:rPr/>
        <w:t>larvas (plerocercoides)  parásitas que son consumidas por </w:t>
      </w:r>
      <w:r>
        <w:rPr>
          <w:spacing w:val="-3"/>
        </w:rPr>
        <w:t>las </w:t>
      </w:r>
      <w:r>
        <w:rPr/>
        <w:t>carpas o por </w:t>
      </w:r>
      <w:r>
        <w:rPr>
          <w:i/>
        </w:rPr>
        <w:t>G. multiradiatus </w:t>
      </w:r>
      <w:r>
        <w:rPr/>
        <w:t>y migren del lumen intestinal de éste segundo hospedero a </w:t>
      </w:r>
      <w:r>
        <w:rPr>
          <w:spacing w:val="-3"/>
        </w:rPr>
        <w:t>la </w:t>
      </w:r>
      <w:r>
        <w:rPr/>
        <w:t>vesícula (Scholz </w:t>
      </w:r>
      <w:r>
        <w:rPr>
          <w:i/>
        </w:rPr>
        <w:t>et al</w:t>
      </w:r>
      <w:r>
        <w:rPr/>
        <w:t>.,</w:t>
      </w:r>
      <w:r>
        <w:rPr>
          <w:spacing w:val="-9"/>
        </w:rPr>
        <w:t> </w:t>
      </w:r>
      <w:r>
        <w:rPr/>
        <w:t>2000).</w:t>
      </w:r>
    </w:p>
    <w:p>
      <w:pPr>
        <w:spacing w:after="0" w:line="480" w:lineRule="auto"/>
        <w:jc w:val="both"/>
        <w:sectPr>
          <w:pgSz w:w="12240" w:h="15840"/>
          <w:pgMar w:header="0" w:footer="1304" w:top="1500" w:bottom="1560" w:left="1720" w:right="1420"/>
        </w:sectPr>
      </w:pPr>
    </w:p>
    <w:p>
      <w:pPr>
        <w:pStyle w:val="BodyText"/>
        <w:spacing w:before="1"/>
        <w:rPr>
          <w:sz w:val="21"/>
        </w:rPr>
      </w:pPr>
    </w:p>
    <w:p>
      <w:pPr>
        <w:pStyle w:val="Heading1"/>
      </w:pPr>
      <w:r>
        <w:rPr/>
        <w:t>CONCLUSIÓNES</w:t>
      </w:r>
    </w:p>
    <w:p>
      <w:pPr>
        <w:pStyle w:val="BodyText"/>
        <w:rPr>
          <w:b/>
        </w:rPr>
      </w:pPr>
    </w:p>
    <w:p>
      <w:pPr>
        <w:pStyle w:val="BodyText"/>
        <w:rPr>
          <w:b/>
        </w:rPr>
      </w:pPr>
    </w:p>
    <w:p>
      <w:pPr>
        <w:pStyle w:val="BodyText"/>
        <w:spacing w:before="7"/>
        <w:rPr>
          <w:b/>
          <w:sz w:val="23"/>
        </w:rPr>
      </w:pPr>
    </w:p>
    <w:p>
      <w:pPr>
        <w:pStyle w:val="BodyText"/>
        <w:spacing w:line="480" w:lineRule="auto"/>
        <w:ind w:left="152" w:right="125"/>
        <w:jc w:val="both"/>
      </w:pPr>
      <w:r>
        <w:rPr/>
        <w:t>La intensidad parasitaria de </w:t>
      </w:r>
      <w:r>
        <w:rPr>
          <w:i/>
        </w:rPr>
        <w:t>Tylodelphys </w:t>
      </w:r>
      <w:r>
        <w:rPr/>
        <w:t>sp. entre localidades es significativamente diferente; los organismos de Chicnahuapan presentan una intensidad parasitaria mayor a los organismos de San Juanico. La talla y el peso son factores que influyen de manera significativa.</w:t>
      </w:r>
    </w:p>
    <w:p>
      <w:pPr>
        <w:pStyle w:val="BodyText"/>
        <w:spacing w:before="10"/>
        <w:ind w:left="152"/>
        <w:jc w:val="both"/>
      </w:pPr>
      <w:r>
        <w:rPr/>
        <w:t>Los resultados sugieren una relación entre la morfometría y la intensidad parasitaria de</w:t>
      </w:r>
    </w:p>
    <w:p>
      <w:pPr>
        <w:pStyle w:val="BodyText"/>
      </w:pPr>
    </w:p>
    <w:p>
      <w:pPr>
        <w:spacing w:before="0"/>
        <w:ind w:left="152" w:right="0" w:firstLine="0"/>
        <w:jc w:val="both"/>
        <w:rPr>
          <w:sz w:val="24"/>
        </w:rPr>
      </w:pPr>
      <w:r>
        <w:rPr>
          <w:i/>
          <w:sz w:val="24"/>
        </w:rPr>
        <w:t>Tylodelphys </w:t>
      </w:r>
      <w:r>
        <w:rPr>
          <w:sz w:val="24"/>
        </w:rPr>
        <w:t>sp.</w:t>
      </w:r>
    </w:p>
    <w:p>
      <w:pPr>
        <w:pStyle w:val="BodyText"/>
      </w:pPr>
    </w:p>
    <w:p>
      <w:pPr>
        <w:pStyle w:val="BodyText"/>
        <w:spacing w:line="480" w:lineRule="auto"/>
        <w:ind w:left="152" w:right="120"/>
      </w:pPr>
      <w:r>
        <w:rPr/>
        <w:t>Los machos de San Juanico con tallas mas grandes experimentan una mayor intensidad parasitaria.</w:t>
      </w:r>
    </w:p>
    <w:p>
      <w:pPr>
        <w:pStyle w:val="BodyText"/>
        <w:spacing w:line="480" w:lineRule="auto" w:before="10"/>
        <w:ind w:left="152" w:right="2016"/>
      </w:pPr>
      <w:r>
        <w:rPr/>
        <w:t>Los machos más pesados son más parasitados en ambas poblaciones. Las hembras de San Juanico albergaba muy pocas metacercarias.</w:t>
      </w:r>
    </w:p>
    <w:p>
      <w:pPr>
        <w:pStyle w:val="BodyText"/>
        <w:spacing w:line="480" w:lineRule="auto" w:before="10"/>
        <w:ind w:left="152" w:right="120"/>
      </w:pPr>
      <w:r>
        <w:rPr/>
        <w:t>Mientras que los organismos de Chicnahuapan más pesados y con cuerpo más ancho presentan una mayor intensidad parasitaria.</w:t>
      </w:r>
    </w:p>
    <w:p>
      <w:pPr>
        <w:pStyle w:val="BodyText"/>
        <w:spacing w:line="480" w:lineRule="auto" w:before="10"/>
        <w:ind w:left="152" w:right="120"/>
      </w:pPr>
      <w:r>
        <w:rPr/>
        <w:t>No hay diferencias significativas en la intensidad parasitaria de </w:t>
      </w:r>
      <w:r>
        <w:rPr>
          <w:i/>
        </w:rPr>
        <w:t>B.  acheilognathi  </w:t>
      </w:r>
      <w:r>
        <w:rPr/>
        <w:t>entre sexos ni entre localidad (diferencia marginal entre sexos)</w:t>
      </w:r>
    </w:p>
    <w:p>
      <w:pPr>
        <w:pStyle w:val="BodyText"/>
        <w:spacing w:before="10"/>
        <w:ind w:left="152"/>
        <w:jc w:val="both"/>
      </w:pPr>
      <w:r>
        <w:rPr/>
        <w:t>Así  mismo,  </w:t>
      </w:r>
      <w:r>
        <w:rPr>
          <w:spacing w:val="-3"/>
        </w:rPr>
        <w:t>no  </w:t>
      </w:r>
      <w:r>
        <w:rPr/>
        <w:t>encontramos  diferencias  significativas  en  </w:t>
      </w:r>
      <w:r>
        <w:rPr>
          <w:spacing w:val="-3"/>
        </w:rPr>
        <w:t>la  </w:t>
      </w:r>
      <w:r>
        <w:rPr/>
        <w:t>intensidad  parasitaria   </w:t>
      </w:r>
      <w:r>
        <w:rPr>
          <w:spacing w:val="50"/>
        </w:rPr>
        <w:t> </w:t>
      </w:r>
      <w:r>
        <w:rPr/>
        <w:t>de</w:t>
      </w:r>
    </w:p>
    <w:p>
      <w:pPr>
        <w:pStyle w:val="BodyText"/>
      </w:pPr>
    </w:p>
    <w:p>
      <w:pPr>
        <w:spacing w:before="0"/>
        <w:ind w:left="152" w:right="0" w:firstLine="0"/>
        <w:jc w:val="both"/>
        <w:rPr>
          <w:sz w:val="24"/>
        </w:rPr>
      </w:pPr>
      <w:r>
        <w:rPr>
          <w:i/>
          <w:sz w:val="24"/>
        </w:rPr>
        <w:t>Valipora campylancristrota </w:t>
      </w:r>
      <w:r>
        <w:rPr>
          <w:sz w:val="24"/>
        </w:rPr>
        <w:t>entre localidades.</w:t>
      </w:r>
    </w:p>
    <w:p>
      <w:pPr>
        <w:spacing w:after="0"/>
        <w:jc w:val="both"/>
        <w:rPr>
          <w:sz w:val="24"/>
        </w:rPr>
        <w:sectPr>
          <w:pgSz w:w="12240" w:h="15840"/>
          <w:pgMar w:header="0" w:footer="1304" w:top="1500" w:bottom="1560" w:left="1720" w:right="1400"/>
        </w:sectPr>
      </w:pPr>
    </w:p>
    <w:p>
      <w:pPr>
        <w:pStyle w:val="BodyText"/>
        <w:spacing w:before="6"/>
        <w:rPr>
          <w:sz w:val="11"/>
        </w:rPr>
      </w:pPr>
    </w:p>
    <w:p>
      <w:pPr>
        <w:pStyle w:val="BodyText"/>
        <w:ind w:left="1162"/>
        <w:rPr>
          <w:sz w:val="20"/>
        </w:rPr>
      </w:pPr>
      <w:r>
        <w:rPr>
          <w:sz w:val="20"/>
        </w:rPr>
        <w:drawing>
          <wp:inline distT="0" distB="0" distL="0" distR="0">
            <wp:extent cx="4040059" cy="5484018"/>
            <wp:effectExtent l="0" t="0" r="0" b="0"/>
            <wp:docPr id="23" name="image11.jpeg" descr=""/>
            <wp:cNvGraphicFramePr>
              <a:graphicFrameLocks noChangeAspect="1"/>
            </wp:cNvGraphicFramePr>
            <a:graphic>
              <a:graphicData uri="http://schemas.openxmlformats.org/drawingml/2006/picture">
                <pic:pic>
                  <pic:nvPicPr>
                    <pic:cNvPr id="24" name="image11.jpeg"/>
                    <pic:cNvPicPr/>
                  </pic:nvPicPr>
                  <pic:blipFill>
                    <a:blip r:embed="rId16" cstate="print"/>
                    <a:stretch>
                      <a:fillRect/>
                    </a:stretch>
                  </pic:blipFill>
                  <pic:spPr>
                    <a:xfrm>
                      <a:off x="0" y="0"/>
                      <a:ext cx="4040059" cy="5484018"/>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rPr>
          <w:sz w:val="20"/>
        </w:rPr>
      </w:pPr>
    </w:p>
    <w:p>
      <w:pPr>
        <w:pStyle w:val="BodyText"/>
        <w:rPr>
          <w:sz w:val="20"/>
        </w:rPr>
      </w:pPr>
    </w:p>
    <w:p>
      <w:pPr>
        <w:pStyle w:val="BodyText"/>
        <w:rPr>
          <w:sz w:val="29"/>
        </w:rPr>
      </w:pPr>
    </w:p>
    <w:p>
      <w:pPr>
        <w:pStyle w:val="BodyText"/>
        <w:ind w:left="152"/>
        <w:rPr>
          <w:sz w:val="20"/>
        </w:rPr>
      </w:pPr>
      <w:r>
        <w:rPr>
          <w:sz w:val="20"/>
        </w:rPr>
        <w:drawing>
          <wp:inline distT="0" distB="0" distL="0" distR="0">
            <wp:extent cx="5295590" cy="6908958"/>
            <wp:effectExtent l="0" t="0" r="0" b="0"/>
            <wp:docPr id="25" name="image12.jpeg" descr=""/>
            <wp:cNvGraphicFramePr>
              <a:graphicFrameLocks noChangeAspect="1"/>
            </wp:cNvGraphicFramePr>
            <a:graphic>
              <a:graphicData uri="http://schemas.openxmlformats.org/drawingml/2006/picture">
                <pic:pic>
                  <pic:nvPicPr>
                    <pic:cNvPr id="26" name="image12.jpeg"/>
                    <pic:cNvPicPr/>
                  </pic:nvPicPr>
                  <pic:blipFill>
                    <a:blip r:embed="rId17" cstate="print"/>
                    <a:stretch>
                      <a:fillRect/>
                    </a:stretch>
                  </pic:blipFill>
                  <pic:spPr>
                    <a:xfrm>
                      <a:off x="0" y="0"/>
                      <a:ext cx="5295590" cy="6908958"/>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294395" cy="6663690"/>
            <wp:effectExtent l="0" t="0" r="0" b="0"/>
            <wp:docPr id="27" name="image13.jpeg" descr=""/>
            <wp:cNvGraphicFramePr>
              <a:graphicFrameLocks noChangeAspect="1"/>
            </wp:cNvGraphicFramePr>
            <a:graphic>
              <a:graphicData uri="http://schemas.openxmlformats.org/drawingml/2006/picture">
                <pic:pic>
                  <pic:nvPicPr>
                    <pic:cNvPr id="28" name="image13.jpeg"/>
                    <pic:cNvPicPr/>
                  </pic:nvPicPr>
                  <pic:blipFill>
                    <a:blip r:embed="rId18" cstate="print"/>
                    <a:stretch>
                      <a:fillRect/>
                    </a:stretch>
                  </pic:blipFill>
                  <pic:spPr>
                    <a:xfrm>
                      <a:off x="0" y="0"/>
                      <a:ext cx="5294395" cy="6663690"/>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296809" cy="6883527"/>
            <wp:effectExtent l="0" t="0" r="0" b="0"/>
            <wp:docPr id="29" name="image14.jpeg" descr=""/>
            <wp:cNvGraphicFramePr>
              <a:graphicFrameLocks noChangeAspect="1"/>
            </wp:cNvGraphicFramePr>
            <a:graphic>
              <a:graphicData uri="http://schemas.openxmlformats.org/drawingml/2006/picture">
                <pic:pic>
                  <pic:nvPicPr>
                    <pic:cNvPr id="30" name="image14.jpeg"/>
                    <pic:cNvPicPr/>
                  </pic:nvPicPr>
                  <pic:blipFill>
                    <a:blip r:embed="rId19" cstate="print"/>
                    <a:stretch>
                      <a:fillRect/>
                    </a:stretch>
                  </pic:blipFill>
                  <pic:spPr>
                    <a:xfrm>
                      <a:off x="0" y="0"/>
                      <a:ext cx="5296809" cy="6883527"/>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280166" cy="6831330"/>
            <wp:effectExtent l="0" t="0" r="0" b="0"/>
            <wp:docPr id="31" name="image15.jpeg" descr=""/>
            <wp:cNvGraphicFramePr>
              <a:graphicFrameLocks noChangeAspect="1"/>
            </wp:cNvGraphicFramePr>
            <a:graphic>
              <a:graphicData uri="http://schemas.openxmlformats.org/drawingml/2006/picture">
                <pic:pic>
                  <pic:nvPicPr>
                    <pic:cNvPr id="32" name="image15.jpeg"/>
                    <pic:cNvPicPr/>
                  </pic:nvPicPr>
                  <pic:blipFill>
                    <a:blip r:embed="rId20" cstate="print"/>
                    <a:stretch>
                      <a:fillRect/>
                    </a:stretch>
                  </pic:blipFill>
                  <pic:spPr>
                    <a:xfrm>
                      <a:off x="0" y="0"/>
                      <a:ext cx="5280166" cy="6831330"/>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34341" cy="6756368"/>
            <wp:effectExtent l="0" t="0" r="0" b="0"/>
            <wp:docPr id="33" name="image16.jpeg" descr=""/>
            <wp:cNvGraphicFramePr>
              <a:graphicFrameLocks noChangeAspect="1"/>
            </wp:cNvGraphicFramePr>
            <a:graphic>
              <a:graphicData uri="http://schemas.openxmlformats.org/drawingml/2006/picture">
                <pic:pic>
                  <pic:nvPicPr>
                    <pic:cNvPr id="34" name="image16.jpeg"/>
                    <pic:cNvPicPr/>
                  </pic:nvPicPr>
                  <pic:blipFill>
                    <a:blip r:embed="rId21" cstate="print"/>
                    <a:stretch>
                      <a:fillRect/>
                    </a:stretch>
                  </pic:blipFill>
                  <pic:spPr>
                    <a:xfrm>
                      <a:off x="0" y="0"/>
                      <a:ext cx="5334341" cy="6756368"/>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11142" cy="6986587"/>
            <wp:effectExtent l="0" t="0" r="0" b="0"/>
            <wp:docPr id="35" name="image17.jpeg" descr=""/>
            <wp:cNvGraphicFramePr>
              <a:graphicFrameLocks noChangeAspect="1"/>
            </wp:cNvGraphicFramePr>
            <a:graphic>
              <a:graphicData uri="http://schemas.openxmlformats.org/drawingml/2006/picture">
                <pic:pic>
                  <pic:nvPicPr>
                    <pic:cNvPr id="36" name="image17.jpeg"/>
                    <pic:cNvPicPr/>
                  </pic:nvPicPr>
                  <pic:blipFill>
                    <a:blip r:embed="rId22" cstate="print"/>
                    <a:stretch>
                      <a:fillRect/>
                    </a:stretch>
                  </pic:blipFill>
                  <pic:spPr>
                    <a:xfrm>
                      <a:off x="0" y="0"/>
                      <a:ext cx="5311142" cy="6986587"/>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07018" cy="6866572"/>
            <wp:effectExtent l="0" t="0" r="0" b="0"/>
            <wp:docPr id="37" name="image18.jpeg" descr=""/>
            <wp:cNvGraphicFramePr>
              <a:graphicFrameLocks noChangeAspect="1"/>
            </wp:cNvGraphicFramePr>
            <a:graphic>
              <a:graphicData uri="http://schemas.openxmlformats.org/drawingml/2006/picture">
                <pic:pic>
                  <pic:nvPicPr>
                    <pic:cNvPr id="38" name="image18.jpeg"/>
                    <pic:cNvPicPr/>
                  </pic:nvPicPr>
                  <pic:blipFill>
                    <a:blip r:embed="rId23" cstate="print"/>
                    <a:stretch>
                      <a:fillRect/>
                    </a:stretch>
                  </pic:blipFill>
                  <pic:spPr>
                    <a:xfrm>
                      <a:off x="0" y="0"/>
                      <a:ext cx="5307018" cy="6866572"/>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27312" cy="6737984"/>
            <wp:effectExtent l="0" t="0" r="0" b="0"/>
            <wp:docPr id="39" name="image19.jpeg" descr=""/>
            <wp:cNvGraphicFramePr>
              <a:graphicFrameLocks noChangeAspect="1"/>
            </wp:cNvGraphicFramePr>
            <a:graphic>
              <a:graphicData uri="http://schemas.openxmlformats.org/drawingml/2006/picture">
                <pic:pic>
                  <pic:nvPicPr>
                    <pic:cNvPr id="40" name="image19.jpeg"/>
                    <pic:cNvPicPr/>
                  </pic:nvPicPr>
                  <pic:blipFill>
                    <a:blip r:embed="rId24" cstate="print"/>
                    <a:stretch>
                      <a:fillRect/>
                    </a:stretch>
                  </pic:blipFill>
                  <pic:spPr>
                    <a:xfrm>
                      <a:off x="0" y="0"/>
                      <a:ext cx="5327312" cy="6737984"/>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11656" cy="6951345"/>
            <wp:effectExtent l="0" t="0" r="0" b="0"/>
            <wp:docPr id="41" name="image20.jpeg" descr=""/>
            <wp:cNvGraphicFramePr>
              <a:graphicFrameLocks noChangeAspect="1"/>
            </wp:cNvGraphicFramePr>
            <a:graphic>
              <a:graphicData uri="http://schemas.openxmlformats.org/drawingml/2006/picture">
                <pic:pic>
                  <pic:nvPicPr>
                    <pic:cNvPr id="42" name="image20.jpeg"/>
                    <pic:cNvPicPr/>
                  </pic:nvPicPr>
                  <pic:blipFill>
                    <a:blip r:embed="rId25" cstate="print"/>
                    <a:stretch>
                      <a:fillRect/>
                    </a:stretch>
                  </pic:blipFill>
                  <pic:spPr>
                    <a:xfrm>
                      <a:off x="0" y="0"/>
                      <a:ext cx="5311656" cy="6951345"/>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296262" cy="6755892"/>
            <wp:effectExtent l="0" t="0" r="0" b="0"/>
            <wp:docPr id="43" name="image21.jpeg" descr=""/>
            <wp:cNvGraphicFramePr>
              <a:graphicFrameLocks noChangeAspect="1"/>
            </wp:cNvGraphicFramePr>
            <a:graphic>
              <a:graphicData uri="http://schemas.openxmlformats.org/drawingml/2006/picture">
                <pic:pic>
                  <pic:nvPicPr>
                    <pic:cNvPr id="44" name="image21.jpeg"/>
                    <pic:cNvPicPr/>
                  </pic:nvPicPr>
                  <pic:blipFill>
                    <a:blip r:embed="rId26" cstate="print"/>
                    <a:stretch>
                      <a:fillRect/>
                    </a:stretch>
                  </pic:blipFill>
                  <pic:spPr>
                    <a:xfrm>
                      <a:off x="0" y="0"/>
                      <a:ext cx="5296262" cy="6755892"/>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265855" cy="6908958"/>
            <wp:effectExtent l="0" t="0" r="0" b="0"/>
            <wp:docPr id="45" name="image22.jpeg" descr=""/>
            <wp:cNvGraphicFramePr>
              <a:graphicFrameLocks noChangeAspect="1"/>
            </wp:cNvGraphicFramePr>
            <a:graphic>
              <a:graphicData uri="http://schemas.openxmlformats.org/drawingml/2006/picture">
                <pic:pic>
                  <pic:nvPicPr>
                    <pic:cNvPr id="46" name="image22.jpeg"/>
                    <pic:cNvPicPr/>
                  </pic:nvPicPr>
                  <pic:blipFill>
                    <a:blip r:embed="rId27" cstate="print"/>
                    <a:stretch>
                      <a:fillRect/>
                    </a:stretch>
                  </pic:blipFill>
                  <pic:spPr>
                    <a:xfrm>
                      <a:off x="0" y="0"/>
                      <a:ext cx="5265855" cy="6908958"/>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43956" cy="7020877"/>
            <wp:effectExtent l="0" t="0" r="0" b="0"/>
            <wp:docPr id="47" name="image23.jpeg" descr=""/>
            <wp:cNvGraphicFramePr>
              <a:graphicFrameLocks noChangeAspect="1"/>
            </wp:cNvGraphicFramePr>
            <a:graphic>
              <a:graphicData uri="http://schemas.openxmlformats.org/drawingml/2006/picture">
                <pic:pic>
                  <pic:nvPicPr>
                    <pic:cNvPr id="48" name="image23.jpeg"/>
                    <pic:cNvPicPr/>
                  </pic:nvPicPr>
                  <pic:blipFill>
                    <a:blip r:embed="rId28" cstate="print"/>
                    <a:stretch>
                      <a:fillRect/>
                    </a:stretch>
                  </pic:blipFill>
                  <pic:spPr>
                    <a:xfrm>
                      <a:off x="0" y="0"/>
                      <a:ext cx="5343956" cy="7020877"/>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03541" cy="6756368"/>
            <wp:effectExtent l="0" t="0" r="0" b="0"/>
            <wp:docPr id="49" name="image24.jpeg" descr=""/>
            <wp:cNvGraphicFramePr>
              <a:graphicFrameLocks noChangeAspect="1"/>
            </wp:cNvGraphicFramePr>
            <a:graphic>
              <a:graphicData uri="http://schemas.openxmlformats.org/drawingml/2006/picture">
                <pic:pic>
                  <pic:nvPicPr>
                    <pic:cNvPr id="50" name="image24.jpeg"/>
                    <pic:cNvPicPr/>
                  </pic:nvPicPr>
                  <pic:blipFill>
                    <a:blip r:embed="rId29" cstate="print"/>
                    <a:stretch>
                      <a:fillRect/>
                    </a:stretch>
                  </pic:blipFill>
                  <pic:spPr>
                    <a:xfrm>
                      <a:off x="0" y="0"/>
                      <a:ext cx="5303541" cy="6756368"/>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14204" cy="7020877"/>
            <wp:effectExtent l="0" t="0" r="0" b="0"/>
            <wp:docPr id="51" name="image25.jpeg" descr=""/>
            <wp:cNvGraphicFramePr>
              <a:graphicFrameLocks noChangeAspect="1"/>
            </wp:cNvGraphicFramePr>
            <a:graphic>
              <a:graphicData uri="http://schemas.openxmlformats.org/drawingml/2006/picture">
                <pic:pic>
                  <pic:nvPicPr>
                    <pic:cNvPr id="52" name="image25.jpeg"/>
                    <pic:cNvPicPr/>
                  </pic:nvPicPr>
                  <pic:blipFill>
                    <a:blip r:embed="rId30" cstate="print"/>
                    <a:stretch>
                      <a:fillRect/>
                    </a:stretch>
                  </pic:blipFill>
                  <pic:spPr>
                    <a:xfrm>
                      <a:off x="0" y="0"/>
                      <a:ext cx="5314204" cy="7020877"/>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255932" cy="6781038"/>
            <wp:effectExtent l="0" t="0" r="0" b="0"/>
            <wp:docPr id="53" name="image26.jpeg" descr=""/>
            <wp:cNvGraphicFramePr>
              <a:graphicFrameLocks noChangeAspect="1"/>
            </wp:cNvGraphicFramePr>
            <a:graphic>
              <a:graphicData uri="http://schemas.openxmlformats.org/drawingml/2006/picture">
                <pic:pic>
                  <pic:nvPicPr>
                    <pic:cNvPr id="54" name="image26.jpeg"/>
                    <pic:cNvPicPr/>
                  </pic:nvPicPr>
                  <pic:blipFill>
                    <a:blip r:embed="rId31" cstate="print"/>
                    <a:stretch>
                      <a:fillRect/>
                    </a:stretch>
                  </pic:blipFill>
                  <pic:spPr>
                    <a:xfrm>
                      <a:off x="0" y="0"/>
                      <a:ext cx="5255932" cy="6781038"/>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15314" cy="6713982"/>
            <wp:effectExtent l="0" t="0" r="0" b="0"/>
            <wp:docPr id="55" name="image27.jpeg" descr=""/>
            <wp:cNvGraphicFramePr>
              <a:graphicFrameLocks noChangeAspect="1"/>
            </wp:cNvGraphicFramePr>
            <a:graphic>
              <a:graphicData uri="http://schemas.openxmlformats.org/drawingml/2006/picture">
                <pic:pic>
                  <pic:nvPicPr>
                    <pic:cNvPr id="56" name="image27.jpeg"/>
                    <pic:cNvPicPr/>
                  </pic:nvPicPr>
                  <pic:blipFill>
                    <a:blip r:embed="rId32" cstate="print"/>
                    <a:stretch>
                      <a:fillRect/>
                    </a:stretch>
                  </pic:blipFill>
                  <pic:spPr>
                    <a:xfrm>
                      <a:off x="0" y="0"/>
                      <a:ext cx="5315314" cy="6713982"/>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33520" cy="6892004"/>
            <wp:effectExtent l="0" t="0" r="0" b="0"/>
            <wp:docPr id="57" name="image28.jpeg" descr=""/>
            <wp:cNvGraphicFramePr>
              <a:graphicFrameLocks noChangeAspect="1"/>
            </wp:cNvGraphicFramePr>
            <a:graphic>
              <a:graphicData uri="http://schemas.openxmlformats.org/drawingml/2006/picture">
                <pic:pic>
                  <pic:nvPicPr>
                    <pic:cNvPr id="58" name="image28.jpeg"/>
                    <pic:cNvPicPr/>
                  </pic:nvPicPr>
                  <pic:blipFill>
                    <a:blip r:embed="rId33" cstate="print"/>
                    <a:stretch>
                      <a:fillRect/>
                    </a:stretch>
                  </pic:blipFill>
                  <pic:spPr>
                    <a:xfrm>
                      <a:off x="0" y="0"/>
                      <a:ext cx="5333520" cy="6892004"/>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31408" cy="6849427"/>
            <wp:effectExtent l="0" t="0" r="0" b="0"/>
            <wp:docPr id="59" name="image29.jpeg" descr=""/>
            <wp:cNvGraphicFramePr>
              <a:graphicFrameLocks noChangeAspect="1"/>
            </wp:cNvGraphicFramePr>
            <a:graphic>
              <a:graphicData uri="http://schemas.openxmlformats.org/drawingml/2006/picture">
                <pic:pic>
                  <pic:nvPicPr>
                    <pic:cNvPr id="60" name="image29.jpeg"/>
                    <pic:cNvPicPr/>
                  </pic:nvPicPr>
                  <pic:blipFill>
                    <a:blip r:embed="rId34" cstate="print"/>
                    <a:stretch>
                      <a:fillRect/>
                    </a:stretch>
                  </pic:blipFill>
                  <pic:spPr>
                    <a:xfrm>
                      <a:off x="0" y="0"/>
                      <a:ext cx="5331408" cy="6849427"/>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31851" cy="6841140"/>
            <wp:effectExtent l="0" t="0" r="0" b="0"/>
            <wp:docPr id="61" name="image30.jpeg" descr=""/>
            <wp:cNvGraphicFramePr>
              <a:graphicFrameLocks noChangeAspect="1"/>
            </wp:cNvGraphicFramePr>
            <a:graphic>
              <a:graphicData uri="http://schemas.openxmlformats.org/drawingml/2006/picture">
                <pic:pic>
                  <pic:nvPicPr>
                    <pic:cNvPr id="62" name="image30.jpeg"/>
                    <pic:cNvPicPr/>
                  </pic:nvPicPr>
                  <pic:blipFill>
                    <a:blip r:embed="rId35" cstate="print"/>
                    <a:stretch>
                      <a:fillRect/>
                    </a:stretch>
                  </pic:blipFill>
                  <pic:spPr>
                    <a:xfrm>
                      <a:off x="0" y="0"/>
                      <a:ext cx="5331851" cy="6841140"/>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48759" cy="6969442"/>
            <wp:effectExtent l="0" t="0" r="0" b="0"/>
            <wp:docPr id="63" name="image31.jpeg" descr=""/>
            <wp:cNvGraphicFramePr>
              <a:graphicFrameLocks noChangeAspect="1"/>
            </wp:cNvGraphicFramePr>
            <a:graphic>
              <a:graphicData uri="http://schemas.openxmlformats.org/drawingml/2006/picture">
                <pic:pic>
                  <pic:nvPicPr>
                    <pic:cNvPr id="64" name="image31.jpeg"/>
                    <pic:cNvPicPr/>
                  </pic:nvPicPr>
                  <pic:blipFill>
                    <a:blip r:embed="rId36" cstate="print"/>
                    <a:stretch>
                      <a:fillRect/>
                    </a:stretch>
                  </pic:blipFill>
                  <pic:spPr>
                    <a:xfrm>
                      <a:off x="0" y="0"/>
                      <a:ext cx="5348759" cy="6969442"/>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16850" cy="6773322"/>
            <wp:effectExtent l="0" t="0" r="0" b="0"/>
            <wp:docPr id="65" name="image32.jpeg" descr=""/>
            <wp:cNvGraphicFramePr>
              <a:graphicFrameLocks noChangeAspect="1"/>
            </wp:cNvGraphicFramePr>
            <a:graphic>
              <a:graphicData uri="http://schemas.openxmlformats.org/drawingml/2006/picture">
                <pic:pic>
                  <pic:nvPicPr>
                    <pic:cNvPr id="66" name="image32.jpeg"/>
                    <pic:cNvPicPr/>
                  </pic:nvPicPr>
                  <pic:blipFill>
                    <a:blip r:embed="rId37" cstate="print"/>
                    <a:stretch>
                      <a:fillRect/>
                    </a:stretch>
                  </pic:blipFill>
                  <pic:spPr>
                    <a:xfrm>
                      <a:off x="0" y="0"/>
                      <a:ext cx="5316850" cy="6773322"/>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3"/>
        <w:rPr>
          <w:sz w:val="27"/>
        </w:rPr>
      </w:pPr>
    </w:p>
    <w:p>
      <w:pPr>
        <w:pStyle w:val="BodyText"/>
        <w:ind w:left="152"/>
        <w:rPr>
          <w:sz w:val="20"/>
        </w:rPr>
      </w:pPr>
      <w:r>
        <w:rPr>
          <w:sz w:val="20"/>
        </w:rPr>
        <w:drawing>
          <wp:inline distT="0" distB="0" distL="0" distR="0">
            <wp:extent cx="5309592" cy="6908958"/>
            <wp:effectExtent l="0" t="0" r="0" b="0"/>
            <wp:docPr id="67" name="image33.jpeg" descr=""/>
            <wp:cNvGraphicFramePr>
              <a:graphicFrameLocks noChangeAspect="1"/>
            </wp:cNvGraphicFramePr>
            <a:graphic>
              <a:graphicData uri="http://schemas.openxmlformats.org/drawingml/2006/picture">
                <pic:pic>
                  <pic:nvPicPr>
                    <pic:cNvPr id="68" name="image33.jpeg"/>
                    <pic:cNvPicPr/>
                  </pic:nvPicPr>
                  <pic:blipFill>
                    <a:blip r:embed="rId38" cstate="print"/>
                    <a:stretch>
                      <a:fillRect/>
                    </a:stretch>
                  </pic:blipFill>
                  <pic:spPr>
                    <a:xfrm>
                      <a:off x="0" y="0"/>
                      <a:ext cx="5309592" cy="6908958"/>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p>
    <w:p>
      <w:pPr>
        <w:pStyle w:val="BodyText"/>
        <w:ind w:left="152"/>
        <w:rPr>
          <w:sz w:val="20"/>
        </w:rPr>
      </w:pPr>
      <w:r>
        <w:rPr>
          <w:sz w:val="20"/>
        </w:rPr>
        <w:drawing>
          <wp:inline distT="0" distB="0" distL="0" distR="0">
            <wp:extent cx="5307018" cy="6866572"/>
            <wp:effectExtent l="0" t="0" r="0" b="0"/>
            <wp:docPr id="69" name="image34.jpeg" descr=""/>
            <wp:cNvGraphicFramePr>
              <a:graphicFrameLocks noChangeAspect="1"/>
            </wp:cNvGraphicFramePr>
            <a:graphic>
              <a:graphicData uri="http://schemas.openxmlformats.org/drawingml/2006/picture">
                <pic:pic>
                  <pic:nvPicPr>
                    <pic:cNvPr id="70" name="image34.jpeg"/>
                    <pic:cNvPicPr/>
                  </pic:nvPicPr>
                  <pic:blipFill>
                    <a:blip r:embed="rId39" cstate="print"/>
                    <a:stretch>
                      <a:fillRect/>
                    </a:stretch>
                  </pic:blipFill>
                  <pic:spPr>
                    <a:xfrm>
                      <a:off x="0" y="0"/>
                      <a:ext cx="5307018" cy="6866572"/>
                    </a:xfrm>
                    <a:prstGeom prst="rect">
                      <a:avLst/>
                    </a:prstGeom>
                  </pic:spPr>
                </pic:pic>
              </a:graphicData>
            </a:graphic>
          </wp:inline>
        </w:drawing>
      </w:r>
      <w:r>
        <w:rPr>
          <w:sz w:val="20"/>
        </w:rPr>
      </w:r>
    </w:p>
    <w:p>
      <w:pPr>
        <w:spacing w:after="0"/>
        <w:rPr>
          <w:sz w:val="20"/>
        </w:rPr>
        <w:sectPr>
          <w:pgSz w:w="12240" w:h="15840"/>
          <w:pgMar w:header="0" w:footer="1304" w:top="1500" w:bottom="1500" w:left="1720" w:right="1420"/>
        </w:sectPr>
      </w:pPr>
    </w:p>
    <w:p>
      <w:pPr>
        <w:pStyle w:val="BodyText"/>
        <w:spacing w:before="1"/>
        <w:rPr>
          <w:sz w:val="21"/>
        </w:rPr>
      </w:pPr>
    </w:p>
    <w:p>
      <w:pPr>
        <w:pStyle w:val="Heading1"/>
        <w:jc w:val="left"/>
      </w:pPr>
      <w:bookmarkStart w:name="_TOC_250001" w:id="12"/>
      <w:bookmarkEnd w:id="12"/>
      <w:r>
        <w:rPr/>
        <w:t>ANEXOS</w:t>
      </w:r>
    </w:p>
    <w:p>
      <w:pPr>
        <w:pStyle w:val="BodyText"/>
        <w:rPr>
          <w:b/>
        </w:rPr>
      </w:pPr>
    </w:p>
    <w:p>
      <w:pPr>
        <w:pStyle w:val="BodyText"/>
        <w:spacing w:before="4"/>
        <w:rPr>
          <w:b/>
          <w:sz w:val="23"/>
        </w:rPr>
      </w:pPr>
    </w:p>
    <w:p>
      <w:pPr>
        <w:pStyle w:val="BodyText"/>
        <w:spacing w:before="1"/>
        <w:ind w:left="152"/>
      </w:pPr>
      <w:r>
        <w:rPr/>
        <w:t>Anexo 1. Eigenvalores</w:t>
      </w:r>
    </w:p>
    <w:p>
      <w:pPr>
        <w:pStyle w:val="BodyText"/>
        <w:rPr>
          <w:sz w:val="20"/>
        </w:rPr>
      </w:pPr>
    </w:p>
    <w:p>
      <w:pPr>
        <w:pStyle w:val="BodyText"/>
        <w:spacing w:before="10"/>
        <w:rPr>
          <w:sz w:val="28"/>
        </w:rPr>
      </w:pPr>
    </w:p>
    <w:tbl>
      <w:tblPr>
        <w:tblW w:w="0" w:type="auto"/>
        <w:jc w:val="left"/>
        <w:tblInd w:w="1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6"/>
        <w:gridCol w:w="1604"/>
        <w:gridCol w:w="1433"/>
        <w:gridCol w:w="1377"/>
        <w:gridCol w:w="1374"/>
      </w:tblGrid>
      <w:tr>
        <w:trPr>
          <w:trHeight w:val="475" w:hRule="exact"/>
        </w:trPr>
        <w:tc>
          <w:tcPr>
            <w:tcW w:w="1276" w:type="dxa"/>
            <w:tcBorders>
              <w:left w:val="nil"/>
              <w:bottom w:val="single" w:sz="8" w:space="0" w:color="000000"/>
              <w:right w:val="nil"/>
            </w:tcBorders>
          </w:tcPr>
          <w:p>
            <w:pPr>
              <w:pStyle w:val="TableParagraph"/>
              <w:spacing w:line="221" w:lineRule="exact"/>
              <w:ind w:left="571"/>
              <w:rPr>
                <w:sz w:val="20"/>
              </w:rPr>
            </w:pPr>
            <w:r>
              <w:rPr>
                <w:sz w:val="20"/>
              </w:rPr>
              <w:t>No.</w:t>
            </w:r>
          </w:p>
        </w:tc>
        <w:tc>
          <w:tcPr>
            <w:tcW w:w="1604" w:type="dxa"/>
            <w:tcBorders>
              <w:left w:val="nil"/>
              <w:bottom w:val="single" w:sz="8" w:space="0" w:color="000000"/>
              <w:right w:val="nil"/>
            </w:tcBorders>
          </w:tcPr>
          <w:p>
            <w:pPr>
              <w:pStyle w:val="TableParagraph"/>
              <w:spacing w:line="226" w:lineRule="exact"/>
              <w:ind w:left="414"/>
              <w:rPr>
                <w:b/>
                <w:sz w:val="20"/>
              </w:rPr>
            </w:pPr>
            <w:r>
              <w:rPr>
                <w:b/>
                <w:sz w:val="20"/>
              </w:rPr>
              <w:t>Eigenvalor</w:t>
            </w:r>
          </w:p>
        </w:tc>
        <w:tc>
          <w:tcPr>
            <w:tcW w:w="1433" w:type="dxa"/>
            <w:tcBorders>
              <w:left w:val="nil"/>
              <w:bottom w:val="single" w:sz="8" w:space="0" w:color="000000"/>
              <w:right w:val="nil"/>
            </w:tcBorders>
          </w:tcPr>
          <w:p>
            <w:pPr>
              <w:pStyle w:val="TableParagraph"/>
              <w:ind w:left="284" w:right="236" w:hanging="29"/>
              <w:rPr>
                <w:b/>
                <w:sz w:val="20"/>
              </w:rPr>
            </w:pPr>
            <w:r>
              <w:rPr>
                <w:b/>
                <w:sz w:val="20"/>
              </w:rPr>
              <w:t>Porcentaje individual</w:t>
            </w:r>
          </w:p>
        </w:tc>
        <w:tc>
          <w:tcPr>
            <w:tcW w:w="1377" w:type="dxa"/>
            <w:tcBorders>
              <w:left w:val="nil"/>
              <w:bottom w:val="single" w:sz="8" w:space="0" w:color="000000"/>
              <w:right w:val="nil"/>
            </w:tcBorders>
          </w:tcPr>
          <w:p>
            <w:pPr>
              <w:pStyle w:val="TableParagraph"/>
              <w:ind w:left="253" w:right="159" w:firstLine="9"/>
              <w:rPr>
                <w:b/>
                <w:sz w:val="20"/>
              </w:rPr>
            </w:pPr>
            <w:r>
              <w:rPr>
                <w:b/>
                <w:sz w:val="20"/>
              </w:rPr>
              <w:t>Porcentaje acumulado</w:t>
            </w:r>
          </w:p>
        </w:tc>
        <w:tc>
          <w:tcPr>
            <w:tcW w:w="1374" w:type="dxa"/>
            <w:tcBorders>
              <w:left w:val="nil"/>
              <w:bottom w:val="single" w:sz="8" w:space="0" w:color="000000"/>
              <w:right w:val="nil"/>
            </w:tcBorders>
          </w:tcPr>
          <w:p>
            <w:pPr>
              <w:pStyle w:val="TableParagraph"/>
              <w:ind w:left="178" w:firstLine="91"/>
              <w:rPr>
                <w:b/>
                <w:sz w:val="20"/>
              </w:rPr>
            </w:pPr>
            <w:r>
              <w:rPr>
                <w:b/>
                <w:sz w:val="20"/>
              </w:rPr>
              <w:t>Gráfico de acumulación</w:t>
            </w:r>
          </w:p>
        </w:tc>
      </w:tr>
      <w:tr>
        <w:trPr>
          <w:trHeight w:val="356" w:hRule="exact"/>
        </w:trPr>
        <w:tc>
          <w:tcPr>
            <w:tcW w:w="1276" w:type="dxa"/>
            <w:tcBorders>
              <w:top w:val="single" w:sz="8" w:space="0" w:color="000000"/>
              <w:left w:val="nil"/>
              <w:bottom w:val="nil"/>
              <w:right w:val="nil"/>
            </w:tcBorders>
          </w:tcPr>
          <w:p>
            <w:pPr>
              <w:pStyle w:val="TableParagraph"/>
              <w:spacing w:line="221" w:lineRule="exact"/>
              <w:ind w:left="105"/>
              <w:rPr>
                <w:sz w:val="20"/>
              </w:rPr>
            </w:pPr>
            <w:r>
              <w:rPr>
                <w:w w:val="100"/>
                <w:sz w:val="20"/>
              </w:rPr>
              <w:t>1</w:t>
            </w:r>
          </w:p>
        </w:tc>
        <w:tc>
          <w:tcPr>
            <w:tcW w:w="1604" w:type="dxa"/>
            <w:tcBorders>
              <w:top w:val="single" w:sz="8" w:space="0" w:color="000000"/>
              <w:left w:val="nil"/>
              <w:bottom w:val="nil"/>
              <w:right w:val="nil"/>
            </w:tcBorders>
          </w:tcPr>
          <w:p>
            <w:pPr>
              <w:pStyle w:val="TableParagraph"/>
              <w:spacing w:line="221" w:lineRule="exact"/>
              <w:ind w:left="558"/>
              <w:rPr>
                <w:sz w:val="20"/>
              </w:rPr>
            </w:pPr>
            <w:r>
              <w:rPr>
                <w:sz w:val="20"/>
              </w:rPr>
              <w:t>3.48396</w:t>
            </w:r>
          </w:p>
        </w:tc>
        <w:tc>
          <w:tcPr>
            <w:tcW w:w="1433" w:type="dxa"/>
            <w:tcBorders>
              <w:top w:val="single" w:sz="8" w:space="0" w:color="000000"/>
              <w:left w:val="nil"/>
              <w:bottom w:val="nil"/>
              <w:right w:val="nil"/>
            </w:tcBorders>
          </w:tcPr>
          <w:p>
            <w:pPr>
              <w:pStyle w:val="TableParagraph"/>
              <w:spacing w:line="221" w:lineRule="exact"/>
              <w:ind w:left="426" w:right="417"/>
              <w:jc w:val="center"/>
              <w:rPr>
                <w:sz w:val="20"/>
              </w:rPr>
            </w:pPr>
            <w:r>
              <w:rPr>
                <w:sz w:val="20"/>
              </w:rPr>
              <w:t>87.099</w:t>
            </w:r>
          </w:p>
        </w:tc>
        <w:tc>
          <w:tcPr>
            <w:tcW w:w="1377" w:type="dxa"/>
            <w:tcBorders>
              <w:top w:val="single" w:sz="8" w:space="0" w:color="000000"/>
              <w:left w:val="nil"/>
              <w:bottom w:val="nil"/>
              <w:right w:val="nil"/>
            </w:tcBorders>
          </w:tcPr>
          <w:p>
            <w:pPr>
              <w:pStyle w:val="TableParagraph"/>
              <w:spacing w:line="221" w:lineRule="exact"/>
              <w:ind w:right="367"/>
              <w:jc w:val="right"/>
              <w:rPr>
                <w:sz w:val="20"/>
              </w:rPr>
            </w:pPr>
            <w:r>
              <w:rPr>
                <w:sz w:val="20"/>
              </w:rPr>
              <w:t>87.099</w:t>
            </w:r>
          </w:p>
        </w:tc>
        <w:tc>
          <w:tcPr>
            <w:tcW w:w="1374" w:type="dxa"/>
            <w:tcBorders>
              <w:top w:val="single" w:sz="8" w:space="0" w:color="000000"/>
              <w:left w:val="nil"/>
              <w:bottom w:val="nil"/>
              <w:right w:val="nil"/>
            </w:tcBorders>
          </w:tcPr>
          <w:p>
            <w:pPr>
              <w:pStyle w:val="TableParagraph"/>
              <w:spacing w:line="221" w:lineRule="exact"/>
              <w:ind w:left="178"/>
              <w:rPr>
                <w:sz w:val="20"/>
              </w:rPr>
            </w:pPr>
            <w:r>
              <w:rPr>
                <w:sz w:val="20"/>
              </w:rPr>
              <w:t>|||||||||</w:t>
            </w:r>
          </w:p>
        </w:tc>
      </w:tr>
      <w:tr>
        <w:trPr>
          <w:trHeight w:val="461" w:hRule="exact"/>
        </w:trPr>
        <w:tc>
          <w:tcPr>
            <w:tcW w:w="1276" w:type="dxa"/>
            <w:tcBorders>
              <w:top w:val="nil"/>
              <w:left w:val="nil"/>
              <w:bottom w:val="nil"/>
              <w:right w:val="nil"/>
            </w:tcBorders>
          </w:tcPr>
          <w:p>
            <w:pPr>
              <w:pStyle w:val="TableParagraph"/>
              <w:spacing w:before="105"/>
              <w:ind w:left="105"/>
              <w:rPr>
                <w:sz w:val="20"/>
              </w:rPr>
            </w:pPr>
            <w:r>
              <w:rPr>
                <w:w w:val="100"/>
                <w:sz w:val="20"/>
              </w:rPr>
              <w:t>2</w:t>
            </w:r>
          </w:p>
        </w:tc>
        <w:tc>
          <w:tcPr>
            <w:tcW w:w="1604" w:type="dxa"/>
            <w:tcBorders>
              <w:top w:val="nil"/>
              <w:left w:val="nil"/>
              <w:bottom w:val="nil"/>
              <w:right w:val="nil"/>
            </w:tcBorders>
          </w:tcPr>
          <w:p>
            <w:pPr>
              <w:pStyle w:val="TableParagraph"/>
              <w:spacing w:before="105"/>
              <w:ind w:left="505"/>
              <w:rPr>
                <w:sz w:val="20"/>
              </w:rPr>
            </w:pPr>
            <w:r>
              <w:rPr>
                <w:sz w:val="20"/>
              </w:rPr>
              <w:t>0.345312</w:t>
            </w:r>
          </w:p>
        </w:tc>
        <w:tc>
          <w:tcPr>
            <w:tcW w:w="1433" w:type="dxa"/>
            <w:tcBorders>
              <w:top w:val="nil"/>
              <w:left w:val="nil"/>
              <w:bottom w:val="nil"/>
              <w:right w:val="nil"/>
            </w:tcBorders>
          </w:tcPr>
          <w:p>
            <w:pPr>
              <w:pStyle w:val="TableParagraph"/>
              <w:spacing w:before="105"/>
              <w:ind w:left="421" w:right="417"/>
              <w:jc w:val="center"/>
              <w:rPr>
                <w:sz w:val="20"/>
              </w:rPr>
            </w:pPr>
            <w:r>
              <w:rPr>
                <w:sz w:val="20"/>
              </w:rPr>
              <w:t>8.633</w:t>
            </w:r>
          </w:p>
        </w:tc>
        <w:tc>
          <w:tcPr>
            <w:tcW w:w="1377" w:type="dxa"/>
            <w:tcBorders>
              <w:top w:val="nil"/>
              <w:left w:val="nil"/>
              <w:bottom w:val="nil"/>
              <w:right w:val="nil"/>
            </w:tcBorders>
          </w:tcPr>
          <w:p>
            <w:pPr>
              <w:pStyle w:val="TableParagraph"/>
              <w:spacing w:before="105"/>
              <w:ind w:right="367"/>
              <w:jc w:val="right"/>
              <w:rPr>
                <w:sz w:val="20"/>
              </w:rPr>
            </w:pPr>
            <w:r>
              <w:rPr>
                <w:sz w:val="20"/>
              </w:rPr>
              <w:t>95.732</w:t>
            </w:r>
          </w:p>
        </w:tc>
        <w:tc>
          <w:tcPr>
            <w:tcW w:w="1374" w:type="dxa"/>
            <w:tcBorders>
              <w:top w:val="nil"/>
              <w:left w:val="nil"/>
              <w:bottom w:val="nil"/>
              <w:right w:val="nil"/>
            </w:tcBorders>
          </w:tcPr>
          <w:p>
            <w:pPr>
              <w:pStyle w:val="TableParagraph"/>
              <w:spacing w:before="105"/>
              <w:ind w:left="178"/>
              <w:rPr>
                <w:sz w:val="20"/>
              </w:rPr>
            </w:pPr>
            <w:r>
              <w:rPr>
                <w:sz w:val="20"/>
              </w:rPr>
              <w:t>|||||||</w:t>
            </w:r>
          </w:p>
        </w:tc>
      </w:tr>
      <w:tr>
        <w:trPr>
          <w:trHeight w:val="458" w:hRule="exact"/>
        </w:trPr>
        <w:tc>
          <w:tcPr>
            <w:tcW w:w="1276" w:type="dxa"/>
            <w:tcBorders>
              <w:top w:val="nil"/>
              <w:left w:val="nil"/>
              <w:bottom w:val="nil"/>
              <w:right w:val="nil"/>
            </w:tcBorders>
          </w:tcPr>
          <w:p>
            <w:pPr>
              <w:pStyle w:val="TableParagraph"/>
              <w:spacing w:before="105"/>
              <w:ind w:left="105"/>
              <w:rPr>
                <w:sz w:val="20"/>
              </w:rPr>
            </w:pPr>
            <w:r>
              <w:rPr>
                <w:w w:val="100"/>
                <w:sz w:val="20"/>
              </w:rPr>
              <w:t>3</w:t>
            </w:r>
          </w:p>
        </w:tc>
        <w:tc>
          <w:tcPr>
            <w:tcW w:w="1604" w:type="dxa"/>
            <w:tcBorders>
              <w:top w:val="nil"/>
              <w:left w:val="nil"/>
              <w:bottom w:val="nil"/>
              <w:right w:val="nil"/>
            </w:tcBorders>
          </w:tcPr>
          <w:p>
            <w:pPr>
              <w:pStyle w:val="TableParagraph"/>
              <w:spacing w:before="105"/>
              <w:ind w:left="505"/>
              <w:rPr>
                <w:sz w:val="20"/>
              </w:rPr>
            </w:pPr>
            <w:r>
              <w:rPr>
                <w:sz w:val="20"/>
              </w:rPr>
              <w:t>0.142661</w:t>
            </w:r>
          </w:p>
        </w:tc>
        <w:tc>
          <w:tcPr>
            <w:tcW w:w="1433" w:type="dxa"/>
            <w:tcBorders>
              <w:top w:val="nil"/>
              <w:left w:val="nil"/>
              <w:bottom w:val="nil"/>
              <w:right w:val="nil"/>
            </w:tcBorders>
          </w:tcPr>
          <w:p>
            <w:pPr>
              <w:pStyle w:val="TableParagraph"/>
              <w:spacing w:before="105"/>
              <w:ind w:left="421" w:right="417"/>
              <w:jc w:val="center"/>
              <w:rPr>
                <w:sz w:val="20"/>
              </w:rPr>
            </w:pPr>
            <w:r>
              <w:rPr>
                <w:sz w:val="20"/>
              </w:rPr>
              <w:t>3.567</w:t>
            </w:r>
          </w:p>
        </w:tc>
        <w:tc>
          <w:tcPr>
            <w:tcW w:w="1377" w:type="dxa"/>
            <w:tcBorders>
              <w:top w:val="nil"/>
              <w:left w:val="nil"/>
              <w:bottom w:val="nil"/>
              <w:right w:val="nil"/>
            </w:tcBorders>
          </w:tcPr>
          <w:p>
            <w:pPr>
              <w:pStyle w:val="TableParagraph"/>
              <w:spacing w:before="105"/>
              <w:ind w:right="367"/>
              <w:jc w:val="right"/>
              <w:rPr>
                <w:sz w:val="20"/>
              </w:rPr>
            </w:pPr>
            <w:r>
              <w:rPr>
                <w:sz w:val="20"/>
              </w:rPr>
              <w:t>99.298</w:t>
            </w:r>
          </w:p>
        </w:tc>
        <w:tc>
          <w:tcPr>
            <w:tcW w:w="1374" w:type="dxa"/>
            <w:tcBorders>
              <w:top w:val="nil"/>
              <w:left w:val="nil"/>
              <w:bottom w:val="nil"/>
              <w:right w:val="nil"/>
            </w:tcBorders>
          </w:tcPr>
          <w:p>
            <w:pPr>
              <w:pStyle w:val="TableParagraph"/>
              <w:spacing w:before="105"/>
              <w:ind w:left="178"/>
              <w:rPr>
                <w:sz w:val="20"/>
              </w:rPr>
            </w:pPr>
            <w:r>
              <w:rPr>
                <w:sz w:val="20"/>
              </w:rPr>
              <w:t>||||||</w:t>
            </w:r>
          </w:p>
        </w:tc>
      </w:tr>
      <w:tr>
        <w:trPr>
          <w:trHeight w:val="582" w:hRule="exact"/>
        </w:trPr>
        <w:tc>
          <w:tcPr>
            <w:tcW w:w="1276" w:type="dxa"/>
            <w:tcBorders>
              <w:top w:val="nil"/>
              <w:left w:val="nil"/>
              <w:bottom w:val="single" w:sz="8" w:space="0" w:color="000000"/>
              <w:right w:val="nil"/>
            </w:tcBorders>
          </w:tcPr>
          <w:p>
            <w:pPr>
              <w:pStyle w:val="TableParagraph"/>
              <w:spacing w:before="102"/>
              <w:ind w:left="105"/>
              <w:rPr>
                <w:sz w:val="20"/>
              </w:rPr>
            </w:pPr>
            <w:r>
              <w:rPr>
                <w:w w:val="100"/>
                <w:sz w:val="20"/>
              </w:rPr>
              <w:t>4</w:t>
            </w:r>
          </w:p>
        </w:tc>
        <w:tc>
          <w:tcPr>
            <w:tcW w:w="1604" w:type="dxa"/>
            <w:tcBorders>
              <w:top w:val="nil"/>
              <w:left w:val="nil"/>
              <w:bottom w:val="single" w:sz="8" w:space="0" w:color="000000"/>
              <w:right w:val="nil"/>
            </w:tcBorders>
          </w:tcPr>
          <w:p>
            <w:pPr>
              <w:pStyle w:val="TableParagraph"/>
              <w:spacing w:before="102"/>
              <w:ind w:left="457"/>
              <w:rPr>
                <w:sz w:val="20"/>
              </w:rPr>
            </w:pPr>
            <w:r>
              <w:rPr>
                <w:sz w:val="20"/>
              </w:rPr>
              <w:t>0.0280699</w:t>
            </w:r>
          </w:p>
        </w:tc>
        <w:tc>
          <w:tcPr>
            <w:tcW w:w="1433" w:type="dxa"/>
            <w:tcBorders>
              <w:top w:val="nil"/>
              <w:left w:val="nil"/>
              <w:bottom w:val="single" w:sz="8" w:space="0" w:color="000000"/>
              <w:right w:val="nil"/>
            </w:tcBorders>
          </w:tcPr>
          <w:p>
            <w:pPr>
              <w:pStyle w:val="TableParagraph"/>
              <w:spacing w:before="102"/>
              <w:ind w:left="421" w:right="417"/>
              <w:jc w:val="center"/>
              <w:rPr>
                <w:sz w:val="20"/>
              </w:rPr>
            </w:pPr>
            <w:r>
              <w:rPr>
                <w:sz w:val="20"/>
              </w:rPr>
              <w:t>0.702</w:t>
            </w:r>
          </w:p>
        </w:tc>
        <w:tc>
          <w:tcPr>
            <w:tcW w:w="1377" w:type="dxa"/>
            <w:tcBorders>
              <w:top w:val="nil"/>
              <w:left w:val="nil"/>
              <w:bottom w:val="single" w:sz="8" w:space="0" w:color="000000"/>
              <w:right w:val="nil"/>
            </w:tcBorders>
          </w:tcPr>
          <w:p>
            <w:pPr>
              <w:pStyle w:val="TableParagraph"/>
              <w:spacing w:before="102"/>
              <w:ind w:right="367"/>
              <w:jc w:val="right"/>
              <w:rPr>
                <w:sz w:val="20"/>
              </w:rPr>
            </w:pPr>
            <w:r>
              <w:rPr>
                <w:sz w:val="20"/>
              </w:rPr>
              <w:t>100.00</w:t>
            </w:r>
          </w:p>
        </w:tc>
        <w:tc>
          <w:tcPr>
            <w:tcW w:w="1374" w:type="dxa"/>
            <w:tcBorders>
              <w:top w:val="nil"/>
              <w:left w:val="nil"/>
              <w:bottom w:val="single" w:sz="8" w:space="0" w:color="000000"/>
              <w:right w:val="nil"/>
            </w:tcBorders>
          </w:tcPr>
          <w:p>
            <w:pPr>
              <w:pStyle w:val="TableParagraph"/>
              <w:spacing w:before="102"/>
              <w:ind w:left="178"/>
              <w:rPr>
                <w:sz w:val="20"/>
              </w:rPr>
            </w:pPr>
            <w:r>
              <w:rPr>
                <w:w w:val="100"/>
                <w:sz w:val="20"/>
              </w:rPr>
              <w:t>|</w:t>
            </w:r>
          </w:p>
        </w:tc>
      </w:tr>
    </w:tbl>
    <w:p>
      <w:pPr>
        <w:pStyle w:val="BodyText"/>
        <w:rPr>
          <w:sz w:val="20"/>
        </w:rPr>
      </w:pPr>
    </w:p>
    <w:p>
      <w:pPr>
        <w:pStyle w:val="BodyText"/>
        <w:spacing w:before="4"/>
        <w:rPr>
          <w:sz w:val="21"/>
        </w:rPr>
      </w:pPr>
    </w:p>
    <w:p>
      <w:pPr>
        <w:pStyle w:val="BodyText"/>
        <w:spacing w:before="69"/>
        <w:ind w:left="152"/>
      </w:pPr>
      <w:r>
        <w:rPr/>
        <w:t>Anexo 2. Componentes Principales</w:t>
      </w:r>
    </w:p>
    <w:p>
      <w:pPr>
        <w:pStyle w:val="BodyText"/>
        <w:rPr>
          <w:sz w:val="20"/>
        </w:rPr>
      </w:pPr>
    </w:p>
    <w:p>
      <w:pPr>
        <w:pStyle w:val="BodyText"/>
        <w:spacing w:before="10"/>
        <w:rPr>
          <w:sz w:val="28"/>
        </w:rPr>
      </w:pPr>
    </w:p>
    <w:tbl>
      <w:tblPr>
        <w:tblW w:w="0" w:type="auto"/>
        <w:jc w:val="left"/>
        <w:tblInd w:w="10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7"/>
        <w:gridCol w:w="1677"/>
        <w:gridCol w:w="1757"/>
        <w:gridCol w:w="1741"/>
      </w:tblGrid>
      <w:tr>
        <w:trPr>
          <w:trHeight w:val="245" w:hRule="exact"/>
        </w:trPr>
        <w:tc>
          <w:tcPr>
            <w:tcW w:w="1807" w:type="dxa"/>
            <w:tcBorders>
              <w:left w:val="nil"/>
              <w:bottom w:val="single" w:sz="8" w:space="0" w:color="000000"/>
              <w:right w:val="nil"/>
            </w:tcBorders>
          </w:tcPr>
          <w:p>
            <w:pPr/>
          </w:p>
        </w:tc>
        <w:tc>
          <w:tcPr>
            <w:tcW w:w="1677" w:type="dxa"/>
            <w:tcBorders>
              <w:left w:val="nil"/>
              <w:bottom w:val="single" w:sz="8" w:space="0" w:color="000000"/>
              <w:right w:val="nil"/>
            </w:tcBorders>
          </w:tcPr>
          <w:p>
            <w:pPr/>
          </w:p>
        </w:tc>
        <w:tc>
          <w:tcPr>
            <w:tcW w:w="1757" w:type="dxa"/>
            <w:tcBorders>
              <w:left w:val="nil"/>
              <w:bottom w:val="single" w:sz="8" w:space="0" w:color="000000"/>
              <w:right w:val="nil"/>
            </w:tcBorders>
          </w:tcPr>
          <w:p>
            <w:pPr>
              <w:pStyle w:val="TableParagraph"/>
              <w:spacing w:line="226" w:lineRule="exact"/>
              <w:ind w:left="75" w:right="75"/>
              <w:jc w:val="center"/>
              <w:rPr>
                <w:b/>
                <w:sz w:val="20"/>
              </w:rPr>
            </w:pPr>
            <w:r>
              <w:rPr>
                <w:b/>
                <w:sz w:val="20"/>
              </w:rPr>
              <w:t>COMPONENTES</w:t>
            </w:r>
          </w:p>
        </w:tc>
        <w:tc>
          <w:tcPr>
            <w:tcW w:w="1741" w:type="dxa"/>
            <w:tcBorders>
              <w:left w:val="nil"/>
              <w:bottom w:val="single" w:sz="8" w:space="0" w:color="000000"/>
              <w:right w:val="nil"/>
            </w:tcBorders>
          </w:tcPr>
          <w:p>
            <w:pPr/>
          </w:p>
        </w:tc>
      </w:tr>
      <w:tr>
        <w:trPr>
          <w:trHeight w:val="241" w:hRule="exact"/>
        </w:trPr>
        <w:tc>
          <w:tcPr>
            <w:tcW w:w="1807" w:type="dxa"/>
            <w:tcBorders>
              <w:top w:val="single" w:sz="8" w:space="0" w:color="000000"/>
              <w:left w:val="nil"/>
              <w:bottom w:val="nil"/>
              <w:right w:val="nil"/>
            </w:tcBorders>
          </w:tcPr>
          <w:p>
            <w:pPr/>
          </w:p>
        </w:tc>
        <w:tc>
          <w:tcPr>
            <w:tcW w:w="1677" w:type="dxa"/>
            <w:tcBorders>
              <w:top w:val="single" w:sz="8" w:space="0" w:color="000000"/>
              <w:left w:val="nil"/>
              <w:bottom w:val="nil"/>
              <w:right w:val="nil"/>
            </w:tcBorders>
          </w:tcPr>
          <w:p>
            <w:pPr>
              <w:pStyle w:val="TableParagraph"/>
              <w:spacing w:line="221" w:lineRule="exact"/>
              <w:ind w:left="370" w:right="448"/>
              <w:jc w:val="center"/>
              <w:rPr>
                <w:sz w:val="20"/>
              </w:rPr>
            </w:pPr>
            <w:r>
              <w:rPr>
                <w:sz w:val="20"/>
              </w:rPr>
              <w:t>CP 1</w:t>
            </w:r>
          </w:p>
        </w:tc>
        <w:tc>
          <w:tcPr>
            <w:tcW w:w="1757" w:type="dxa"/>
            <w:tcBorders>
              <w:top w:val="single" w:sz="8" w:space="0" w:color="000000"/>
              <w:left w:val="nil"/>
              <w:bottom w:val="nil"/>
              <w:right w:val="nil"/>
            </w:tcBorders>
          </w:tcPr>
          <w:p>
            <w:pPr>
              <w:pStyle w:val="TableParagraph"/>
              <w:spacing w:line="221" w:lineRule="exact"/>
              <w:ind w:left="73" w:right="75"/>
              <w:jc w:val="center"/>
              <w:rPr>
                <w:sz w:val="20"/>
              </w:rPr>
            </w:pPr>
            <w:r>
              <w:rPr>
                <w:sz w:val="20"/>
              </w:rPr>
              <w:t>CP2</w:t>
            </w:r>
          </w:p>
        </w:tc>
        <w:tc>
          <w:tcPr>
            <w:tcW w:w="1741" w:type="dxa"/>
            <w:tcBorders>
              <w:top w:val="single" w:sz="8" w:space="0" w:color="000000"/>
              <w:left w:val="nil"/>
              <w:bottom w:val="nil"/>
              <w:right w:val="nil"/>
            </w:tcBorders>
          </w:tcPr>
          <w:p>
            <w:pPr>
              <w:pStyle w:val="TableParagraph"/>
              <w:spacing w:line="221" w:lineRule="exact"/>
              <w:ind w:left="450" w:right="433"/>
              <w:jc w:val="center"/>
              <w:rPr>
                <w:sz w:val="20"/>
              </w:rPr>
            </w:pPr>
            <w:r>
              <w:rPr>
                <w:sz w:val="20"/>
              </w:rPr>
              <w:t>CP 3</w:t>
            </w:r>
          </w:p>
        </w:tc>
      </w:tr>
      <w:tr>
        <w:trPr>
          <w:trHeight w:val="233" w:hRule="exact"/>
        </w:trPr>
        <w:tc>
          <w:tcPr>
            <w:tcW w:w="1807" w:type="dxa"/>
            <w:tcBorders>
              <w:top w:val="nil"/>
              <w:left w:val="nil"/>
              <w:bottom w:val="nil"/>
              <w:right w:val="nil"/>
            </w:tcBorders>
          </w:tcPr>
          <w:p>
            <w:pPr>
              <w:pStyle w:val="TableParagraph"/>
              <w:spacing w:line="220" w:lineRule="exact"/>
              <w:ind w:left="124"/>
              <w:rPr>
                <w:sz w:val="20"/>
              </w:rPr>
            </w:pPr>
            <w:r>
              <w:rPr>
                <w:sz w:val="20"/>
              </w:rPr>
              <w:t>Peso</w:t>
            </w:r>
          </w:p>
        </w:tc>
        <w:tc>
          <w:tcPr>
            <w:tcW w:w="1677" w:type="dxa"/>
            <w:tcBorders>
              <w:top w:val="nil"/>
              <w:left w:val="nil"/>
              <w:bottom w:val="nil"/>
              <w:right w:val="nil"/>
            </w:tcBorders>
          </w:tcPr>
          <w:p>
            <w:pPr>
              <w:pStyle w:val="TableParagraph"/>
              <w:spacing w:line="225" w:lineRule="exact"/>
              <w:ind w:left="370" w:right="449"/>
              <w:jc w:val="center"/>
              <w:rPr>
                <w:b/>
                <w:sz w:val="20"/>
              </w:rPr>
            </w:pPr>
            <w:r>
              <w:rPr>
                <w:b/>
                <w:sz w:val="20"/>
              </w:rPr>
              <w:t>0.503854</w:t>
            </w:r>
          </w:p>
        </w:tc>
        <w:tc>
          <w:tcPr>
            <w:tcW w:w="1757" w:type="dxa"/>
            <w:tcBorders>
              <w:top w:val="nil"/>
              <w:left w:val="nil"/>
              <w:bottom w:val="nil"/>
              <w:right w:val="nil"/>
            </w:tcBorders>
          </w:tcPr>
          <w:p>
            <w:pPr>
              <w:pStyle w:val="TableParagraph"/>
              <w:spacing w:line="220" w:lineRule="exact"/>
              <w:ind w:left="75" w:right="75"/>
              <w:jc w:val="center"/>
              <w:rPr>
                <w:sz w:val="20"/>
              </w:rPr>
            </w:pPr>
            <w:r>
              <w:rPr>
                <w:sz w:val="20"/>
              </w:rPr>
              <w:t>-0.226119</w:t>
            </w:r>
          </w:p>
        </w:tc>
        <w:tc>
          <w:tcPr>
            <w:tcW w:w="1741" w:type="dxa"/>
            <w:tcBorders>
              <w:top w:val="nil"/>
              <w:left w:val="nil"/>
              <w:bottom w:val="nil"/>
              <w:right w:val="nil"/>
            </w:tcBorders>
          </w:tcPr>
          <w:p>
            <w:pPr>
              <w:pStyle w:val="TableParagraph"/>
              <w:spacing w:line="225" w:lineRule="exact"/>
              <w:ind w:left="450" w:right="434"/>
              <w:jc w:val="center"/>
              <w:rPr>
                <w:b/>
                <w:sz w:val="20"/>
              </w:rPr>
            </w:pPr>
            <w:r>
              <w:rPr>
                <w:b/>
                <w:sz w:val="20"/>
              </w:rPr>
              <w:t>0.826974</w:t>
            </w:r>
          </w:p>
        </w:tc>
      </w:tr>
      <w:tr>
        <w:trPr>
          <w:trHeight w:val="230" w:hRule="exact"/>
        </w:trPr>
        <w:tc>
          <w:tcPr>
            <w:tcW w:w="1807" w:type="dxa"/>
            <w:tcBorders>
              <w:top w:val="nil"/>
              <w:left w:val="nil"/>
              <w:bottom w:val="nil"/>
              <w:right w:val="nil"/>
            </w:tcBorders>
          </w:tcPr>
          <w:p>
            <w:pPr>
              <w:pStyle w:val="TableParagraph"/>
              <w:spacing w:line="217" w:lineRule="exact"/>
              <w:ind w:left="124"/>
              <w:rPr>
                <w:sz w:val="20"/>
              </w:rPr>
            </w:pPr>
            <w:r>
              <w:rPr>
                <w:sz w:val="20"/>
              </w:rPr>
              <w:t>Longitud total</w:t>
            </w:r>
          </w:p>
        </w:tc>
        <w:tc>
          <w:tcPr>
            <w:tcW w:w="1677" w:type="dxa"/>
            <w:tcBorders>
              <w:top w:val="nil"/>
              <w:left w:val="nil"/>
              <w:bottom w:val="nil"/>
              <w:right w:val="nil"/>
            </w:tcBorders>
          </w:tcPr>
          <w:p>
            <w:pPr>
              <w:pStyle w:val="TableParagraph"/>
              <w:spacing w:line="222" w:lineRule="exact"/>
              <w:ind w:left="370" w:right="448"/>
              <w:jc w:val="center"/>
              <w:rPr>
                <w:b/>
                <w:sz w:val="20"/>
              </w:rPr>
            </w:pPr>
            <w:r>
              <w:rPr>
                <w:b/>
                <w:sz w:val="20"/>
              </w:rPr>
              <w:t>-0.522367</w:t>
            </w:r>
          </w:p>
        </w:tc>
        <w:tc>
          <w:tcPr>
            <w:tcW w:w="1757" w:type="dxa"/>
            <w:tcBorders>
              <w:top w:val="nil"/>
              <w:left w:val="nil"/>
              <w:bottom w:val="nil"/>
              <w:right w:val="nil"/>
            </w:tcBorders>
          </w:tcPr>
          <w:p>
            <w:pPr>
              <w:pStyle w:val="TableParagraph"/>
              <w:spacing w:line="217" w:lineRule="exact"/>
              <w:ind w:left="75" w:right="75"/>
              <w:jc w:val="center"/>
              <w:rPr>
                <w:sz w:val="20"/>
              </w:rPr>
            </w:pPr>
            <w:r>
              <w:rPr>
                <w:sz w:val="20"/>
              </w:rPr>
              <w:t>0.247228</w:t>
            </w:r>
          </w:p>
        </w:tc>
        <w:tc>
          <w:tcPr>
            <w:tcW w:w="1741" w:type="dxa"/>
            <w:tcBorders>
              <w:top w:val="nil"/>
              <w:left w:val="nil"/>
              <w:bottom w:val="nil"/>
              <w:right w:val="nil"/>
            </w:tcBorders>
          </w:tcPr>
          <w:p>
            <w:pPr>
              <w:pStyle w:val="TableParagraph"/>
              <w:spacing w:line="217" w:lineRule="exact"/>
              <w:ind w:left="450" w:right="434"/>
              <w:jc w:val="center"/>
              <w:rPr>
                <w:sz w:val="20"/>
              </w:rPr>
            </w:pPr>
            <w:r>
              <w:rPr>
                <w:sz w:val="20"/>
              </w:rPr>
              <w:t>0.288542</w:t>
            </w:r>
          </w:p>
        </w:tc>
      </w:tr>
      <w:tr>
        <w:trPr>
          <w:trHeight w:val="230" w:hRule="exact"/>
        </w:trPr>
        <w:tc>
          <w:tcPr>
            <w:tcW w:w="1807" w:type="dxa"/>
            <w:tcBorders>
              <w:top w:val="nil"/>
              <w:left w:val="nil"/>
              <w:bottom w:val="nil"/>
              <w:right w:val="nil"/>
            </w:tcBorders>
          </w:tcPr>
          <w:p>
            <w:pPr>
              <w:pStyle w:val="TableParagraph"/>
              <w:spacing w:line="217" w:lineRule="exact"/>
              <w:ind w:left="124"/>
              <w:rPr>
                <w:sz w:val="20"/>
              </w:rPr>
            </w:pPr>
            <w:r>
              <w:rPr>
                <w:sz w:val="20"/>
              </w:rPr>
              <w:t>Longitud patrón</w:t>
            </w:r>
          </w:p>
        </w:tc>
        <w:tc>
          <w:tcPr>
            <w:tcW w:w="1677" w:type="dxa"/>
            <w:tcBorders>
              <w:top w:val="nil"/>
              <w:left w:val="nil"/>
              <w:bottom w:val="nil"/>
              <w:right w:val="nil"/>
            </w:tcBorders>
          </w:tcPr>
          <w:p>
            <w:pPr>
              <w:pStyle w:val="TableParagraph"/>
              <w:spacing w:line="222" w:lineRule="exact"/>
              <w:ind w:left="370" w:right="449"/>
              <w:jc w:val="center"/>
              <w:rPr>
                <w:b/>
                <w:sz w:val="20"/>
              </w:rPr>
            </w:pPr>
            <w:r>
              <w:rPr>
                <w:b/>
                <w:sz w:val="20"/>
              </w:rPr>
              <w:t>-0.514196</w:t>
            </w:r>
          </w:p>
        </w:tc>
        <w:tc>
          <w:tcPr>
            <w:tcW w:w="1757" w:type="dxa"/>
            <w:tcBorders>
              <w:top w:val="nil"/>
              <w:left w:val="nil"/>
              <w:bottom w:val="nil"/>
              <w:right w:val="nil"/>
            </w:tcBorders>
          </w:tcPr>
          <w:p>
            <w:pPr>
              <w:pStyle w:val="TableParagraph"/>
              <w:spacing w:line="217" w:lineRule="exact"/>
              <w:ind w:left="75" w:right="75"/>
              <w:jc w:val="center"/>
              <w:rPr>
                <w:sz w:val="20"/>
              </w:rPr>
            </w:pPr>
            <w:r>
              <w:rPr>
                <w:sz w:val="20"/>
              </w:rPr>
              <w:t>0.316153</w:t>
            </w:r>
          </w:p>
        </w:tc>
        <w:tc>
          <w:tcPr>
            <w:tcW w:w="1741" w:type="dxa"/>
            <w:tcBorders>
              <w:top w:val="nil"/>
              <w:left w:val="nil"/>
              <w:bottom w:val="nil"/>
              <w:right w:val="nil"/>
            </w:tcBorders>
          </w:tcPr>
          <w:p>
            <w:pPr>
              <w:pStyle w:val="TableParagraph"/>
              <w:spacing w:line="217" w:lineRule="exact"/>
              <w:ind w:left="450" w:right="434"/>
              <w:jc w:val="center"/>
              <w:rPr>
                <w:sz w:val="20"/>
              </w:rPr>
            </w:pPr>
            <w:r>
              <w:rPr>
                <w:sz w:val="20"/>
              </w:rPr>
              <w:t>0.480812</w:t>
            </w:r>
          </w:p>
        </w:tc>
      </w:tr>
      <w:tr>
        <w:trPr>
          <w:trHeight w:val="237" w:hRule="exact"/>
        </w:trPr>
        <w:tc>
          <w:tcPr>
            <w:tcW w:w="1807" w:type="dxa"/>
            <w:tcBorders>
              <w:top w:val="nil"/>
              <w:left w:val="nil"/>
              <w:bottom w:val="single" w:sz="8" w:space="0" w:color="000000"/>
              <w:right w:val="nil"/>
            </w:tcBorders>
          </w:tcPr>
          <w:p>
            <w:pPr>
              <w:pStyle w:val="TableParagraph"/>
              <w:spacing w:line="217" w:lineRule="exact"/>
              <w:ind w:left="124"/>
              <w:rPr>
                <w:sz w:val="20"/>
              </w:rPr>
            </w:pPr>
            <w:r>
              <w:rPr>
                <w:sz w:val="20"/>
              </w:rPr>
              <w:t>Altura</w:t>
            </w:r>
          </w:p>
        </w:tc>
        <w:tc>
          <w:tcPr>
            <w:tcW w:w="1677" w:type="dxa"/>
            <w:tcBorders>
              <w:top w:val="nil"/>
              <w:left w:val="nil"/>
              <w:bottom w:val="single" w:sz="8" w:space="0" w:color="000000"/>
              <w:right w:val="nil"/>
            </w:tcBorders>
          </w:tcPr>
          <w:p>
            <w:pPr>
              <w:pStyle w:val="TableParagraph"/>
              <w:spacing w:line="217" w:lineRule="exact"/>
              <w:ind w:left="370" w:right="449"/>
              <w:jc w:val="center"/>
              <w:rPr>
                <w:sz w:val="20"/>
              </w:rPr>
            </w:pPr>
            <w:r>
              <w:rPr>
                <w:sz w:val="20"/>
              </w:rPr>
              <w:t>0.457018</w:t>
            </w:r>
          </w:p>
        </w:tc>
        <w:tc>
          <w:tcPr>
            <w:tcW w:w="1757" w:type="dxa"/>
            <w:tcBorders>
              <w:top w:val="nil"/>
              <w:left w:val="nil"/>
              <w:bottom w:val="single" w:sz="8" w:space="0" w:color="000000"/>
              <w:right w:val="nil"/>
            </w:tcBorders>
          </w:tcPr>
          <w:p>
            <w:pPr>
              <w:pStyle w:val="TableParagraph"/>
              <w:spacing w:line="222" w:lineRule="exact"/>
              <w:ind w:left="75" w:right="75"/>
              <w:jc w:val="center"/>
              <w:rPr>
                <w:b/>
                <w:sz w:val="20"/>
              </w:rPr>
            </w:pPr>
            <w:r>
              <w:rPr>
                <w:b/>
                <w:sz w:val="20"/>
              </w:rPr>
              <w:t>0.887579</w:t>
            </w:r>
          </w:p>
        </w:tc>
        <w:tc>
          <w:tcPr>
            <w:tcW w:w="1741" w:type="dxa"/>
            <w:tcBorders>
              <w:top w:val="nil"/>
              <w:left w:val="nil"/>
              <w:bottom w:val="single" w:sz="8" w:space="0" w:color="000000"/>
              <w:right w:val="nil"/>
            </w:tcBorders>
          </w:tcPr>
          <w:p>
            <w:pPr>
              <w:pStyle w:val="TableParagraph"/>
              <w:spacing w:line="217" w:lineRule="exact"/>
              <w:ind w:left="450" w:right="434"/>
              <w:jc w:val="center"/>
              <w:rPr>
                <w:sz w:val="20"/>
              </w:rPr>
            </w:pPr>
            <w:r>
              <w:rPr>
                <w:sz w:val="20"/>
              </w:rPr>
              <w:t>-0.040955</w:t>
            </w:r>
          </w:p>
        </w:tc>
      </w:tr>
    </w:tbl>
    <w:p>
      <w:pPr>
        <w:spacing w:after="0" w:line="217" w:lineRule="exact"/>
        <w:jc w:val="center"/>
        <w:rPr>
          <w:sz w:val="20"/>
        </w:rPr>
        <w:sectPr>
          <w:pgSz w:w="12240" w:h="15840"/>
          <w:pgMar w:header="0" w:footer="1304" w:top="1500" w:bottom="1500" w:left="1720" w:right="1420"/>
        </w:sectPr>
      </w:pPr>
    </w:p>
    <w:p>
      <w:pPr>
        <w:pStyle w:val="BodyText"/>
        <w:spacing w:before="7"/>
        <w:rPr>
          <w:sz w:val="20"/>
        </w:rPr>
      </w:pPr>
    </w:p>
    <w:p>
      <w:pPr>
        <w:pStyle w:val="BodyText"/>
        <w:spacing w:before="69"/>
        <w:ind w:left="232" w:right="219"/>
        <w:jc w:val="both"/>
      </w:pPr>
      <w:r>
        <w:rPr/>
        <w:t>Anexo 3. ANCOVA: efecto del sexo (hembras-machos) y </w:t>
      </w:r>
      <w:r>
        <w:rPr>
          <w:spacing w:val="-3"/>
        </w:rPr>
        <w:t>la </w:t>
      </w:r>
      <w:r>
        <w:rPr/>
        <w:t>localidad (Embalse San Juanico-Laguna de Chicnahuapan) en </w:t>
      </w:r>
      <w:r>
        <w:rPr>
          <w:spacing w:val="-3"/>
        </w:rPr>
        <w:t>la </w:t>
      </w:r>
      <w:r>
        <w:rPr/>
        <w:t>intensidad parasitaria de </w:t>
      </w:r>
      <w:r>
        <w:rPr>
          <w:i/>
        </w:rPr>
        <w:t>Tylodelphys </w:t>
      </w:r>
      <w:r>
        <w:rPr/>
        <w:t>sp.(datos transformados a logaritmo  para su normalidad) (covariables = componentes principales  SS= </w:t>
      </w:r>
      <w:r>
        <w:rPr>
          <w:spacing w:val="-3"/>
        </w:rPr>
        <w:t>suma </w:t>
      </w:r>
      <w:r>
        <w:rPr/>
        <w:t>de cuadrados ; df = grados de libertad); *nivel de significancia </w:t>
      </w:r>
      <w:r>
        <w:rPr>
          <w:i/>
        </w:rPr>
        <w:t>( p </w:t>
      </w:r>
      <w:r>
        <w:rPr/>
        <w:t>&lt;</w:t>
      </w:r>
      <w:r>
        <w:rPr>
          <w:spacing w:val="-3"/>
        </w:rPr>
        <w:t> </w:t>
      </w:r>
      <w:r>
        <w:rPr/>
        <w:t>0.05).</w:t>
      </w:r>
    </w:p>
    <w:p>
      <w:pPr>
        <w:pStyle w:val="BodyText"/>
        <w:spacing w:before="8"/>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8"/>
        <w:gridCol w:w="1307"/>
        <w:gridCol w:w="1251"/>
        <w:gridCol w:w="1549"/>
        <w:gridCol w:w="1385"/>
        <w:gridCol w:w="1712"/>
      </w:tblGrid>
      <w:tr>
        <w:trPr>
          <w:trHeight w:val="710" w:hRule="exact"/>
        </w:trPr>
        <w:tc>
          <w:tcPr>
            <w:tcW w:w="1858" w:type="dxa"/>
            <w:tcBorders>
              <w:left w:val="nil"/>
              <w:bottom w:val="single" w:sz="8" w:space="0" w:color="000000"/>
              <w:right w:val="nil"/>
            </w:tcBorders>
          </w:tcPr>
          <w:p>
            <w:pPr>
              <w:pStyle w:val="TableParagraph"/>
              <w:spacing w:line="221" w:lineRule="exact"/>
              <w:ind w:left="710"/>
              <w:rPr>
                <w:sz w:val="20"/>
              </w:rPr>
            </w:pPr>
            <w:r>
              <w:rPr>
                <w:sz w:val="20"/>
              </w:rPr>
              <w:t>Source</w:t>
            </w:r>
          </w:p>
        </w:tc>
        <w:tc>
          <w:tcPr>
            <w:tcW w:w="1307" w:type="dxa"/>
            <w:tcBorders>
              <w:left w:val="nil"/>
              <w:bottom w:val="single" w:sz="8" w:space="0" w:color="000000"/>
              <w:right w:val="nil"/>
            </w:tcBorders>
          </w:tcPr>
          <w:p>
            <w:pPr>
              <w:pStyle w:val="TableParagraph"/>
              <w:spacing w:line="226" w:lineRule="exact"/>
              <w:ind w:left="226"/>
              <w:rPr>
                <w:b/>
                <w:sz w:val="20"/>
              </w:rPr>
            </w:pPr>
            <w:r>
              <w:rPr>
                <w:b/>
                <w:sz w:val="20"/>
              </w:rPr>
              <w:t>SS</w:t>
            </w:r>
          </w:p>
        </w:tc>
        <w:tc>
          <w:tcPr>
            <w:tcW w:w="1251" w:type="dxa"/>
            <w:tcBorders>
              <w:left w:val="nil"/>
              <w:bottom w:val="single" w:sz="8" w:space="0" w:color="000000"/>
              <w:right w:val="nil"/>
            </w:tcBorders>
          </w:tcPr>
          <w:p>
            <w:pPr>
              <w:pStyle w:val="TableParagraph"/>
              <w:spacing w:line="226" w:lineRule="exact"/>
              <w:ind w:left="427"/>
              <w:rPr>
                <w:b/>
                <w:sz w:val="20"/>
              </w:rPr>
            </w:pPr>
            <w:r>
              <w:rPr>
                <w:b/>
                <w:sz w:val="20"/>
              </w:rPr>
              <w:t>Df</w:t>
            </w:r>
          </w:p>
        </w:tc>
        <w:tc>
          <w:tcPr>
            <w:tcW w:w="1549" w:type="dxa"/>
            <w:tcBorders>
              <w:left w:val="nil"/>
              <w:bottom w:val="single" w:sz="8" w:space="0" w:color="000000"/>
              <w:right w:val="nil"/>
            </w:tcBorders>
          </w:tcPr>
          <w:p>
            <w:pPr>
              <w:pStyle w:val="TableParagraph"/>
              <w:ind w:left="520" w:right="286"/>
              <w:rPr>
                <w:b/>
                <w:sz w:val="20"/>
              </w:rPr>
            </w:pPr>
            <w:r>
              <w:rPr>
                <w:b/>
                <w:sz w:val="20"/>
              </w:rPr>
              <w:t>Mean Squared</w:t>
            </w:r>
          </w:p>
        </w:tc>
        <w:tc>
          <w:tcPr>
            <w:tcW w:w="1385" w:type="dxa"/>
            <w:tcBorders>
              <w:left w:val="nil"/>
              <w:bottom w:val="single" w:sz="8" w:space="0" w:color="000000"/>
              <w:right w:val="nil"/>
            </w:tcBorders>
          </w:tcPr>
          <w:p>
            <w:pPr>
              <w:pStyle w:val="TableParagraph"/>
              <w:spacing w:line="226" w:lineRule="exact"/>
              <w:ind w:left="302"/>
              <w:rPr>
                <w:b/>
                <w:sz w:val="20"/>
              </w:rPr>
            </w:pPr>
            <w:r>
              <w:rPr>
                <w:b/>
                <w:sz w:val="20"/>
              </w:rPr>
              <w:t>F-ratio</w:t>
            </w:r>
          </w:p>
        </w:tc>
        <w:tc>
          <w:tcPr>
            <w:tcW w:w="1712" w:type="dxa"/>
            <w:tcBorders>
              <w:left w:val="nil"/>
              <w:bottom w:val="single" w:sz="8" w:space="0" w:color="000000"/>
              <w:right w:val="nil"/>
            </w:tcBorders>
          </w:tcPr>
          <w:p>
            <w:pPr>
              <w:pStyle w:val="TableParagraph"/>
              <w:spacing w:line="226" w:lineRule="exact"/>
              <w:ind w:left="478"/>
              <w:rPr>
                <w:b/>
                <w:sz w:val="20"/>
              </w:rPr>
            </w:pPr>
            <w:r>
              <w:rPr>
                <w:b/>
                <w:sz w:val="20"/>
              </w:rPr>
              <w:t>P-Value</w:t>
            </w:r>
          </w:p>
        </w:tc>
      </w:tr>
      <w:tr>
        <w:trPr>
          <w:trHeight w:val="488" w:hRule="exact"/>
        </w:trPr>
        <w:tc>
          <w:tcPr>
            <w:tcW w:w="1858" w:type="dxa"/>
            <w:tcBorders>
              <w:top w:val="single" w:sz="8" w:space="0" w:color="000000"/>
              <w:left w:val="nil"/>
              <w:bottom w:val="nil"/>
              <w:right w:val="nil"/>
            </w:tcBorders>
          </w:tcPr>
          <w:p>
            <w:pPr>
              <w:pStyle w:val="TableParagraph"/>
              <w:spacing w:line="221" w:lineRule="exact"/>
              <w:ind w:left="110"/>
              <w:rPr>
                <w:sz w:val="20"/>
              </w:rPr>
            </w:pPr>
            <w:r>
              <w:rPr>
                <w:sz w:val="20"/>
              </w:rPr>
              <w:t>Covariados</w:t>
            </w:r>
          </w:p>
        </w:tc>
        <w:tc>
          <w:tcPr>
            <w:tcW w:w="1307" w:type="dxa"/>
            <w:tcBorders>
              <w:top w:val="single" w:sz="8" w:space="0" w:color="000000"/>
              <w:left w:val="nil"/>
              <w:bottom w:val="nil"/>
              <w:right w:val="nil"/>
            </w:tcBorders>
          </w:tcPr>
          <w:p>
            <w:pPr/>
          </w:p>
        </w:tc>
        <w:tc>
          <w:tcPr>
            <w:tcW w:w="1251" w:type="dxa"/>
            <w:tcBorders>
              <w:top w:val="single" w:sz="8" w:space="0" w:color="000000"/>
              <w:left w:val="nil"/>
              <w:bottom w:val="nil"/>
              <w:right w:val="nil"/>
            </w:tcBorders>
          </w:tcPr>
          <w:p>
            <w:pPr/>
          </w:p>
        </w:tc>
        <w:tc>
          <w:tcPr>
            <w:tcW w:w="1549" w:type="dxa"/>
            <w:tcBorders>
              <w:top w:val="single" w:sz="8" w:space="0" w:color="000000"/>
              <w:left w:val="nil"/>
              <w:bottom w:val="nil"/>
              <w:right w:val="nil"/>
            </w:tcBorders>
          </w:tcPr>
          <w:p>
            <w:pPr/>
          </w:p>
        </w:tc>
        <w:tc>
          <w:tcPr>
            <w:tcW w:w="1385" w:type="dxa"/>
            <w:tcBorders>
              <w:top w:val="single" w:sz="8" w:space="0" w:color="000000"/>
              <w:left w:val="nil"/>
              <w:bottom w:val="nil"/>
              <w:right w:val="nil"/>
            </w:tcBorders>
          </w:tcPr>
          <w:p>
            <w:pPr/>
          </w:p>
        </w:tc>
        <w:tc>
          <w:tcPr>
            <w:tcW w:w="1712" w:type="dxa"/>
            <w:tcBorders>
              <w:top w:val="single" w:sz="8" w:space="0" w:color="000000"/>
              <w:left w:val="nil"/>
              <w:bottom w:val="nil"/>
              <w:right w:val="nil"/>
            </w:tcBorders>
          </w:tcPr>
          <w:p>
            <w:pPr/>
          </w:p>
        </w:tc>
      </w:tr>
      <w:tr>
        <w:trPr>
          <w:trHeight w:val="694" w:hRule="exact"/>
        </w:trPr>
        <w:tc>
          <w:tcPr>
            <w:tcW w:w="1858" w:type="dxa"/>
            <w:tcBorders>
              <w:top w:val="nil"/>
              <w:left w:val="nil"/>
              <w:bottom w:val="nil"/>
              <w:right w:val="nil"/>
            </w:tcBorders>
          </w:tcPr>
          <w:p>
            <w:pPr>
              <w:pStyle w:val="TableParagraph"/>
              <w:spacing w:before="7"/>
              <w:rPr>
                <w:sz w:val="20"/>
              </w:rPr>
            </w:pPr>
          </w:p>
          <w:p>
            <w:pPr>
              <w:pStyle w:val="TableParagraph"/>
              <w:ind w:left="110"/>
              <w:rPr>
                <w:sz w:val="20"/>
              </w:rPr>
            </w:pPr>
            <w:r>
              <w:rPr>
                <w:sz w:val="20"/>
              </w:rPr>
              <w:t>PC1</w:t>
            </w:r>
          </w:p>
        </w:tc>
        <w:tc>
          <w:tcPr>
            <w:tcW w:w="1307" w:type="dxa"/>
            <w:tcBorders>
              <w:top w:val="nil"/>
              <w:left w:val="nil"/>
              <w:bottom w:val="nil"/>
              <w:right w:val="nil"/>
            </w:tcBorders>
          </w:tcPr>
          <w:p>
            <w:pPr>
              <w:pStyle w:val="TableParagraph"/>
              <w:spacing w:before="7"/>
              <w:rPr>
                <w:sz w:val="20"/>
              </w:rPr>
            </w:pPr>
          </w:p>
          <w:p>
            <w:pPr>
              <w:pStyle w:val="TableParagraph"/>
              <w:ind w:left="226"/>
              <w:rPr>
                <w:sz w:val="20"/>
              </w:rPr>
            </w:pPr>
            <w:r>
              <w:rPr>
                <w:sz w:val="20"/>
              </w:rPr>
              <w:t>1,7569</w:t>
            </w:r>
          </w:p>
        </w:tc>
        <w:tc>
          <w:tcPr>
            <w:tcW w:w="1251" w:type="dxa"/>
            <w:tcBorders>
              <w:top w:val="nil"/>
              <w:left w:val="nil"/>
              <w:bottom w:val="nil"/>
              <w:right w:val="nil"/>
            </w:tcBorders>
          </w:tcPr>
          <w:p>
            <w:pPr>
              <w:pStyle w:val="TableParagraph"/>
              <w:spacing w:before="7"/>
              <w:rPr>
                <w:sz w:val="20"/>
              </w:rPr>
            </w:pPr>
          </w:p>
          <w:p>
            <w:pPr>
              <w:pStyle w:val="TableParagraph"/>
              <w:ind w:left="427"/>
              <w:rPr>
                <w:sz w:val="20"/>
              </w:rPr>
            </w:pPr>
            <w:r>
              <w:rPr>
                <w:w w:val="100"/>
                <w:sz w:val="20"/>
              </w:rPr>
              <w:t>1</w:t>
            </w:r>
          </w:p>
        </w:tc>
        <w:tc>
          <w:tcPr>
            <w:tcW w:w="1549" w:type="dxa"/>
            <w:tcBorders>
              <w:top w:val="nil"/>
              <w:left w:val="nil"/>
              <w:bottom w:val="nil"/>
              <w:right w:val="nil"/>
            </w:tcBorders>
          </w:tcPr>
          <w:p>
            <w:pPr>
              <w:pStyle w:val="TableParagraph"/>
              <w:spacing w:before="7"/>
              <w:rPr>
                <w:sz w:val="20"/>
              </w:rPr>
            </w:pPr>
          </w:p>
          <w:p>
            <w:pPr>
              <w:pStyle w:val="TableParagraph"/>
              <w:ind w:left="520" w:right="286"/>
              <w:rPr>
                <w:sz w:val="20"/>
              </w:rPr>
            </w:pPr>
            <w:r>
              <w:rPr>
                <w:sz w:val="20"/>
              </w:rPr>
              <w:t>1,7569</w:t>
            </w:r>
          </w:p>
        </w:tc>
        <w:tc>
          <w:tcPr>
            <w:tcW w:w="1385" w:type="dxa"/>
            <w:tcBorders>
              <w:top w:val="nil"/>
              <w:left w:val="nil"/>
              <w:bottom w:val="nil"/>
              <w:right w:val="nil"/>
            </w:tcBorders>
          </w:tcPr>
          <w:p>
            <w:pPr>
              <w:pStyle w:val="TableParagraph"/>
              <w:spacing w:before="7"/>
              <w:rPr>
                <w:sz w:val="20"/>
              </w:rPr>
            </w:pPr>
          </w:p>
          <w:p>
            <w:pPr>
              <w:pStyle w:val="TableParagraph"/>
              <w:ind w:left="302"/>
              <w:rPr>
                <w:sz w:val="20"/>
              </w:rPr>
            </w:pPr>
            <w:r>
              <w:rPr>
                <w:sz w:val="20"/>
              </w:rPr>
              <w:t>1,59</w:t>
            </w:r>
          </w:p>
        </w:tc>
        <w:tc>
          <w:tcPr>
            <w:tcW w:w="1712" w:type="dxa"/>
            <w:tcBorders>
              <w:top w:val="nil"/>
              <w:left w:val="nil"/>
              <w:bottom w:val="nil"/>
              <w:right w:val="nil"/>
            </w:tcBorders>
          </w:tcPr>
          <w:p>
            <w:pPr>
              <w:pStyle w:val="TableParagraph"/>
              <w:spacing w:before="7"/>
              <w:rPr>
                <w:sz w:val="20"/>
              </w:rPr>
            </w:pPr>
          </w:p>
          <w:p>
            <w:pPr>
              <w:pStyle w:val="TableParagraph"/>
              <w:ind w:left="478"/>
              <w:rPr>
                <w:sz w:val="20"/>
              </w:rPr>
            </w:pPr>
            <w:r>
              <w:rPr>
                <w:sz w:val="20"/>
              </w:rPr>
              <w:t>0,2085</w:t>
            </w:r>
          </w:p>
        </w:tc>
      </w:tr>
      <w:tr>
        <w:trPr>
          <w:trHeight w:val="660" w:hRule="exact"/>
        </w:trPr>
        <w:tc>
          <w:tcPr>
            <w:tcW w:w="1858" w:type="dxa"/>
            <w:tcBorders>
              <w:top w:val="nil"/>
              <w:left w:val="nil"/>
              <w:bottom w:val="nil"/>
              <w:right w:val="nil"/>
            </w:tcBorders>
          </w:tcPr>
          <w:p>
            <w:pPr>
              <w:pStyle w:val="TableParagraph"/>
              <w:spacing w:before="10"/>
              <w:rPr>
                <w:sz w:val="17"/>
              </w:rPr>
            </w:pPr>
          </w:p>
          <w:p>
            <w:pPr>
              <w:pStyle w:val="TableParagraph"/>
              <w:ind w:left="110"/>
              <w:rPr>
                <w:sz w:val="20"/>
              </w:rPr>
            </w:pPr>
            <w:r>
              <w:rPr>
                <w:sz w:val="20"/>
              </w:rPr>
              <w:t>PC2</w:t>
            </w:r>
          </w:p>
        </w:tc>
        <w:tc>
          <w:tcPr>
            <w:tcW w:w="1307" w:type="dxa"/>
            <w:tcBorders>
              <w:top w:val="nil"/>
              <w:left w:val="nil"/>
              <w:bottom w:val="nil"/>
              <w:right w:val="nil"/>
            </w:tcBorders>
          </w:tcPr>
          <w:p>
            <w:pPr>
              <w:pStyle w:val="TableParagraph"/>
              <w:spacing w:before="10"/>
              <w:rPr>
                <w:sz w:val="17"/>
              </w:rPr>
            </w:pPr>
          </w:p>
          <w:p>
            <w:pPr>
              <w:pStyle w:val="TableParagraph"/>
              <w:ind w:left="226"/>
              <w:rPr>
                <w:sz w:val="20"/>
              </w:rPr>
            </w:pPr>
            <w:r>
              <w:rPr>
                <w:sz w:val="20"/>
              </w:rPr>
              <w:t>2,86602</w:t>
            </w:r>
          </w:p>
        </w:tc>
        <w:tc>
          <w:tcPr>
            <w:tcW w:w="1251" w:type="dxa"/>
            <w:tcBorders>
              <w:top w:val="nil"/>
              <w:left w:val="nil"/>
              <w:bottom w:val="nil"/>
              <w:right w:val="nil"/>
            </w:tcBorders>
          </w:tcPr>
          <w:p>
            <w:pPr>
              <w:pStyle w:val="TableParagraph"/>
              <w:spacing w:before="10"/>
              <w:rPr>
                <w:sz w:val="17"/>
              </w:rPr>
            </w:pPr>
          </w:p>
          <w:p>
            <w:pPr>
              <w:pStyle w:val="TableParagraph"/>
              <w:ind w:left="427"/>
              <w:rPr>
                <w:sz w:val="20"/>
              </w:rPr>
            </w:pPr>
            <w:r>
              <w:rPr>
                <w:w w:val="100"/>
                <w:sz w:val="20"/>
              </w:rPr>
              <w:t>1</w:t>
            </w:r>
          </w:p>
        </w:tc>
        <w:tc>
          <w:tcPr>
            <w:tcW w:w="1549" w:type="dxa"/>
            <w:tcBorders>
              <w:top w:val="nil"/>
              <w:left w:val="nil"/>
              <w:bottom w:val="nil"/>
              <w:right w:val="nil"/>
            </w:tcBorders>
          </w:tcPr>
          <w:p>
            <w:pPr>
              <w:pStyle w:val="TableParagraph"/>
              <w:spacing w:before="10"/>
              <w:rPr>
                <w:sz w:val="17"/>
              </w:rPr>
            </w:pPr>
          </w:p>
          <w:p>
            <w:pPr>
              <w:pStyle w:val="TableParagraph"/>
              <w:ind w:left="520" w:right="286"/>
              <w:rPr>
                <w:sz w:val="20"/>
              </w:rPr>
            </w:pPr>
            <w:r>
              <w:rPr>
                <w:sz w:val="20"/>
              </w:rPr>
              <w:t>2,86602</w:t>
            </w:r>
          </w:p>
        </w:tc>
        <w:tc>
          <w:tcPr>
            <w:tcW w:w="1385" w:type="dxa"/>
            <w:tcBorders>
              <w:top w:val="nil"/>
              <w:left w:val="nil"/>
              <w:bottom w:val="nil"/>
              <w:right w:val="nil"/>
            </w:tcBorders>
          </w:tcPr>
          <w:p>
            <w:pPr>
              <w:pStyle w:val="TableParagraph"/>
              <w:spacing w:before="10"/>
              <w:rPr>
                <w:sz w:val="17"/>
              </w:rPr>
            </w:pPr>
          </w:p>
          <w:p>
            <w:pPr>
              <w:pStyle w:val="TableParagraph"/>
              <w:ind w:left="302"/>
              <w:rPr>
                <w:sz w:val="20"/>
              </w:rPr>
            </w:pPr>
            <w:r>
              <w:rPr>
                <w:sz w:val="20"/>
              </w:rPr>
              <w:t>2,59</w:t>
            </w:r>
          </w:p>
        </w:tc>
        <w:tc>
          <w:tcPr>
            <w:tcW w:w="1712" w:type="dxa"/>
            <w:tcBorders>
              <w:top w:val="nil"/>
              <w:left w:val="nil"/>
              <w:bottom w:val="nil"/>
              <w:right w:val="nil"/>
            </w:tcBorders>
          </w:tcPr>
          <w:p>
            <w:pPr>
              <w:pStyle w:val="TableParagraph"/>
              <w:spacing w:before="10"/>
              <w:rPr>
                <w:sz w:val="17"/>
              </w:rPr>
            </w:pPr>
          </w:p>
          <w:p>
            <w:pPr>
              <w:pStyle w:val="TableParagraph"/>
              <w:ind w:left="478"/>
              <w:rPr>
                <w:sz w:val="20"/>
              </w:rPr>
            </w:pPr>
            <w:r>
              <w:rPr>
                <w:sz w:val="20"/>
              </w:rPr>
              <w:t>0,1084</w:t>
            </w:r>
          </w:p>
        </w:tc>
      </w:tr>
      <w:tr>
        <w:trPr>
          <w:trHeight w:val="660" w:hRule="exact"/>
        </w:trPr>
        <w:tc>
          <w:tcPr>
            <w:tcW w:w="1858" w:type="dxa"/>
            <w:tcBorders>
              <w:top w:val="nil"/>
              <w:left w:val="nil"/>
              <w:bottom w:val="nil"/>
              <w:right w:val="nil"/>
            </w:tcBorders>
          </w:tcPr>
          <w:p>
            <w:pPr>
              <w:pStyle w:val="TableParagraph"/>
              <w:spacing w:before="8"/>
              <w:rPr>
                <w:sz w:val="17"/>
              </w:rPr>
            </w:pPr>
          </w:p>
          <w:p>
            <w:pPr>
              <w:pStyle w:val="TableParagraph"/>
              <w:ind w:left="110"/>
              <w:rPr>
                <w:sz w:val="20"/>
              </w:rPr>
            </w:pPr>
            <w:r>
              <w:rPr>
                <w:sz w:val="20"/>
              </w:rPr>
              <w:t>PC3</w:t>
            </w:r>
          </w:p>
        </w:tc>
        <w:tc>
          <w:tcPr>
            <w:tcW w:w="1307" w:type="dxa"/>
            <w:tcBorders>
              <w:top w:val="nil"/>
              <w:left w:val="nil"/>
              <w:bottom w:val="nil"/>
              <w:right w:val="nil"/>
            </w:tcBorders>
          </w:tcPr>
          <w:p>
            <w:pPr>
              <w:pStyle w:val="TableParagraph"/>
              <w:spacing w:before="8"/>
              <w:rPr>
                <w:sz w:val="17"/>
              </w:rPr>
            </w:pPr>
          </w:p>
          <w:p>
            <w:pPr>
              <w:pStyle w:val="TableParagraph"/>
              <w:ind w:left="226"/>
              <w:rPr>
                <w:sz w:val="20"/>
              </w:rPr>
            </w:pPr>
            <w:r>
              <w:rPr>
                <w:sz w:val="20"/>
              </w:rPr>
              <w:t>14,8841</w:t>
            </w:r>
          </w:p>
        </w:tc>
        <w:tc>
          <w:tcPr>
            <w:tcW w:w="1251" w:type="dxa"/>
            <w:tcBorders>
              <w:top w:val="nil"/>
              <w:left w:val="nil"/>
              <w:bottom w:val="nil"/>
              <w:right w:val="nil"/>
            </w:tcBorders>
          </w:tcPr>
          <w:p>
            <w:pPr>
              <w:pStyle w:val="TableParagraph"/>
              <w:spacing w:before="8"/>
              <w:rPr>
                <w:sz w:val="17"/>
              </w:rPr>
            </w:pPr>
          </w:p>
          <w:p>
            <w:pPr>
              <w:pStyle w:val="TableParagraph"/>
              <w:ind w:left="427"/>
              <w:rPr>
                <w:sz w:val="20"/>
              </w:rPr>
            </w:pPr>
            <w:r>
              <w:rPr>
                <w:w w:val="100"/>
                <w:sz w:val="20"/>
              </w:rPr>
              <w:t>1</w:t>
            </w:r>
          </w:p>
        </w:tc>
        <w:tc>
          <w:tcPr>
            <w:tcW w:w="1549" w:type="dxa"/>
            <w:tcBorders>
              <w:top w:val="nil"/>
              <w:left w:val="nil"/>
              <w:bottom w:val="nil"/>
              <w:right w:val="nil"/>
            </w:tcBorders>
          </w:tcPr>
          <w:p>
            <w:pPr>
              <w:pStyle w:val="TableParagraph"/>
              <w:spacing w:before="8"/>
              <w:rPr>
                <w:sz w:val="17"/>
              </w:rPr>
            </w:pPr>
          </w:p>
          <w:p>
            <w:pPr>
              <w:pStyle w:val="TableParagraph"/>
              <w:ind w:left="520" w:right="286"/>
              <w:rPr>
                <w:sz w:val="20"/>
              </w:rPr>
            </w:pPr>
            <w:r>
              <w:rPr>
                <w:sz w:val="20"/>
              </w:rPr>
              <w:t>14,8841</w:t>
            </w:r>
          </w:p>
        </w:tc>
        <w:tc>
          <w:tcPr>
            <w:tcW w:w="1385" w:type="dxa"/>
            <w:tcBorders>
              <w:top w:val="nil"/>
              <w:left w:val="nil"/>
              <w:bottom w:val="nil"/>
              <w:right w:val="nil"/>
            </w:tcBorders>
          </w:tcPr>
          <w:p>
            <w:pPr>
              <w:pStyle w:val="TableParagraph"/>
              <w:spacing w:before="8"/>
              <w:rPr>
                <w:sz w:val="17"/>
              </w:rPr>
            </w:pPr>
          </w:p>
          <w:p>
            <w:pPr>
              <w:pStyle w:val="TableParagraph"/>
              <w:ind w:left="302"/>
              <w:rPr>
                <w:sz w:val="20"/>
              </w:rPr>
            </w:pPr>
            <w:r>
              <w:rPr>
                <w:sz w:val="20"/>
              </w:rPr>
              <w:t>13,44</w:t>
            </w:r>
          </w:p>
        </w:tc>
        <w:tc>
          <w:tcPr>
            <w:tcW w:w="1712" w:type="dxa"/>
            <w:tcBorders>
              <w:top w:val="nil"/>
              <w:left w:val="nil"/>
              <w:bottom w:val="nil"/>
              <w:right w:val="nil"/>
            </w:tcBorders>
          </w:tcPr>
          <w:p>
            <w:pPr>
              <w:pStyle w:val="TableParagraph"/>
              <w:spacing w:before="8"/>
              <w:rPr>
                <w:sz w:val="17"/>
              </w:rPr>
            </w:pPr>
          </w:p>
          <w:p>
            <w:pPr>
              <w:pStyle w:val="TableParagraph"/>
              <w:ind w:left="478"/>
              <w:rPr>
                <w:sz w:val="20"/>
              </w:rPr>
            </w:pPr>
            <w:r>
              <w:rPr>
                <w:sz w:val="20"/>
              </w:rPr>
              <w:t>0,0003</w:t>
            </w:r>
          </w:p>
        </w:tc>
      </w:tr>
      <w:tr>
        <w:trPr>
          <w:trHeight w:val="689" w:hRule="exact"/>
        </w:trPr>
        <w:tc>
          <w:tcPr>
            <w:tcW w:w="1858" w:type="dxa"/>
            <w:tcBorders>
              <w:top w:val="nil"/>
              <w:left w:val="nil"/>
              <w:bottom w:val="nil"/>
              <w:right w:val="nil"/>
            </w:tcBorders>
          </w:tcPr>
          <w:p>
            <w:pPr>
              <w:pStyle w:val="TableParagraph"/>
              <w:spacing w:before="10"/>
              <w:rPr>
                <w:sz w:val="17"/>
              </w:rPr>
            </w:pPr>
          </w:p>
          <w:p>
            <w:pPr>
              <w:pStyle w:val="TableParagraph"/>
              <w:ind w:left="110"/>
              <w:rPr>
                <w:sz w:val="20"/>
              </w:rPr>
            </w:pPr>
            <w:r>
              <w:rPr>
                <w:sz w:val="20"/>
              </w:rPr>
              <w:t>Efectos principales</w:t>
            </w:r>
          </w:p>
        </w:tc>
        <w:tc>
          <w:tcPr>
            <w:tcW w:w="1307" w:type="dxa"/>
            <w:tcBorders>
              <w:top w:val="nil"/>
              <w:left w:val="nil"/>
              <w:bottom w:val="nil"/>
              <w:right w:val="nil"/>
            </w:tcBorders>
          </w:tcPr>
          <w:p>
            <w:pPr/>
          </w:p>
        </w:tc>
        <w:tc>
          <w:tcPr>
            <w:tcW w:w="1251" w:type="dxa"/>
            <w:tcBorders>
              <w:top w:val="nil"/>
              <w:left w:val="nil"/>
              <w:bottom w:val="nil"/>
              <w:right w:val="nil"/>
            </w:tcBorders>
          </w:tcPr>
          <w:p>
            <w:pPr/>
          </w:p>
        </w:tc>
        <w:tc>
          <w:tcPr>
            <w:tcW w:w="1549" w:type="dxa"/>
            <w:tcBorders>
              <w:top w:val="nil"/>
              <w:left w:val="nil"/>
              <w:bottom w:val="nil"/>
              <w:right w:val="nil"/>
            </w:tcBorders>
          </w:tcPr>
          <w:p>
            <w:pPr/>
          </w:p>
        </w:tc>
        <w:tc>
          <w:tcPr>
            <w:tcW w:w="1385" w:type="dxa"/>
            <w:tcBorders>
              <w:top w:val="nil"/>
              <w:left w:val="nil"/>
              <w:bottom w:val="nil"/>
              <w:right w:val="nil"/>
            </w:tcBorders>
          </w:tcPr>
          <w:p>
            <w:pPr/>
          </w:p>
        </w:tc>
        <w:tc>
          <w:tcPr>
            <w:tcW w:w="1712" w:type="dxa"/>
            <w:tcBorders>
              <w:top w:val="nil"/>
              <w:left w:val="nil"/>
              <w:bottom w:val="nil"/>
              <w:right w:val="nil"/>
            </w:tcBorders>
          </w:tcPr>
          <w:p>
            <w:pPr/>
          </w:p>
        </w:tc>
      </w:tr>
      <w:tr>
        <w:trPr>
          <w:trHeight w:val="927" w:hRule="exact"/>
        </w:trPr>
        <w:tc>
          <w:tcPr>
            <w:tcW w:w="1858" w:type="dxa"/>
            <w:tcBorders>
              <w:top w:val="nil"/>
              <w:left w:val="nil"/>
              <w:bottom w:val="nil"/>
              <w:right w:val="nil"/>
            </w:tcBorders>
          </w:tcPr>
          <w:p>
            <w:pPr>
              <w:pStyle w:val="TableParagraph"/>
              <w:spacing w:before="2"/>
              <w:rPr>
                <w:sz w:val="20"/>
              </w:rPr>
            </w:pPr>
          </w:p>
          <w:p>
            <w:pPr>
              <w:pStyle w:val="TableParagraph"/>
              <w:ind w:left="110"/>
              <w:rPr>
                <w:sz w:val="20"/>
              </w:rPr>
            </w:pPr>
            <w:r>
              <w:rPr>
                <w:sz w:val="20"/>
              </w:rPr>
              <w:t>A: Sexo-Localidad</w:t>
            </w:r>
          </w:p>
        </w:tc>
        <w:tc>
          <w:tcPr>
            <w:tcW w:w="1307" w:type="dxa"/>
            <w:tcBorders>
              <w:top w:val="nil"/>
              <w:left w:val="nil"/>
              <w:bottom w:val="nil"/>
              <w:right w:val="nil"/>
            </w:tcBorders>
          </w:tcPr>
          <w:p>
            <w:pPr>
              <w:pStyle w:val="TableParagraph"/>
              <w:spacing w:before="2"/>
              <w:rPr>
                <w:sz w:val="20"/>
              </w:rPr>
            </w:pPr>
          </w:p>
          <w:p>
            <w:pPr>
              <w:pStyle w:val="TableParagraph"/>
              <w:ind w:left="226"/>
              <w:rPr>
                <w:sz w:val="20"/>
              </w:rPr>
            </w:pPr>
            <w:r>
              <w:rPr>
                <w:sz w:val="20"/>
              </w:rPr>
              <w:t>26,831</w:t>
            </w:r>
          </w:p>
        </w:tc>
        <w:tc>
          <w:tcPr>
            <w:tcW w:w="1251" w:type="dxa"/>
            <w:tcBorders>
              <w:top w:val="nil"/>
              <w:left w:val="nil"/>
              <w:bottom w:val="nil"/>
              <w:right w:val="nil"/>
            </w:tcBorders>
          </w:tcPr>
          <w:p>
            <w:pPr>
              <w:pStyle w:val="TableParagraph"/>
              <w:spacing w:before="2"/>
              <w:rPr>
                <w:sz w:val="20"/>
              </w:rPr>
            </w:pPr>
          </w:p>
          <w:p>
            <w:pPr>
              <w:pStyle w:val="TableParagraph"/>
              <w:ind w:left="427"/>
              <w:rPr>
                <w:sz w:val="20"/>
              </w:rPr>
            </w:pPr>
            <w:r>
              <w:rPr>
                <w:w w:val="100"/>
                <w:sz w:val="20"/>
              </w:rPr>
              <w:t>3</w:t>
            </w:r>
          </w:p>
        </w:tc>
        <w:tc>
          <w:tcPr>
            <w:tcW w:w="1549" w:type="dxa"/>
            <w:tcBorders>
              <w:top w:val="nil"/>
              <w:left w:val="nil"/>
              <w:bottom w:val="nil"/>
              <w:right w:val="nil"/>
            </w:tcBorders>
          </w:tcPr>
          <w:p>
            <w:pPr>
              <w:pStyle w:val="TableParagraph"/>
              <w:spacing w:before="2"/>
              <w:rPr>
                <w:sz w:val="20"/>
              </w:rPr>
            </w:pPr>
          </w:p>
          <w:p>
            <w:pPr>
              <w:pStyle w:val="TableParagraph"/>
              <w:ind w:left="520" w:right="286"/>
              <w:rPr>
                <w:sz w:val="20"/>
              </w:rPr>
            </w:pPr>
            <w:r>
              <w:rPr>
                <w:sz w:val="20"/>
              </w:rPr>
              <w:t>8,94365</w:t>
            </w:r>
          </w:p>
        </w:tc>
        <w:tc>
          <w:tcPr>
            <w:tcW w:w="1385" w:type="dxa"/>
            <w:tcBorders>
              <w:top w:val="nil"/>
              <w:left w:val="nil"/>
              <w:bottom w:val="nil"/>
              <w:right w:val="nil"/>
            </w:tcBorders>
          </w:tcPr>
          <w:p>
            <w:pPr>
              <w:pStyle w:val="TableParagraph"/>
              <w:spacing w:before="2"/>
              <w:rPr>
                <w:sz w:val="20"/>
              </w:rPr>
            </w:pPr>
          </w:p>
          <w:p>
            <w:pPr>
              <w:pStyle w:val="TableParagraph"/>
              <w:ind w:left="302"/>
              <w:rPr>
                <w:sz w:val="20"/>
              </w:rPr>
            </w:pPr>
            <w:r>
              <w:rPr>
                <w:sz w:val="20"/>
              </w:rPr>
              <w:t>8,08</w:t>
            </w:r>
          </w:p>
        </w:tc>
        <w:tc>
          <w:tcPr>
            <w:tcW w:w="1712" w:type="dxa"/>
            <w:tcBorders>
              <w:top w:val="nil"/>
              <w:left w:val="nil"/>
              <w:bottom w:val="nil"/>
              <w:right w:val="nil"/>
            </w:tcBorders>
          </w:tcPr>
          <w:p>
            <w:pPr>
              <w:pStyle w:val="TableParagraph"/>
              <w:spacing w:before="2"/>
              <w:rPr>
                <w:sz w:val="20"/>
              </w:rPr>
            </w:pPr>
          </w:p>
          <w:p>
            <w:pPr>
              <w:pStyle w:val="TableParagraph"/>
              <w:ind w:left="478"/>
              <w:rPr>
                <w:sz w:val="20"/>
              </w:rPr>
            </w:pPr>
            <w:r>
              <w:rPr>
                <w:sz w:val="20"/>
              </w:rPr>
              <w:t>0,0000</w:t>
            </w:r>
          </w:p>
        </w:tc>
      </w:tr>
      <w:tr>
        <w:trPr>
          <w:trHeight w:val="932" w:hRule="exact"/>
        </w:trPr>
        <w:tc>
          <w:tcPr>
            <w:tcW w:w="1858" w:type="dxa"/>
            <w:tcBorders>
              <w:top w:val="nil"/>
              <w:left w:val="nil"/>
              <w:bottom w:val="nil"/>
              <w:right w:val="nil"/>
            </w:tcBorders>
          </w:tcPr>
          <w:p>
            <w:pPr>
              <w:pStyle w:val="TableParagraph"/>
              <w:rPr>
                <w:sz w:val="20"/>
              </w:rPr>
            </w:pPr>
          </w:p>
          <w:p>
            <w:pPr>
              <w:pStyle w:val="TableParagraph"/>
              <w:spacing w:before="6"/>
              <w:rPr>
                <w:sz w:val="18"/>
              </w:rPr>
            </w:pPr>
          </w:p>
          <w:p>
            <w:pPr>
              <w:pStyle w:val="TableParagraph"/>
              <w:ind w:left="110"/>
              <w:rPr>
                <w:sz w:val="20"/>
              </w:rPr>
            </w:pPr>
            <w:r>
              <w:rPr>
                <w:sz w:val="20"/>
              </w:rPr>
              <w:t>Residuos</w:t>
            </w:r>
          </w:p>
        </w:tc>
        <w:tc>
          <w:tcPr>
            <w:tcW w:w="1307" w:type="dxa"/>
            <w:tcBorders>
              <w:top w:val="nil"/>
              <w:left w:val="nil"/>
              <w:bottom w:val="nil"/>
              <w:right w:val="nil"/>
            </w:tcBorders>
          </w:tcPr>
          <w:p>
            <w:pPr>
              <w:pStyle w:val="TableParagraph"/>
              <w:rPr>
                <w:sz w:val="20"/>
              </w:rPr>
            </w:pPr>
          </w:p>
          <w:p>
            <w:pPr>
              <w:pStyle w:val="TableParagraph"/>
              <w:spacing w:before="6"/>
              <w:rPr>
                <w:sz w:val="18"/>
              </w:rPr>
            </w:pPr>
          </w:p>
          <w:p>
            <w:pPr>
              <w:pStyle w:val="TableParagraph"/>
              <w:ind w:left="226"/>
              <w:rPr>
                <w:sz w:val="20"/>
              </w:rPr>
            </w:pPr>
            <w:r>
              <w:rPr>
                <w:sz w:val="20"/>
              </w:rPr>
              <w:t>420,676</w:t>
            </w:r>
          </w:p>
        </w:tc>
        <w:tc>
          <w:tcPr>
            <w:tcW w:w="1251" w:type="dxa"/>
            <w:tcBorders>
              <w:top w:val="nil"/>
              <w:left w:val="nil"/>
              <w:bottom w:val="nil"/>
              <w:right w:val="nil"/>
            </w:tcBorders>
          </w:tcPr>
          <w:p>
            <w:pPr>
              <w:pStyle w:val="TableParagraph"/>
              <w:rPr>
                <w:sz w:val="20"/>
              </w:rPr>
            </w:pPr>
          </w:p>
          <w:p>
            <w:pPr>
              <w:pStyle w:val="TableParagraph"/>
              <w:spacing w:before="6"/>
              <w:rPr>
                <w:sz w:val="18"/>
              </w:rPr>
            </w:pPr>
          </w:p>
          <w:p>
            <w:pPr>
              <w:pStyle w:val="TableParagraph"/>
              <w:ind w:left="427"/>
              <w:rPr>
                <w:sz w:val="20"/>
              </w:rPr>
            </w:pPr>
            <w:r>
              <w:rPr>
                <w:sz w:val="20"/>
              </w:rPr>
              <w:t>380</w:t>
            </w:r>
          </w:p>
        </w:tc>
        <w:tc>
          <w:tcPr>
            <w:tcW w:w="1549" w:type="dxa"/>
            <w:tcBorders>
              <w:top w:val="nil"/>
              <w:left w:val="nil"/>
              <w:bottom w:val="nil"/>
              <w:right w:val="nil"/>
            </w:tcBorders>
          </w:tcPr>
          <w:p>
            <w:pPr>
              <w:pStyle w:val="TableParagraph"/>
              <w:rPr>
                <w:sz w:val="20"/>
              </w:rPr>
            </w:pPr>
          </w:p>
          <w:p>
            <w:pPr>
              <w:pStyle w:val="TableParagraph"/>
              <w:spacing w:before="6"/>
              <w:rPr>
                <w:sz w:val="18"/>
              </w:rPr>
            </w:pPr>
          </w:p>
          <w:p>
            <w:pPr>
              <w:pStyle w:val="TableParagraph"/>
              <w:ind w:left="520" w:right="286"/>
              <w:rPr>
                <w:sz w:val="20"/>
              </w:rPr>
            </w:pPr>
            <w:r>
              <w:rPr>
                <w:sz w:val="20"/>
              </w:rPr>
              <w:t>1,10704</w:t>
            </w:r>
          </w:p>
        </w:tc>
        <w:tc>
          <w:tcPr>
            <w:tcW w:w="1385" w:type="dxa"/>
            <w:tcBorders>
              <w:top w:val="nil"/>
              <w:left w:val="nil"/>
              <w:bottom w:val="nil"/>
              <w:right w:val="nil"/>
            </w:tcBorders>
          </w:tcPr>
          <w:p>
            <w:pPr/>
          </w:p>
        </w:tc>
        <w:tc>
          <w:tcPr>
            <w:tcW w:w="1712" w:type="dxa"/>
            <w:tcBorders>
              <w:top w:val="nil"/>
              <w:left w:val="nil"/>
              <w:bottom w:val="nil"/>
              <w:right w:val="nil"/>
            </w:tcBorders>
          </w:tcPr>
          <w:p>
            <w:pPr/>
          </w:p>
        </w:tc>
      </w:tr>
      <w:tr>
        <w:trPr>
          <w:trHeight w:val="463" w:hRule="exact"/>
        </w:trPr>
        <w:tc>
          <w:tcPr>
            <w:tcW w:w="1858" w:type="dxa"/>
            <w:tcBorders>
              <w:top w:val="nil"/>
              <w:left w:val="nil"/>
              <w:bottom w:val="nil"/>
              <w:right w:val="nil"/>
            </w:tcBorders>
          </w:tcPr>
          <w:p>
            <w:pPr>
              <w:pStyle w:val="TableParagraph"/>
              <w:spacing w:before="7"/>
              <w:rPr>
                <w:sz w:val="20"/>
              </w:rPr>
            </w:pPr>
          </w:p>
          <w:p>
            <w:pPr>
              <w:pStyle w:val="TableParagraph"/>
              <w:ind w:left="110"/>
              <w:rPr>
                <w:sz w:val="20"/>
              </w:rPr>
            </w:pPr>
            <w:r>
              <w:rPr>
                <w:sz w:val="20"/>
              </w:rPr>
              <w:t>Total (Corrected)</w:t>
            </w:r>
          </w:p>
        </w:tc>
        <w:tc>
          <w:tcPr>
            <w:tcW w:w="1307" w:type="dxa"/>
            <w:tcBorders>
              <w:top w:val="nil"/>
              <w:left w:val="nil"/>
              <w:bottom w:val="nil"/>
              <w:right w:val="nil"/>
            </w:tcBorders>
          </w:tcPr>
          <w:p>
            <w:pPr>
              <w:pStyle w:val="TableParagraph"/>
              <w:spacing w:before="7"/>
              <w:rPr>
                <w:sz w:val="20"/>
              </w:rPr>
            </w:pPr>
          </w:p>
          <w:p>
            <w:pPr>
              <w:pStyle w:val="TableParagraph"/>
              <w:ind w:left="226"/>
              <w:rPr>
                <w:sz w:val="20"/>
              </w:rPr>
            </w:pPr>
            <w:r>
              <w:rPr>
                <w:sz w:val="20"/>
              </w:rPr>
              <w:t>462,734</w:t>
            </w:r>
          </w:p>
        </w:tc>
        <w:tc>
          <w:tcPr>
            <w:tcW w:w="1251" w:type="dxa"/>
            <w:tcBorders>
              <w:top w:val="nil"/>
              <w:left w:val="nil"/>
              <w:bottom w:val="nil"/>
              <w:right w:val="nil"/>
            </w:tcBorders>
          </w:tcPr>
          <w:p>
            <w:pPr>
              <w:pStyle w:val="TableParagraph"/>
              <w:spacing w:before="7"/>
              <w:rPr>
                <w:sz w:val="20"/>
              </w:rPr>
            </w:pPr>
          </w:p>
          <w:p>
            <w:pPr>
              <w:pStyle w:val="TableParagraph"/>
              <w:ind w:left="427"/>
              <w:rPr>
                <w:sz w:val="20"/>
              </w:rPr>
            </w:pPr>
            <w:r>
              <w:rPr>
                <w:sz w:val="20"/>
              </w:rPr>
              <w:t>386</w:t>
            </w:r>
          </w:p>
        </w:tc>
        <w:tc>
          <w:tcPr>
            <w:tcW w:w="1549" w:type="dxa"/>
            <w:tcBorders>
              <w:top w:val="nil"/>
              <w:left w:val="nil"/>
              <w:bottom w:val="nil"/>
              <w:right w:val="nil"/>
            </w:tcBorders>
          </w:tcPr>
          <w:p>
            <w:pPr/>
          </w:p>
        </w:tc>
        <w:tc>
          <w:tcPr>
            <w:tcW w:w="1385" w:type="dxa"/>
            <w:tcBorders>
              <w:top w:val="nil"/>
              <w:left w:val="nil"/>
              <w:bottom w:val="nil"/>
              <w:right w:val="nil"/>
            </w:tcBorders>
          </w:tcPr>
          <w:p>
            <w:pPr/>
          </w:p>
        </w:tc>
        <w:tc>
          <w:tcPr>
            <w:tcW w:w="1712" w:type="dxa"/>
            <w:tcBorders>
              <w:top w:val="nil"/>
              <w:left w:val="nil"/>
              <w:bottom w:val="nil"/>
              <w:right w:val="nil"/>
            </w:tcBorders>
          </w:tcPr>
          <w:p>
            <w:pPr/>
          </w:p>
        </w:tc>
      </w:tr>
    </w:tbl>
    <w:p>
      <w:pPr>
        <w:pStyle w:val="BodyText"/>
        <w:rPr>
          <w:sz w:val="20"/>
        </w:rPr>
      </w:pPr>
    </w:p>
    <w:p>
      <w:pPr>
        <w:pStyle w:val="BodyText"/>
        <w:rPr>
          <w:sz w:val="20"/>
        </w:rPr>
      </w:pPr>
    </w:p>
    <w:p>
      <w:pPr>
        <w:pStyle w:val="BodyText"/>
        <w:rPr>
          <w:sz w:val="22"/>
        </w:rPr>
      </w:pPr>
      <w:r>
        <w:rPr/>
        <w:pict>
          <v:group style="position:absolute;margin-left:87.134003pt;margin-top:14.623075pt;width:454.3pt;height:.5pt;mso-position-horizontal-relative:page;mso-position-vertical-relative:paragraph;z-index:1312;mso-wrap-distance-left:0;mso-wrap-distance-right:0" coordorigin="1743,292" coordsize="9086,10">
            <v:line style="position:absolute" from="1748,297" to="3741,297" stroked="true" strokeweight=".47998pt" strokecolor="#000000"/>
            <v:line style="position:absolute" from="3726,297" to="3736,297" stroked="true" strokeweight=".47998pt" strokecolor="#000000"/>
            <v:line style="position:absolute" from="3736,297" to="5248,297" stroked="true" strokeweight=".47998pt" strokecolor="#000000"/>
            <v:line style="position:absolute" from="5234,297" to="5244,297" stroked="true" strokeweight=".47998pt" strokecolor="#000000"/>
            <v:line style="position:absolute" from="5244,297" to="6593,297" stroked="true" strokeweight=".47998pt" strokecolor="#000000"/>
            <v:line style="position:absolute" from="6579,297" to="6588,297" stroked="true" strokeweight=".47998pt" strokecolor="#000000"/>
            <v:line style="position:absolute" from="6588,297" to="7918,297" stroked="true" strokeweight=".47998pt" strokecolor="#000000"/>
            <v:line style="position:absolute" from="7904,297" to="7914,297" stroked="true" strokeweight=".47998pt" strokecolor="#000000"/>
            <v:line style="position:absolute" from="7914,297" to="9484,297" stroked="true" strokeweight=".47998pt" strokecolor="#000000"/>
            <v:line style="position:absolute" from="9469,297" to="9479,297" stroked="true" strokeweight=".47998pt" strokecolor="#000000"/>
            <v:line style="position:absolute" from="9479,297" to="10823,297" stroked="true" strokeweight=".47998pt" strokecolor="#000000"/>
            <w10:wrap type="topAndBottom"/>
          </v:group>
        </w:pict>
      </w:r>
    </w:p>
    <w:p>
      <w:pPr>
        <w:spacing w:after="0"/>
        <w:rPr>
          <w:sz w:val="22"/>
        </w:rPr>
        <w:sectPr>
          <w:pgSz w:w="12240" w:h="15840"/>
          <w:pgMar w:header="0" w:footer="1304" w:top="1500" w:bottom="1560" w:left="1640" w:right="1300"/>
        </w:sectPr>
      </w:pPr>
    </w:p>
    <w:p>
      <w:pPr>
        <w:pStyle w:val="BodyText"/>
        <w:spacing w:before="7"/>
        <w:rPr>
          <w:sz w:val="20"/>
        </w:rPr>
      </w:pPr>
    </w:p>
    <w:p>
      <w:pPr>
        <w:pStyle w:val="BodyText"/>
        <w:spacing w:before="69"/>
        <w:ind w:left="252" w:right="220"/>
        <w:jc w:val="both"/>
      </w:pPr>
      <w:r>
        <w:rPr/>
        <w:t>Anexo 4. Homogeneidad de los grupos en términos de los factores usados en la ANCOVA de la intensidad parasitaria de </w:t>
      </w:r>
      <w:r>
        <w:rPr>
          <w:i/>
        </w:rPr>
        <w:t>Tylodelphys </w:t>
      </w:r>
      <w:r>
        <w:rPr/>
        <w:t>sp. (Tabla 2). Utilizando la prueba de Comparación de rangos múltiples de Bonferroni (95% de confiabilidad).</w:t>
      </w:r>
    </w:p>
    <w:p>
      <w:pPr>
        <w:pStyle w:val="BodyText"/>
        <w:spacing w:before="8"/>
      </w:pPr>
    </w:p>
    <w:tbl>
      <w:tblPr>
        <w:tblW w:w="0" w:type="auto"/>
        <w:jc w:val="left"/>
        <w:tblInd w:w="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0"/>
        <w:gridCol w:w="1276"/>
        <w:gridCol w:w="1835"/>
        <w:gridCol w:w="1726"/>
        <w:gridCol w:w="1935"/>
      </w:tblGrid>
      <w:tr>
        <w:trPr>
          <w:trHeight w:val="898" w:hRule="exact"/>
        </w:trPr>
        <w:tc>
          <w:tcPr>
            <w:tcW w:w="2290" w:type="dxa"/>
            <w:tcBorders>
              <w:left w:val="nil"/>
              <w:bottom w:val="single" w:sz="8" w:space="0" w:color="000000"/>
              <w:right w:val="nil"/>
            </w:tcBorders>
          </w:tcPr>
          <w:p>
            <w:pPr>
              <w:pStyle w:val="TableParagraph"/>
              <w:ind w:left="446" w:right="569" w:firstLine="369"/>
              <w:rPr>
                <w:sz w:val="20"/>
              </w:rPr>
            </w:pPr>
            <w:r>
              <w:rPr>
                <w:sz w:val="20"/>
              </w:rPr>
              <w:t>Factor Sexo/Localidad</w:t>
            </w:r>
          </w:p>
        </w:tc>
        <w:tc>
          <w:tcPr>
            <w:tcW w:w="1276" w:type="dxa"/>
            <w:tcBorders>
              <w:left w:val="nil"/>
              <w:bottom w:val="single" w:sz="8" w:space="0" w:color="000000"/>
              <w:right w:val="nil"/>
            </w:tcBorders>
          </w:tcPr>
          <w:p>
            <w:pPr>
              <w:pStyle w:val="TableParagraph"/>
              <w:spacing w:line="226" w:lineRule="exact"/>
              <w:ind w:left="658"/>
              <w:rPr>
                <w:b/>
                <w:sz w:val="20"/>
              </w:rPr>
            </w:pPr>
            <w:r>
              <w:rPr>
                <w:b/>
                <w:w w:val="100"/>
                <w:sz w:val="20"/>
              </w:rPr>
              <w:t>n</w:t>
            </w:r>
          </w:p>
        </w:tc>
        <w:tc>
          <w:tcPr>
            <w:tcW w:w="1835" w:type="dxa"/>
            <w:tcBorders>
              <w:left w:val="nil"/>
              <w:bottom w:val="single" w:sz="8" w:space="0" w:color="000000"/>
              <w:right w:val="nil"/>
            </w:tcBorders>
          </w:tcPr>
          <w:p>
            <w:pPr>
              <w:pStyle w:val="TableParagraph"/>
              <w:spacing w:line="226" w:lineRule="exact"/>
              <w:ind w:left="760"/>
              <w:rPr>
                <w:b/>
                <w:sz w:val="20"/>
              </w:rPr>
            </w:pPr>
            <w:r>
              <w:rPr>
                <w:b/>
                <w:sz w:val="20"/>
              </w:rPr>
              <w:t>LS Mean</w:t>
            </w:r>
          </w:p>
        </w:tc>
        <w:tc>
          <w:tcPr>
            <w:tcW w:w="1726" w:type="dxa"/>
            <w:tcBorders>
              <w:left w:val="nil"/>
              <w:bottom w:val="single" w:sz="8" w:space="0" w:color="000000"/>
              <w:right w:val="nil"/>
            </w:tcBorders>
          </w:tcPr>
          <w:p>
            <w:pPr>
              <w:pStyle w:val="TableParagraph"/>
              <w:spacing w:line="226" w:lineRule="exact"/>
              <w:ind w:left="621"/>
              <w:rPr>
                <w:b/>
                <w:sz w:val="20"/>
              </w:rPr>
            </w:pPr>
            <w:r>
              <w:rPr>
                <w:b/>
                <w:sz w:val="20"/>
              </w:rPr>
              <w:t>LS Sigma</w:t>
            </w:r>
          </w:p>
        </w:tc>
        <w:tc>
          <w:tcPr>
            <w:tcW w:w="1935" w:type="dxa"/>
            <w:tcBorders>
              <w:left w:val="nil"/>
              <w:bottom w:val="single" w:sz="8" w:space="0" w:color="000000"/>
              <w:right w:val="nil"/>
            </w:tcBorders>
          </w:tcPr>
          <w:p>
            <w:pPr>
              <w:pStyle w:val="TableParagraph"/>
              <w:ind w:left="523" w:right="347" w:firstLine="206"/>
              <w:rPr>
                <w:b/>
                <w:sz w:val="20"/>
              </w:rPr>
            </w:pPr>
            <w:r>
              <w:rPr>
                <w:b/>
                <w:sz w:val="20"/>
              </w:rPr>
              <w:t>Grupos homogéneos</w:t>
            </w:r>
          </w:p>
        </w:tc>
      </w:tr>
      <w:tr>
        <w:trPr>
          <w:trHeight w:val="685" w:hRule="exact"/>
        </w:trPr>
        <w:tc>
          <w:tcPr>
            <w:tcW w:w="2290" w:type="dxa"/>
            <w:tcBorders>
              <w:top w:val="single" w:sz="8" w:space="0" w:color="000000"/>
              <w:left w:val="nil"/>
              <w:bottom w:val="nil"/>
              <w:right w:val="nil"/>
            </w:tcBorders>
          </w:tcPr>
          <w:p>
            <w:pPr>
              <w:pStyle w:val="TableParagraph"/>
              <w:spacing w:line="226" w:lineRule="exact" w:before="1"/>
              <w:ind w:left="955" w:right="569" w:hanging="389"/>
              <w:rPr>
                <w:sz w:val="20"/>
              </w:rPr>
            </w:pPr>
            <w:r>
              <w:rPr>
                <w:sz w:val="20"/>
              </w:rPr>
              <w:t>Hembras SJ (1)</w:t>
            </w:r>
          </w:p>
        </w:tc>
        <w:tc>
          <w:tcPr>
            <w:tcW w:w="1276" w:type="dxa"/>
            <w:tcBorders>
              <w:top w:val="single" w:sz="8" w:space="0" w:color="000000"/>
              <w:left w:val="nil"/>
              <w:bottom w:val="nil"/>
              <w:right w:val="nil"/>
            </w:tcBorders>
          </w:tcPr>
          <w:p>
            <w:pPr>
              <w:pStyle w:val="TableParagraph"/>
              <w:spacing w:line="226" w:lineRule="exact"/>
              <w:ind w:left="615"/>
              <w:rPr>
                <w:sz w:val="20"/>
              </w:rPr>
            </w:pPr>
            <w:r>
              <w:rPr>
                <w:sz w:val="20"/>
              </w:rPr>
              <w:t>25</w:t>
            </w:r>
          </w:p>
        </w:tc>
        <w:tc>
          <w:tcPr>
            <w:tcW w:w="1835" w:type="dxa"/>
            <w:tcBorders>
              <w:top w:val="single" w:sz="8" w:space="0" w:color="000000"/>
              <w:left w:val="nil"/>
              <w:bottom w:val="nil"/>
              <w:right w:val="nil"/>
            </w:tcBorders>
          </w:tcPr>
          <w:p>
            <w:pPr>
              <w:pStyle w:val="TableParagraph"/>
              <w:spacing w:line="226" w:lineRule="exact"/>
              <w:ind w:left="405"/>
              <w:rPr>
                <w:sz w:val="20"/>
              </w:rPr>
            </w:pPr>
            <w:r>
              <w:rPr>
                <w:sz w:val="20"/>
              </w:rPr>
              <w:t>0,237636</w:t>
            </w:r>
          </w:p>
        </w:tc>
        <w:tc>
          <w:tcPr>
            <w:tcW w:w="1726" w:type="dxa"/>
            <w:tcBorders>
              <w:top w:val="single" w:sz="8" w:space="0" w:color="000000"/>
              <w:left w:val="nil"/>
              <w:bottom w:val="nil"/>
              <w:right w:val="nil"/>
            </w:tcBorders>
          </w:tcPr>
          <w:p>
            <w:pPr>
              <w:pStyle w:val="TableParagraph"/>
              <w:spacing w:line="226" w:lineRule="exact"/>
              <w:ind w:left="285"/>
              <w:rPr>
                <w:sz w:val="20"/>
              </w:rPr>
            </w:pPr>
            <w:r>
              <w:rPr>
                <w:sz w:val="20"/>
              </w:rPr>
              <w:t>0,200355</w:t>
            </w:r>
          </w:p>
        </w:tc>
        <w:tc>
          <w:tcPr>
            <w:tcW w:w="1935" w:type="dxa"/>
            <w:tcBorders>
              <w:top w:val="single" w:sz="8" w:space="0" w:color="000000"/>
              <w:left w:val="nil"/>
              <w:bottom w:val="nil"/>
              <w:right w:val="nil"/>
            </w:tcBorders>
          </w:tcPr>
          <w:p>
            <w:pPr>
              <w:pStyle w:val="TableParagraph"/>
              <w:spacing w:line="226" w:lineRule="exact"/>
              <w:ind w:left="273"/>
              <w:rPr>
                <w:sz w:val="20"/>
              </w:rPr>
            </w:pPr>
            <w:r>
              <w:rPr>
                <w:w w:val="100"/>
                <w:sz w:val="20"/>
              </w:rPr>
              <w:t>x</w:t>
            </w:r>
          </w:p>
        </w:tc>
      </w:tr>
      <w:tr>
        <w:trPr>
          <w:trHeight w:val="886" w:hRule="exact"/>
        </w:trPr>
        <w:tc>
          <w:tcPr>
            <w:tcW w:w="2290" w:type="dxa"/>
            <w:tcBorders>
              <w:top w:val="nil"/>
              <w:left w:val="nil"/>
              <w:bottom w:val="nil"/>
              <w:right w:val="nil"/>
            </w:tcBorders>
          </w:tcPr>
          <w:p>
            <w:pPr>
              <w:pStyle w:val="TableParagraph"/>
              <w:spacing w:before="8"/>
              <w:rPr>
                <w:sz w:val="17"/>
              </w:rPr>
            </w:pPr>
          </w:p>
          <w:p>
            <w:pPr>
              <w:pStyle w:val="TableParagraph"/>
              <w:ind w:left="955" w:right="590" w:hanging="341"/>
              <w:rPr>
                <w:sz w:val="20"/>
              </w:rPr>
            </w:pPr>
            <w:r>
              <w:rPr>
                <w:sz w:val="20"/>
              </w:rPr>
              <w:t>Machos SJ (2)</w:t>
            </w:r>
          </w:p>
        </w:tc>
        <w:tc>
          <w:tcPr>
            <w:tcW w:w="1276" w:type="dxa"/>
            <w:tcBorders>
              <w:top w:val="nil"/>
              <w:left w:val="nil"/>
              <w:bottom w:val="nil"/>
              <w:right w:val="nil"/>
            </w:tcBorders>
          </w:tcPr>
          <w:p>
            <w:pPr>
              <w:pStyle w:val="TableParagraph"/>
              <w:spacing w:before="8"/>
              <w:rPr>
                <w:sz w:val="17"/>
              </w:rPr>
            </w:pPr>
          </w:p>
          <w:p>
            <w:pPr>
              <w:pStyle w:val="TableParagraph"/>
              <w:ind w:left="615"/>
              <w:rPr>
                <w:sz w:val="20"/>
              </w:rPr>
            </w:pPr>
            <w:r>
              <w:rPr>
                <w:sz w:val="20"/>
              </w:rPr>
              <w:t>30</w:t>
            </w:r>
          </w:p>
        </w:tc>
        <w:tc>
          <w:tcPr>
            <w:tcW w:w="1835" w:type="dxa"/>
            <w:tcBorders>
              <w:top w:val="nil"/>
              <w:left w:val="nil"/>
              <w:bottom w:val="nil"/>
              <w:right w:val="nil"/>
            </w:tcBorders>
          </w:tcPr>
          <w:p>
            <w:pPr>
              <w:pStyle w:val="TableParagraph"/>
              <w:spacing w:before="8"/>
              <w:rPr>
                <w:sz w:val="17"/>
              </w:rPr>
            </w:pPr>
          </w:p>
          <w:p>
            <w:pPr>
              <w:pStyle w:val="TableParagraph"/>
              <w:ind w:left="405"/>
              <w:rPr>
                <w:sz w:val="20"/>
              </w:rPr>
            </w:pPr>
            <w:r>
              <w:rPr>
                <w:sz w:val="20"/>
              </w:rPr>
              <w:t>0,87466</w:t>
            </w:r>
          </w:p>
        </w:tc>
        <w:tc>
          <w:tcPr>
            <w:tcW w:w="1726" w:type="dxa"/>
            <w:tcBorders>
              <w:top w:val="nil"/>
              <w:left w:val="nil"/>
              <w:bottom w:val="nil"/>
              <w:right w:val="nil"/>
            </w:tcBorders>
          </w:tcPr>
          <w:p>
            <w:pPr>
              <w:pStyle w:val="TableParagraph"/>
              <w:spacing w:before="8"/>
              <w:rPr>
                <w:sz w:val="17"/>
              </w:rPr>
            </w:pPr>
          </w:p>
          <w:p>
            <w:pPr>
              <w:pStyle w:val="TableParagraph"/>
              <w:ind w:left="285"/>
              <w:rPr>
                <w:sz w:val="20"/>
              </w:rPr>
            </w:pPr>
            <w:r>
              <w:rPr>
                <w:sz w:val="20"/>
              </w:rPr>
              <w:t>0,169171</w:t>
            </w:r>
          </w:p>
        </w:tc>
        <w:tc>
          <w:tcPr>
            <w:tcW w:w="1935" w:type="dxa"/>
            <w:tcBorders>
              <w:top w:val="nil"/>
              <w:left w:val="nil"/>
              <w:bottom w:val="nil"/>
              <w:right w:val="nil"/>
            </w:tcBorders>
          </w:tcPr>
          <w:p>
            <w:pPr>
              <w:pStyle w:val="TableParagraph"/>
              <w:spacing w:before="8"/>
              <w:rPr>
                <w:sz w:val="17"/>
              </w:rPr>
            </w:pPr>
          </w:p>
          <w:p>
            <w:pPr>
              <w:pStyle w:val="TableParagraph"/>
              <w:ind w:left="273"/>
              <w:rPr>
                <w:sz w:val="20"/>
              </w:rPr>
            </w:pPr>
            <w:r>
              <w:rPr>
                <w:w w:val="100"/>
                <w:sz w:val="20"/>
              </w:rPr>
              <w:t>x</w:t>
            </w:r>
          </w:p>
        </w:tc>
      </w:tr>
      <w:tr>
        <w:trPr>
          <w:trHeight w:val="886" w:hRule="exact"/>
        </w:trPr>
        <w:tc>
          <w:tcPr>
            <w:tcW w:w="2290" w:type="dxa"/>
            <w:tcBorders>
              <w:top w:val="nil"/>
              <w:left w:val="nil"/>
              <w:bottom w:val="nil"/>
              <w:right w:val="nil"/>
            </w:tcBorders>
          </w:tcPr>
          <w:p>
            <w:pPr>
              <w:pStyle w:val="TableParagraph"/>
              <w:spacing w:before="5"/>
              <w:rPr>
                <w:sz w:val="17"/>
              </w:rPr>
            </w:pPr>
          </w:p>
          <w:p>
            <w:pPr>
              <w:pStyle w:val="TableParagraph"/>
              <w:ind w:left="955" w:right="569" w:hanging="533"/>
              <w:rPr>
                <w:sz w:val="20"/>
              </w:rPr>
            </w:pPr>
            <w:r>
              <w:rPr>
                <w:sz w:val="20"/>
              </w:rPr>
              <w:t>Hembras CHIC (3)</w:t>
            </w:r>
          </w:p>
        </w:tc>
        <w:tc>
          <w:tcPr>
            <w:tcW w:w="1276" w:type="dxa"/>
            <w:tcBorders>
              <w:top w:val="nil"/>
              <w:left w:val="nil"/>
              <w:bottom w:val="nil"/>
              <w:right w:val="nil"/>
            </w:tcBorders>
          </w:tcPr>
          <w:p>
            <w:pPr>
              <w:pStyle w:val="TableParagraph"/>
              <w:spacing w:before="5"/>
              <w:rPr>
                <w:sz w:val="17"/>
              </w:rPr>
            </w:pPr>
          </w:p>
          <w:p>
            <w:pPr>
              <w:pStyle w:val="TableParagraph"/>
              <w:ind w:left="567"/>
              <w:rPr>
                <w:sz w:val="20"/>
              </w:rPr>
            </w:pPr>
            <w:r>
              <w:rPr>
                <w:sz w:val="20"/>
              </w:rPr>
              <w:t>135</w:t>
            </w:r>
          </w:p>
        </w:tc>
        <w:tc>
          <w:tcPr>
            <w:tcW w:w="1835" w:type="dxa"/>
            <w:tcBorders>
              <w:top w:val="nil"/>
              <w:left w:val="nil"/>
              <w:bottom w:val="nil"/>
              <w:right w:val="nil"/>
            </w:tcBorders>
          </w:tcPr>
          <w:p>
            <w:pPr>
              <w:pStyle w:val="TableParagraph"/>
              <w:spacing w:before="5"/>
              <w:rPr>
                <w:sz w:val="17"/>
              </w:rPr>
            </w:pPr>
          </w:p>
          <w:p>
            <w:pPr>
              <w:pStyle w:val="TableParagraph"/>
              <w:ind w:left="405"/>
              <w:rPr>
                <w:sz w:val="20"/>
              </w:rPr>
            </w:pPr>
            <w:r>
              <w:rPr>
                <w:sz w:val="20"/>
              </w:rPr>
              <w:t>1,19464</w:t>
            </w:r>
          </w:p>
        </w:tc>
        <w:tc>
          <w:tcPr>
            <w:tcW w:w="1726" w:type="dxa"/>
            <w:tcBorders>
              <w:top w:val="nil"/>
              <w:left w:val="nil"/>
              <w:bottom w:val="nil"/>
              <w:right w:val="nil"/>
            </w:tcBorders>
          </w:tcPr>
          <w:p>
            <w:pPr>
              <w:pStyle w:val="TableParagraph"/>
              <w:spacing w:before="5"/>
              <w:rPr>
                <w:sz w:val="17"/>
              </w:rPr>
            </w:pPr>
          </w:p>
          <w:p>
            <w:pPr>
              <w:pStyle w:val="TableParagraph"/>
              <w:ind w:left="285"/>
              <w:rPr>
                <w:sz w:val="20"/>
              </w:rPr>
            </w:pPr>
            <w:r>
              <w:rPr>
                <w:sz w:val="20"/>
              </w:rPr>
              <w:t>0,0922745</w:t>
            </w:r>
          </w:p>
        </w:tc>
        <w:tc>
          <w:tcPr>
            <w:tcW w:w="1935" w:type="dxa"/>
            <w:tcBorders>
              <w:top w:val="nil"/>
              <w:left w:val="nil"/>
              <w:bottom w:val="nil"/>
              <w:right w:val="nil"/>
            </w:tcBorders>
          </w:tcPr>
          <w:p>
            <w:pPr>
              <w:pStyle w:val="TableParagraph"/>
              <w:spacing w:before="5"/>
              <w:rPr>
                <w:sz w:val="17"/>
              </w:rPr>
            </w:pPr>
          </w:p>
          <w:p>
            <w:pPr>
              <w:pStyle w:val="TableParagraph"/>
              <w:ind w:right="1155"/>
              <w:jc w:val="right"/>
              <w:rPr>
                <w:sz w:val="20"/>
              </w:rPr>
            </w:pPr>
            <w:r>
              <w:rPr>
                <w:w w:val="100"/>
                <w:sz w:val="20"/>
              </w:rPr>
              <w:t>x</w:t>
            </w:r>
          </w:p>
        </w:tc>
      </w:tr>
      <w:tr>
        <w:trPr>
          <w:trHeight w:val="660" w:hRule="exact"/>
        </w:trPr>
        <w:tc>
          <w:tcPr>
            <w:tcW w:w="2290" w:type="dxa"/>
            <w:tcBorders>
              <w:top w:val="nil"/>
              <w:left w:val="nil"/>
              <w:bottom w:val="nil"/>
              <w:right w:val="nil"/>
            </w:tcBorders>
          </w:tcPr>
          <w:p>
            <w:pPr>
              <w:pStyle w:val="TableParagraph"/>
              <w:spacing w:before="8"/>
              <w:rPr>
                <w:sz w:val="17"/>
              </w:rPr>
            </w:pPr>
          </w:p>
          <w:p>
            <w:pPr>
              <w:pStyle w:val="TableParagraph"/>
              <w:ind w:left="955" w:right="569" w:hanging="514"/>
              <w:rPr>
                <w:sz w:val="20"/>
              </w:rPr>
            </w:pPr>
            <w:r>
              <w:rPr>
                <w:sz w:val="20"/>
              </w:rPr>
              <w:t>Machos CHIC (4)</w:t>
            </w:r>
          </w:p>
        </w:tc>
        <w:tc>
          <w:tcPr>
            <w:tcW w:w="1276" w:type="dxa"/>
            <w:tcBorders>
              <w:top w:val="nil"/>
              <w:left w:val="nil"/>
              <w:bottom w:val="nil"/>
              <w:right w:val="nil"/>
            </w:tcBorders>
          </w:tcPr>
          <w:p>
            <w:pPr>
              <w:pStyle w:val="TableParagraph"/>
              <w:spacing w:before="8"/>
              <w:rPr>
                <w:sz w:val="17"/>
              </w:rPr>
            </w:pPr>
          </w:p>
          <w:p>
            <w:pPr>
              <w:pStyle w:val="TableParagraph"/>
              <w:ind w:left="567"/>
              <w:rPr>
                <w:sz w:val="20"/>
              </w:rPr>
            </w:pPr>
            <w:r>
              <w:rPr>
                <w:sz w:val="20"/>
              </w:rPr>
              <w:t>137</w:t>
            </w:r>
          </w:p>
        </w:tc>
        <w:tc>
          <w:tcPr>
            <w:tcW w:w="1835" w:type="dxa"/>
            <w:tcBorders>
              <w:top w:val="nil"/>
              <w:left w:val="nil"/>
              <w:bottom w:val="nil"/>
              <w:right w:val="nil"/>
            </w:tcBorders>
          </w:tcPr>
          <w:p>
            <w:pPr>
              <w:pStyle w:val="TableParagraph"/>
              <w:spacing w:before="8"/>
              <w:rPr>
                <w:sz w:val="17"/>
              </w:rPr>
            </w:pPr>
          </w:p>
          <w:p>
            <w:pPr>
              <w:pStyle w:val="TableParagraph"/>
              <w:ind w:left="405"/>
              <w:rPr>
                <w:sz w:val="20"/>
              </w:rPr>
            </w:pPr>
            <w:r>
              <w:rPr>
                <w:sz w:val="20"/>
              </w:rPr>
              <w:t>1,20109</w:t>
            </w:r>
          </w:p>
        </w:tc>
        <w:tc>
          <w:tcPr>
            <w:tcW w:w="1726" w:type="dxa"/>
            <w:tcBorders>
              <w:top w:val="nil"/>
              <w:left w:val="nil"/>
              <w:bottom w:val="nil"/>
              <w:right w:val="nil"/>
            </w:tcBorders>
          </w:tcPr>
          <w:p>
            <w:pPr>
              <w:pStyle w:val="TableParagraph"/>
              <w:spacing w:before="8"/>
              <w:rPr>
                <w:sz w:val="17"/>
              </w:rPr>
            </w:pPr>
          </w:p>
          <w:p>
            <w:pPr>
              <w:pStyle w:val="TableParagraph"/>
              <w:ind w:left="285"/>
              <w:rPr>
                <w:sz w:val="20"/>
              </w:rPr>
            </w:pPr>
            <w:r>
              <w:rPr>
                <w:sz w:val="20"/>
              </w:rPr>
              <w:t>0,0935929</w:t>
            </w:r>
          </w:p>
        </w:tc>
        <w:tc>
          <w:tcPr>
            <w:tcW w:w="1935" w:type="dxa"/>
            <w:tcBorders>
              <w:top w:val="nil"/>
              <w:left w:val="nil"/>
              <w:bottom w:val="nil"/>
              <w:right w:val="nil"/>
            </w:tcBorders>
          </w:tcPr>
          <w:p>
            <w:pPr>
              <w:pStyle w:val="TableParagraph"/>
              <w:spacing w:before="8"/>
              <w:rPr>
                <w:sz w:val="17"/>
              </w:rPr>
            </w:pPr>
          </w:p>
          <w:p>
            <w:pPr>
              <w:pStyle w:val="TableParagraph"/>
              <w:ind w:right="1155"/>
              <w:jc w:val="right"/>
              <w:rPr>
                <w:sz w:val="20"/>
              </w:rPr>
            </w:pPr>
            <w:r>
              <w:rPr>
                <w:w w:val="100"/>
                <w:sz w:val="20"/>
              </w:rPr>
              <w:t>x</w:t>
            </w:r>
          </w:p>
        </w:tc>
      </w:tr>
    </w:tbl>
    <w:p>
      <w:pPr>
        <w:pStyle w:val="BodyText"/>
        <w:rPr>
          <w:sz w:val="20"/>
        </w:rPr>
      </w:pPr>
    </w:p>
    <w:p>
      <w:pPr>
        <w:pStyle w:val="BodyText"/>
        <w:spacing w:before="5"/>
        <w:rPr>
          <w:sz w:val="14"/>
        </w:rPr>
      </w:pPr>
      <w:r>
        <w:rPr/>
        <w:pict>
          <v:group style="position:absolute;margin-left:86.884003pt;margin-top:10.272078pt;width:454.8pt;height:1pt;mso-position-horizontal-relative:page;mso-position-vertical-relative:paragraph;z-index:1336;mso-wrap-distance-left:0;mso-wrap-distance-right:0" coordorigin="1738,205" coordsize="9096,20">
            <v:line style="position:absolute" from="1748,215" to="3909,215" stroked="true" strokeweight=".96002pt" strokecolor="#000000"/>
            <v:line style="position:absolute" from="3894,215" to="3913,215" stroked="true" strokeweight=".96002pt" strokecolor="#000000"/>
            <v:line style="position:absolute" from="3913,215" to="5623,215" stroked="true" strokeweight=".96002pt" strokecolor="#000000"/>
            <v:line style="position:absolute" from="5609,215" to="5628,215" stroked="true" strokeweight=".96002pt" strokecolor="#000000"/>
            <v:line style="position:absolute" from="5628,215" to="7342,215" stroked="true" strokeweight=".96002pt" strokecolor="#000000"/>
            <v:line style="position:absolute" from="7328,215" to="7347,215" stroked="true" strokeweight=".96002pt" strokecolor="#000000"/>
            <v:line style="position:absolute" from="7347,215" to="9057,215" stroked="true" strokeweight=".96002pt" strokecolor="#000000"/>
            <v:line style="position:absolute" from="9042,215" to="9061,215" stroked="true" strokeweight=".96002pt" strokecolor="#000000"/>
            <v:line style="position:absolute" from="9061,215" to="10823,215" stroked="true" strokeweight=".96002pt" strokecolor="#000000"/>
            <w10:wrap type="topAndBottom"/>
          </v:group>
        </w:pict>
      </w:r>
    </w:p>
    <w:p>
      <w:pPr>
        <w:pStyle w:val="BodyText"/>
        <w:rPr>
          <w:sz w:val="20"/>
        </w:rPr>
      </w:pPr>
    </w:p>
    <w:p>
      <w:pPr>
        <w:pStyle w:val="BodyText"/>
        <w:spacing w:before="8"/>
        <w:rPr>
          <w:sz w:val="18"/>
        </w:rPr>
      </w:pPr>
    </w:p>
    <w:p>
      <w:pPr>
        <w:pStyle w:val="BodyText"/>
        <w:spacing w:before="70"/>
        <w:ind w:left="252" w:right="226"/>
        <w:jc w:val="both"/>
      </w:pPr>
      <w:r>
        <w:rPr/>
        <w:t>Anexo 5. Análisis de regresión de la intensidad parasitaria en cada uno de los Componentes Principales por sexo y localidad (SJ= San Juanico; Ch= Chicnahuapan). Los valores significativos se muestran en negritas.</w:t>
      </w:r>
    </w:p>
    <w:p>
      <w:pPr>
        <w:pStyle w:val="BodyText"/>
        <w:rPr>
          <w:sz w:val="20"/>
        </w:rPr>
      </w:pPr>
    </w:p>
    <w:p>
      <w:pPr>
        <w:pStyle w:val="BodyText"/>
        <w:rPr>
          <w:sz w:val="20"/>
        </w:rPr>
      </w:pPr>
    </w:p>
    <w:p>
      <w:pPr>
        <w:pStyle w:val="BodyText"/>
        <w:rPr>
          <w:sz w:val="20"/>
        </w:rPr>
      </w:pPr>
    </w:p>
    <w:p>
      <w:pPr>
        <w:pStyle w:val="BodyText"/>
        <w:spacing w:before="8"/>
        <w:rPr>
          <w:sz w:val="12"/>
        </w:rPr>
      </w:pPr>
    </w:p>
    <w:tbl>
      <w:tblPr>
        <w:tblW w:w="0" w:type="auto"/>
        <w:jc w:val="left"/>
        <w:tblInd w:w="12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828"/>
        <w:gridCol w:w="838"/>
        <w:gridCol w:w="1018"/>
        <w:gridCol w:w="689"/>
        <w:gridCol w:w="1020"/>
        <w:gridCol w:w="951"/>
        <w:gridCol w:w="1033"/>
        <w:gridCol w:w="1162"/>
        <w:gridCol w:w="1234"/>
      </w:tblGrid>
      <w:tr>
        <w:trPr>
          <w:trHeight w:val="600" w:hRule="exact"/>
        </w:trPr>
        <w:tc>
          <w:tcPr>
            <w:tcW w:w="8773" w:type="dxa"/>
            <w:gridSpan w:val="9"/>
            <w:tcBorders>
              <w:left w:val="nil"/>
              <w:right w:val="nil"/>
            </w:tcBorders>
          </w:tcPr>
          <w:p>
            <w:pPr>
              <w:pStyle w:val="TableParagraph"/>
              <w:tabs>
                <w:tab w:pos="4363" w:val="left" w:leader="none"/>
              </w:tabs>
              <w:spacing w:line="275" w:lineRule="exact" w:before="1"/>
              <w:ind w:left="367"/>
              <w:jc w:val="center"/>
              <w:rPr>
                <w:b/>
                <w:sz w:val="24"/>
              </w:rPr>
            </w:pPr>
            <w:r>
              <w:rPr>
                <w:b/>
                <w:sz w:val="24"/>
              </w:rPr>
              <w:t>Hembras</w:t>
              <w:tab/>
              <w:t>Machos</w:t>
            </w:r>
          </w:p>
          <w:p>
            <w:pPr>
              <w:pStyle w:val="TableParagraph"/>
              <w:tabs>
                <w:tab w:pos="2218" w:val="left" w:leader="none"/>
                <w:tab w:pos="4144" w:val="left" w:leader="none"/>
                <w:tab w:pos="6265" w:val="left" w:leader="none"/>
              </w:tabs>
              <w:spacing w:line="275" w:lineRule="exact"/>
              <w:ind w:left="527"/>
              <w:jc w:val="center"/>
              <w:rPr>
                <w:b/>
                <w:sz w:val="24"/>
              </w:rPr>
            </w:pPr>
            <w:r>
              <w:rPr>
                <w:b/>
                <w:sz w:val="24"/>
              </w:rPr>
              <w:t>SJ</w:t>
              <w:tab/>
              <w:t>Ch</w:t>
              <w:tab/>
              <w:t>SJ</w:t>
              <w:tab/>
              <w:t>Ch</w:t>
            </w:r>
          </w:p>
        </w:tc>
      </w:tr>
      <w:tr>
        <w:trPr>
          <w:trHeight w:val="304" w:hRule="exact"/>
        </w:trPr>
        <w:tc>
          <w:tcPr>
            <w:tcW w:w="828" w:type="dxa"/>
            <w:tcBorders>
              <w:left w:val="nil"/>
              <w:bottom w:val="nil"/>
              <w:right w:val="nil"/>
            </w:tcBorders>
          </w:tcPr>
          <w:p>
            <w:pPr/>
          </w:p>
        </w:tc>
        <w:tc>
          <w:tcPr>
            <w:tcW w:w="838" w:type="dxa"/>
            <w:tcBorders>
              <w:left w:val="nil"/>
              <w:bottom w:val="nil"/>
              <w:right w:val="nil"/>
            </w:tcBorders>
          </w:tcPr>
          <w:p>
            <w:pPr>
              <w:pStyle w:val="TableParagraph"/>
              <w:spacing w:line="273" w:lineRule="exact"/>
              <w:ind w:left="213"/>
              <w:rPr>
                <w:b/>
                <w:i/>
                <w:sz w:val="24"/>
              </w:rPr>
            </w:pPr>
            <w:r>
              <w:rPr>
                <w:b/>
                <w:i/>
                <w:sz w:val="24"/>
              </w:rPr>
              <w:t>p</w:t>
            </w:r>
          </w:p>
        </w:tc>
        <w:tc>
          <w:tcPr>
            <w:tcW w:w="1018" w:type="dxa"/>
            <w:tcBorders>
              <w:left w:val="nil"/>
              <w:bottom w:val="nil"/>
              <w:right w:val="nil"/>
            </w:tcBorders>
          </w:tcPr>
          <w:p>
            <w:pPr>
              <w:pStyle w:val="TableParagraph"/>
              <w:spacing w:line="273" w:lineRule="exact"/>
              <w:jc w:val="center"/>
              <w:rPr>
                <w:b/>
                <w:i/>
                <w:sz w:val="24"/>
              </w:rPr>
            </w:pPr>
            <w:r>
              <w:rPr>
                <w:b/>
                <w:i/>
                <w:w w:val="99"/>
                <w:sz w:val="24"/>
              </w:rPr>
              <w:t>r</w:t>
            </w:r>
          </w:p>
        </w:tc>
        <w:tc>
          <w:tcPr>
            <w:tcW w:w="689" w:type="dxa"/>
            <w:tcBorders>
              <w:left w:val="nil"/>
              <w:bottom w:val="nil"/>
              <w:right w:val="nil"/>
            </w:tcBorders>
          </w:tcPr>
          <w:p>
            <w:pPr>
              <w:pStyle w:val="TableParagraph"/>
              <w:spacing w:line="273" w:lineRule="exact"/>
              <w:ind w:right="1"/>
              <w:jc w:val="center"/>
              <w:rPr>
                <w:b/>
                <w:i/>
                <w:sz w:val="24"/>
              </w:rPr>
            </w:pPr>
            <w:r>
              <w:rPr>
                <w:b/>
                <w:i/>
                <w:sz w:val="24"/>
              </w:rPr>
              <w:t>p</w:t>
            </w:r>
          </w:p>
        </w:tc>
        <w:tc>
          <w:tcPr>
            <w:tcW w:w="1020" w:type="dxa"/>
            <w:tcBorders>
              <w:left w:val="nil"/>
              <w:bottom w:val="nil"/>
              <w:right w:val="nil"/>
            </w:tcBorders>
          </w:tcPr>
          <w:p>
            <w:pPr>
              <w:pStyle w:val="TableParagraph"/>
              <w:spacing w:line="273" w:lineRule="exact"/>
              <w:ind w:right="7"/>
              <w:jc w:val="center"/>
              <w:rPr>
                <w:b/>
                <w:i/>
                <w:sz w:val="24"/>
              </w:rPr>
            </w:pPr>
            <w:r>
              <w:rPr>
                <w:b/>
                <w:i/>
                <w:w w:val="99"/>
                <w:sz w:val="24"/>
              </w:rPr>
              <w:t>r</w:t>
            </w:r>
          </w:p>
        </w:tc>
        <w:tc>
          <w:tcPr>
            <w:tcW w:w="951" w:type="dxa"/>
            <w:tcBorders>
              <w:left w:val="nil"/>
              <w:bottom w:val="nil"/>
              <w:right w:val="nil"/>
            </w:tcBorders>
          </w:tcPr>
          <w:p>
            <w:pPr>
              <w:pStyle w:val="TableParagraph"/>
              <w:spacing w:line="273" w:lineRule="exact"/>
              <w:ind w:right="1"/>
              <w:jc w:val="center"/>
              <w:rPr>
                <w:b/>
                <w:i/>
                <w:sz w:val="24"/>
              </w:rPr>
            </w:pPr>
            <w:r>
              <w:rPr>
                <w:b/>
                <w:i/>
                <w:sz w:val="24"/>
              </w:rPr>
              <w:t>p</w:t>
            </w:r>
          </w:p>
        </w:tc>
        <w:tc>
          <w:tcPr>
            <w:tcW w:w="1033" w:type="dxa"/>
            <w:tcBorders>
              <w:left w:val="nil"/>
              <w:bottom w:val="nil"/>
              <w:right w:val="nil"/>
            </w:tcBorders>
          </w:tcPr>
          <w:p>
            <w:pPr>
              <w:pStyle w:val="TableParagraph"/>
              <w:spacing w:line="273" w:lineRule="exact"/>
              <w:ind w:left="2"/>
              <w:jc w:val="center"/>
              <w:rPr>
                <w:b/>
                <w:i/>
                <w:sz w:val="24"/>
              </w:rPr>
            </w:pPr>
            <w:r>
              <w:rPr>
                <w:b/>
                <w:i/>
                <w:w w:val="99"/>
                <w:sz w:val="24"/>
              </w:rPr>
              <w:t>r</w:t>
            </w:r>
          </w:p>
        </w:tc>
        <w:tc>
          <w:tcPr>
            <w:tcW w:w="1162" w:type="dxa"/>
            <w:tcBorders>
              <w:left w:val="nil"/>
              <w:bottom w:val="nil"/>
              <w:right w:val="nil"/>
            </w:tcBorders>
          </w:tcPr>
          <w:p>
            <w:pPr>
              <w:pStyle w:val="TableParagraph"/>
              <w:spacing w:line="273" w:lineRule="exact"/>
              <w:ind w:right="69"/>
              <w:jc w:val="center"/>
              <w:rPr>
                <w:b/>
                <w:i/>
                <w:sz w:val="24"/>
              </w:rPr>
            </w:pPr>
            <w:r>
              <w:rPr>
                <w:b/>
                <w:i/>
                <w:sz w:val="24"/>
              </w:rPr>
              <w:t>p</w:t>
            </w:r>
          </w:p>
        </w:tc>
        <w:tc>
          <w:tcPr>
            <w:tcW w:w="1234" w:type="dxa"/>
            <w:tcBorders>
              <w:left w:val="nil"/>
              <w:bottom w:val="nil"/>
              <w:right w:val="nil"/>
            </w:tcBorders>
          </w:tcPr>
          <w:p>
            <w:pPr>
              <w:pStyle w:val="TableParagraph"/>
              <w:spacing w:line="273" w:lineRule="exact"/>
              <w:ind w:right="53"/>
              <w:jc w:val="center"/>
              <w:rPr>
                <w:b/>
                <w:i/>
                <w:sz w:val="24"/>
              </w:rPr>
            </w:pPr>
            <w:r>
              <w:rPr>
                <w:b/>
                <w:i/>
                <w:w w:val="99"/>
                <w:sz w:val="24"/>
              </w:rPr>
              <w:t>r</w:t>
            </w:r>
          </w:p>
        </w:tc>
      </w:tr>
      <w:tr>
        <w:trPr>
          <w:trHeight w:val="413" w:hRule="exact"/>
        </w:trPr>
        <w:tc>
          <w:tcPr>
            <w:tcW w:w="828" w:type="dxa"/>
            <w:tcBorders>
              <w:top w:val="nil"/>
              <w:left w:val="nil"/>
              <w:bottom w:val="nil"/>
              <w:right w:val="nil"/>
            </w:tcBorders>
          </w:tcPr>
          <w:p>
            <w:pPr>
              <w:pStyle w:val="TableParagraph"/>
              <w:spacing w:line="264" w:lineRule="exact"/>
              <w:ind w:left="152" w:right="135"/>
              <w:jc w:val="center"/>
              <w:rPr>
                <w:b/>
                <w:sz w:val="24"/>
              </w:rPr>
            </w:pPr>
            <w:r>
              <w:rPr>
                <w:b/>
                <w:sz w:val="24"/>
              </w:rPr>
              <w:t>PC 1</w:t>
            </w:r>
          </w:p>
        </w:tc>
        <w:tc>
          <w:tcPr>
            <w:tcW w:w="838" w:type="dxa"/>
            <w:tcBorders>
              <w:top w:val="nil"/>
              <w:left w:val="nil"/>
              <w:bottom w:val="nil"/>
              <w:right w:val="nil"/>
            </w:tcBorders>
          </w:tcPr>
          <w:p>
            <w:pPr>
              <w:pStyle w:val="TableParagraph"/>
              <w:spacing w:line="264" w:lineRule="exact"/>
              <w:ind w:left="156"/>
              <w:rPr>
                <w:b/>
                <w:sz w:val="24"/>
              </w:rPr>
            </w:pPr>
            <w:r>
              <w:rPr>
                <w:b/>
                <w:sz w:val="24"/>
              </w:rPr>
              <w:t>0.037</w:t>
            </w:r>
          </w:p>
        </w:tc>
        <w:tc>
          <w:tcPr>
            <w:tcW w:w="1018" w:type="dxa"/>
            <w:tcBorders>
              <w:top w:val="nil"/>
              <w:left w:val="nil"/>
              <w:bottom w:val="nil"/>
              <w:right w:val="nil"/>
            </w:tcBorders>
          </w:tcPr>
          <w:p>
            <w:pPr>
              <w:pStyle w:val="TableParagraph"/>
              <w:spacing w:line="259" w:lineRule="exact"/>
              <w:ind w:left="121" w:right="117"/>
              <w:jc w:val="center"/>
              <w:rPr>
                <w:sz w:val="24"/>
              </w:rPr>
            </w:pPr>
            <w:r>
              <w:rPr>
                <w:sz w:val="24"/>
              </w:rPr>
              <w:t>-0.1681</w:t>
            </w:r>
          </w:p>
        </w:tc>
        <w:tc>
          <w:tcPr>
            <w:tcW w:w="689" w:type="dxa"/>
            <w:tcBorders>
              <w:top w:val="nil"/>
              <w:left w:val="nil"/>
              <w:bottom w:val="nil"/>
              <w:right w:val="nil"/>
            </w:tcBorders>
          </w:tcPr>
          <w:p>
            <w:pPr>
              <w:pStyle w:val="TableParagraph"/>
              <w:spacing w:line="259" w:lineRule="exact"/>
              <w:ind w:left="115" w:right="113"/>
              <w:jc w:val="center"/>
              <w:rPr>
                <w:sz w:val="24"/>
              </w:rPr>
            </w:pPr>
            <w:r>
              <w:rPr>
                <w:sz w:val="24"/>
              </w:rPr>
              <w:t>0.72</w:t>
            </w:r>
          </w:p>
        </w:tc>
        <w:tc>
          <w:tcPr>
            <w:tcW w:w="1020" w:type="dxa"/>
            <w:tcBorders>
              <w:top w:val="nil"/>
              <w:left w:val="nil"/>
              <w:bottom w:val="nil"/>
              <w:right w:val="nil"/>
            </w:tcBorders>
          </w:tcPr>
          <w:p>
            <w:pPr>
              <w:pStyle w:val="TableParagraph"/>
              <w:spacing w:line="259" w:lineRule="exact"/>
              <w:ind w:left="114" w:right="125"/>
              <w:jc w:val="center"/>
              <w:rPr>
                <w:sz w:val="24"/>
              </w:rPr>
            </w:pPr>
            <w:r>
              <w:rPr>
                <w:sz w:val="24"/>
              </w:rPr>
              <w:t>-0.0283</w:t>
            </w:r>
          </w:p>
        </w:tc>
        <w:tc>
          <w:tcPr>
            <w:tcW w:w="951" w:type="dxa"/>
            <w:tcBorders>
              <w:top w:val="nil"/>
              <w:left w:val="nil"/>
              <w:bottom w:val="nil"/>
              <w:right w:val="nil"/>
            </w:tcBorders>
          </w:tcPr>
          <w:p>
            <w:pPr>
              <w:pStyle w:val="TableParagraph"/>
              <w:spacing w:line="264" w:lineRule="exact"/>
              <w:ind w:left="125" w:right="125"/>
              <w:jc w:val="center"/>
              <w:rPr>
                <w:b/>
                <w:sz w:val="24"/>
              </w:rPr>
            </w:pPr>
            <w:r>
              <w:rPr>
                <w:b/>
                <w:sz w:val="24"/>
              </w:rPr>
              <w:t>0.0055</w:t>
            </w:r>
          </w:p>
        </w:tc>
        <w:tc>
          <w:tcPr>
            <w:tcW w:w="1033" w:type="dxa"/>
            <w:tcBorders>
              <w:top w:val="nil"/>
              <w:left w:val="nil"/>
              <w:bottom w:val="nil"/>
              <w:right w:val="nil"/>
            </w:tcBorders>
          </w:tcPr>
          <w:p>
            <w:pPr>
              <w:pStyle w:val="TableParagraph"/>
              <w:spacing w:line="259" w:lineRule="exact"/>
              <w:ind w:left="126" w:right="122"/>
              <w:jc w:val="center"/>
              <w:rPr>
                <w:sz w:val="24"/>
              </w:rPr>
            </w:pPr>
            <w:r>
              <w:rPr>
                <w:sz w:val="24"/>
              </w:rPr>
              <w:t>0.2052</w:t>
            </w:r>
          </w:p>
        </w:tc>
        <w:tc>
          <w:tcPr>
            <w:tcW w:w="1162" w:type="dxa"/>
            <w:tcBorders>
              <w:top w:val="nil"/>
              <w:left w:val="nil"/>
              <w:bottom w:val="nil"/>
              <w:right w:val="nil"/>
            </w:tcBorders>
          </w:tcPr>
          <w:p>
            <w:pPr>
              <w:pStyle w:val="TableParagraph"/>
              <w:spacing w:line="259" w:lineRule="exact"/>
              <w:ind w:left="125" w:right="190"/>
              <w:jc w:val="center"/>
              <w:rPr>
                <w:sz w:val="24"/>
              </w:rPr>
            </w:pPr>
            <w:r>
              <w:rPr>
                <w:sz w:val="24"/>
              </w:rPr>
              <w:t>0.21</w:t>
            </w:r>
          </w:p>
        </w:tc>
        <w:tc>
          <w:tcPr>
            <w:tcW w:w="1234" w:type="dxa"/>
            <w:tcBorders>
              <w:top w:val="nil"/>
              <w:left w:val="nil"/>
              <w:bottom w:val="nil"/>
              <w:right w:val="nil"/>
            </w:tcBorders>
          </w:tcPr>
          <w:p>
            <w:pPr>
              <w:pStyle w:val="TableParagraph"/>
              <w:spacing w:line="259" w:lineRule="exact"/>
              <w:ind w:left="199" w:right="250"/>
              <w:jc w:val="center"/>
              <w:rPr>
                <w:sz w:val="24"/>
              </w:rPr>
            </w:pPr>
            <w:r>
              <w:rPr>
                <w:sz w:val="24"/>
              </w:rPr>
              <w:t>-0.1</w:t>
            </w:r>
          </w:p>
        </w:tc>
      </w:tr>
      <w:tr>
        <w:trPr>
          <w:trHeight w:val="552" w:hRule="exact"/>
        </w:trPr>
        <w:tc>
          <w:tcPr>
            <w:tcW w:w="828" w:type="dxa"/>
            <w:tcBorders>
              <w:top w:val="nil"/>
              <w:left w:val="nil"/>
              <w:bottom w:val="nil"/>
              <w:right w:val="nil"/>
            </w:tcBorders>
          </w:tcPr>
          <w:p>
            <w:pPr>
              <w:pStyle w:val="TableParagraph"/>
              <w:spacing w:before="127"/>
              <w:ind w:left="152" w:right="135"/>
              <w:jc w:val="center"/>
              <w:rPr>
                <w:b/>
                <w:sz w:val="24"/>
              </w:rPr>
            </w:pPr>
            <w:r>
              <w:rPr>
                <w:b/>
                <w:sz w:val="24"/>
              </w:rPr>
              <w:t>PC 2</w:t>
            </w:r>
          </w:p>
        </w:tc>
        <w:tc>
          <w:tcPr>
            <w:tcW w:w="838" w:type="dxa"/>
            <w:tcBorders>
              <w:top w:val="nil"/>
              <w:left w:val="nil"/>
              <w:bottom w:val="nil"/>
              <w:right w:val="nil"/>
            </w:tcBorders>
          </w:tcPr>
          <w:p>
            <w:pPr>
              <w:pStyle w:val="TableParagraph"/>
              <w:spacing w:before="123"/>
              <w:ind w:left="213"/>
              <w:rPr>
                <w:sz w:val="24"/>
              </w:rPr>
            </w:pPr>
            <w:r>
              <w:rPr>
                <w:sz w:val="24"/>
              </w:rPr>
              <w:t>0.95</w:t>
            </w:r>
          </w:p>
        </w:tc>
        <w:tc>
          <w:tcPr>
            <w:tcW w:w="1018" w:type="dxa"/>
            <w:tcBorders>
              <w:top w:val="nil"/>
              <w:left w:val="nil"/>
              <w:bottom w:val="nil"/>
              <w:right w:val="nil"/>
            </w:tcBorders>
          </w:tcPr>
          <w:p>
            <w:pPr>
              <w:pStyle w:val="TableParagraph"/>
              <w:spacing w:before="123"/>
              <w:ind w:left="121" w:right="117"/>
              <w:jc w:val="center"/>
              <w:rPr>
                <w:sz w:val="24"/>
              </w:rPr>
            </w:pPr>
            <w:r>
              <w:rPr>
                <w:sz w:val="24"/>
              </w:rPr>
              <w:t>-0.0128</w:t>
            </w:r>
          </w:p>
        </w:tc>
        <w:tc>
          <w:tcPr>
            <w:tcW w:w="689" w:type="dxa"/>
            <w:tcBorders>
              <w:top w:val="nil"/>
              <w:left w:val="nil"/>
              <w:bottom w:val="nil"/>
              <w:right w:val="nil"/>
            </w:tcBorders>
          </w:tcPr>
          <w:p>
            <w:pPr>
              <w:pStyle w:val="TableParagraph"/>
              <w:spacing w:before="127"/>
              <w:ind w:left="115" w:right="113"/>
              <w:jc w:val="center"/>
              <w:rPr>
                <w:b/>
                <w:sz w:val="24"/>
              </w:rPr>
            </w:pPr>
            <w:r>
              <w:rPr>
                <w:b/>
                <w:sz w:val="24"/>
              </w:rPr>
              <w:t>0.04</w:t>
            </w:r>
          </w:p>
        </w:tc>
        <w:tc>
          <w:tcPr>
            <w:tcW w:w="1020" w:type="dxa"/>
            <w:tcBorders>
              <w:top w:val="nil"/>
              <w:left w:val="nil"/>
              <w:bottom w:val="nil"/>
              <w:right w:val="nil"/>
            </w:tcBorders>
          </w:tcPr>
          <w:p>
            <w:pPr>
              <w:pStyle w:val="TableParagraph"/>
              <w:spacing w:before="123"/>
              <w:ind w:left="114" w:right="125"/>
              <w:jc w:val="center"/>
              <w:rPr>
                <w:sz w:val="24"/>
              </w:rPr>
            </w:pPr>
            <w:r>
              <w:rPr>
                <w:sz w:val="24"/>
              </w:rPr>
              <w:t>-0.1646</w:t>
            </w:r>
          </w:p>
        </w:tc>
        <w:tc>
          <w:tcPr>
            <w:tcW w:w="951" w:type="dxa"/>
            <w:tcBorders>
              <w:top w:val="nil"/>
              <w:left w:val="nil"/>
              <w:bottom w:val="nil"/>
              <w:right w:val="nil"/>
            </w:tcBorders>
          </w:tcPr>
          <w:p>
            <w:pPr>
              <w:pStyle w:val="TableParagraph"/>
              <w:spacing w:before="123"/>
              <w:ind w:left="125" w:right="125"/>
              <w:jc w:val="center"/>
              <w:rPr>
                <w:sz w:val="24"/>
              </w:rPr>
            </w:pPr>
            <w:r>
              <w:rPr>
                <w:sz w:val="24"/>
              </w:rPr>
              <w:t>0.31</w:t>
            </w:r>
          </w:p>
        </w:tc>
        <w:tc>
          <w:tcPr>
            <w:tcW w:w="1033" w:type="dxa"/>
            <w:tcBorders>
              <w:top w:val="nil"/>
              <w:left w:val="nil"/>
              <w:bottom w:val="nil"/>
              <w:right w:val="nil"/>
            </w:tcBorders>
          </w:tcPr>
          <w:p>
            <w:pPr>
              <w:pStyle w:val="TableParagraph"/>
              <w:spacing w:before="123"/>
              <w:ind w:left="126" w:right="126"/>
              <w:jc w:val="center"/>
              <w:rPr>
                <w:sz w:val="24"/>
              </w:rPr>
            </w:pPr>
            <w:r>
              <w:rPr>
                <w:sz w:val="24"/>
              </w:rPr>
              <w:t>-0.1534</w:t>
            </w:r>
          </w:p>
        </w:tc>
        <w:tc>
          <w:tcPr>
            <w:tcW w:w="1162" w:type="dxa"/>
            <w:tcBorders>
              <w:top w:val="nil"/>
              <w:left w:val="nil"/>
              <w:bottom w:val="nil"/>
              <w:right w:val="nil"/>
            </w:tcBorders>
          </w:tcPr>
          <w:p>
            <w:pPr>
              <w:pStyle w:val="TableParagraph"/>
              <w:spacing w:before="123"/>
              <w:ind w:left="125" w:right="190"/>
              <w:jc w:val="center"/>
              <w:rPr>
                <w:sz w:val="24"/>
              </w:rPr>
            </w:pPr>
            <w:r>
              <w:rPr>
                <w:sz w:val="24"/>
              </w:rPr>
              <w:t>0.31</w:t>
            </w:r>
          </w:p>
        </w:tc>
        <w:tc>
          <w:tcPr>
            <w:tcW w:w="1234" w:type="dxa"/>
            <w:tcBorders>
              <w:top w:val="nil"/>
              <w:left w:val="nil"/>
              <w:bottom w:val="nil"/>
              <w:right w:val="nil"/>
            </w:tcBorders>
          </w:tcPr>
          <w:p>
            <w:pPr>
              <w:pStyle w:val="TableParagraph"/>
              <w:spacing w:before="123"/>
              <w:ind w:left="204" w:right="250"/>
              <w:jc w:val="center"/>
              <w:rPr>
                <w:sz w:val="24"/>
              </w:rPr>
            </w:pPr>
            <w:r>
              <w:rPr>
                <w:sz w:val="24"/>
              </w:rPr>
              <w:t>-0.0828</w:t>
            </w:r>
          </w:p>
        </w:tc>
      </w:tr>
      <w:tr>
        <w:trPr>
          <w:trHeight w:val="709" w:hRule="exact"/>
        </w:trPr>
        <w:tc>
          <w:tcPr>
            <w:tcW w:w="828" w:type="dxa"/>
            <w:tcBorders>
              <w:top w:val="nil"/>
              <w:left w:val="nil"/>
              <w:right w:val="nil"/>
            </w:tcBorders>
          </w:tcPr>
          <w:p>
            <w:pPr>
              <w:pStyle w:val="TableParagraph"/>
              <w:spacing w:before="127"/>
              <w:ind w:left="152" w:right="135"/>
              <w:jc w:val="center"/>
              <w:rPr>
                <w:b/>
                <w:sz w:val="24"/>
              </w:rPr>
            </w:pPr>
            <w:r>
              <w:rPr>
                <w:b/>
                <w:sz w:val="24"/>
              </w:rPr>
              <w:t>PC 3</w:t>
            </w:r>
          </w:p>
        </w:tc>
        <w:tc>
          <w:tcPr>
            <w:tcW w:w="838" w:type="dxa"/>
            <w:tcBorders>
              <w:top w:val="nil"/>
              <w:left w:val="nil"/>
              <w:right w:val="nil"/>
            </w:tcBorders>
          </w:tcPr>
          <w:p>
            <w:pPr>
              <w:pStyle w:val="TableParagraph"/>
              <w:spacing w:before="122"/>
              <w:ind w:left="213"/>
              <w:rPr>
                <w:sz w:val="24"/>
              </w:rPr>
            </w:pPr>
            <w:r>
              <w:rPr>
                <w:sz w:val="24"/>
              </w:rPr>
              <w:t>0.78</w:t>
            </w:r>
          </w:p>
        </w:tc>
        <w:tc>
          <w:tcPr>
            <w:tcW w:w="1018" w:type="dxa"/>
            <w:tcBorders>
              <w:top w:val="nil"/>
              <w:left w:val="nil"/>
              <w:right w:val="nil"/>
            </w:tcBorders>
          </w:tcPr>
          <w:p>
            <w:pPr>
              <w:pStyle w:val="TableParagraph"/>
              <w:spacing w:before="122"/>
              <w:ind w:left="121" w:right="117"/>
              <w:jc w:val="center"/>
              <w:rPr>
                <w:sz w:val="24"/>
              </w:rPr>
            </w:pPr>
            <w:r>
              <w:rPr>
                <w:sz w:val="24"/>
              </w:rPr>
              <w:t>-0.0541</w:t>
            </w:r>
          </w:p>
        </w:tc>
        <w:tc>
          <w:tcPr>
            <w:tcW w:w="689" w:type="dxa"/>
            <w:tcBorders>
              <w:top w:val="nil"/>
              <w:left w:val="nil"/>
              <w:right w:val="nil"/>
            </w:tcBorders>
          </w:tcPr>
          <w:p>
            <w:pPr>
              <w:pStyle w:val="TableParagraph"/>
              <w:spacing w:before="127"/>
              <w:ind w:left="115" w:right="113"/>
              <w:jc w:val="center"/>
              <w:rPr>
                <w:b/>
                <w:sz w:val="24"/>
              </w:rPr>
            </w:pPr>
            <w:r>
              <w:rPr>
                <w:b/>
                <w:sz w:val="24"/>
              </w:rPr>
              <w:t>0.01</w:t>
            </w:r>
          </w:p>
        </w:tc>
        <w:tc>
          <w:tcPr>
            <w:tcW w:w="1020" w:type="dxa"/>
            <w:tcBorders>
              <w:top w:val="nil"/>
              <w:left w:val="nil"/>
              <w:right w:val="nil"/>
            </w:tcBorders>
          </w:tcPr>
          <w:p>
            <w:pPr>
              <w:pStyle w:val="TableParagraph"/>
              <w:spacing w:before="122"/>
              <w:ind w:left="114" w:right="125"/>
              <w:jc w:val="center"/>
              <w:rPr>
                <w:sz w:val="24"/>
              </w:rPr>
            </w:pPr>
            <w:r>
              <w:rPr>
                <w:sz w:val="24"/>
              </w:rPr>
              <w:t>-0.2052</w:t>
            </w:r>
          </w:p>
        </w:tc>
        <w:tc>
          <w:tcPr>
            <w:tcW w:w="951" w:type="dxa"/>
            <w:tcBorders>
              <w:top w:val="nil"/>
              <w:left w:val="nil"/>
              <w:right w:val="nil"/>
            </w:tcBorders>
          </w:tcPr>
          <w:p>
            <w:pPr>
              <w:pStyle w:val="TableParagraph"/>
              <w:spacing w:before="127"/>
              <w:ind w:left="125" w:right="125"/>
              <w:jc w:val="center"/>
              <w:rPr>
                <w:b/>
                <w:sz w:val="24"/>
              </w:rPr>
            </w:pPr>
            <w:r>
              <w:rPr>
                <w:b/>
                <w:sz w:val="24"/>
              </w:rPr>
              <w:t>0.04</w:t>
            </w:r>
          </w:p>
        </w:tc>
        <w:tc>
          <w:tcPr>
            <w:tcW w:w="1033" w:type="dxa"/>
            <w:tcBorders>
              <w:top w:val="nil"/>
              <w:left w:val="nil"/>
              <w:right w:val="nil"/>
            </w:tcBorders>
          </w:tcPr>
          <w:p>
            <w:pPr>
              <w:pStyle w:val="TableParagraph"/>
              <w:spacing w:before="122"/>
              <w:ind w:left="126" w:right="126"/>
              <w:jc w:val="center"/>
              <w:rPr>
                <w:sz w:val="24"/>
              </w:rPr>
            </w:pPr>
            <w:r>
              <w:rPr>
                <w:sz w:val="24"/>
              </w:rPr>
              <w:t>-0.3086</w:t>
            </w:r>
          </w:p>
        </w:tc>
        <w:tc>
          <w:tcPr>
            <w:tcW w:w="1162" w:type="dxa"/>
            <w:tcBorders>
              <w:top w:val="nil"/>
              <w:left w:val="nil"/>
              <w:right w:val="nil"/>
            </w:tcBorders>
          </w:tcPr>
          <w:p>
            <w:pPr>
              <w:pStyle w:val="TableParagraph"/>
              <w:spacing w:before="127"/>
              <w:ind w:left="125" w:right="199"/>
              <w:jc w:val="center"/>
              <w:rPr>
                <w:b/>
                <w:sz w:val="24"/>
              </w:rPr>
            </w:pPr>
            <w:r>
              <w:rPr>
                <w:b/>
                <w:sz w:val="24"/>
              </w:rPr>
              <w:t>&lt;0.0001</w:t>
            </w:r>
          </w:p>
        </w:tc>
        <w:tc>
          <w:tcPr>
            <w:tcW w:w="1234" w:type="dxa"/>
            <w:tcBorders>
              <w:top w:val="nil"/>
              <w:left w:val="nil"/>
              <w:right w:val="nil"/>
            </w:tcBorders>
          </w:tcPr>
          <w:p>
            <w:pPr>
              <w:pStyle w:val="TableParagraph"/>
              <w:spacing w:before="122"/>
              <w:ind w:left="204" w:right="250"/>
              <w:jc w:val="center"/>
              <w:rPr>
                <w:sz w:val="24"/>
              </w:rPr>
            </w:pPr>
            <w:r>
              <w:rPr>
                <w:sz w:val="24"/>
              </w:rPr>
              <w:t>-0.2636</w:t>
            </w:r>
          </w:p>
        </w:tc>
      </w:tr>
    </w:tbl>
    <w:p>
      <w:pPr>
        <w:spacing w:after="0"/>
        <w:jc w:val="center"/>
        <w:rPr>
          <w:sz w:val="24"/>
        </w:rPr>
        <w:sectPr>
          <w:pgSz w:w="12240" w:h="15840"/>
          <w:pgMar w:header="0" w:footer="1304" w:top="1500" w:bottom="1560" w:left="1620" w:right="1300"/>
        </w:sectPr>
      </w:pPr>
    </w:p>
    <w:p>
      <w:pPr>
        <w:pStyle w:val="BodyText"/>
        <w:spacing w:before="7"/>
        <w:rPr>
          <w:sz w:val="20"/>
        </w:rPr>
      </w:pPr>
    </w:p>
    <w:p>
      <w:pPr>
        <w:pStyle w:val="BodyText"/>
        <w:spacing w:before="69"/>
        <w:ind w:left="232" w:right="218"/>
        <w:jc w:val="both"/>
      </w:pPr>
      <w:r>
        <w:rPr/>
        <w:t>Anexo 6. ANCOVA: efecto del sexo (hembras-machos) y </w:t>
      </w:r>
      <w:r>
        <w:rPr>
          <w:spacing w:val="-5"/>
        </w:rPr>
        <w:t>la </w:t>
      </w:r>
      <w:r>
        <w:rPr/>
        <w:t>localidad (Embalse San Juanico-Laguna de Chicnahuapan) en </w:t>
      </w:r>
      <w:r>
        <w:rPr>
          <w:spacing w:val="-3"/>
        </w:rPr>
        <w:t>la </w:t>
      </w:r>
      <w:r>
        <w:rPr/>
        <w:t>intensidad parasitaria de </w:t>
      </w:r>
      <w:r>
        <w:rPr>
          <w:i/>
        </w:rPr>
        <w:t>B. acheilognathi </w:t>
      </w:r>
      <w:r>
        <w:rPr/>
        <w:t>(datos transformados a logaritmo para su normalidad) (covariables = componentes principales  SS= </w:t>
      </w:r>
      <w:r>
        <w:rPr>
          <w:spacing w:val="-3"/>
        </w:rPr>
        <w:t>suma </w:t>
      </w:r>
      <w:r>
        <w:rPr/>
        <w:t>de cuadrados; df = grados de libertad); *nivel de significancia </w:t>
      </w:r>
      <w:r>
        <w:rPr>
          <w:i/>
        </w:rPr>
        <w:t>( p </w:t>
      </w:r>
      <w:r>
        <w:rPr/>
        <w:t>&lt;</w:t>
      </w:r>
      <w:r>
        <w:rPr>
          <w:spacing w:val="-7"/>
        </w:rPr>
        <w:t> </w:t>
      </w:r>
      <w:r>
        <w:rPr/>
        <w:t>0.05).</w:t>
      </w:r>
    </w:p>
    <w:p>
      <w:pPr>
        <w:pStyle w:val="BodyText"/>
        <w:rPr>
          <w:sz w:val="20"/>
        </w:rPr>
      </w:pPr>
    </w:p>
    <w:p>
      <w:pPr>
        <w:pStyle w:val="BodyText"/>
        <w:spacing w:before="10"/>
        <w:rPr>
          <w:sz w:val="28"/>
        </w:r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5"/>
        <w:gridCol w:w="1350"/>
        <w:gridCol w:w="1147"/>
        <w:gridCol w:w="1621"/>
        <w:gridCol w:w="1383"/>
        <w:gridCol w:w="1705"/>
      </w:tblGrid>
      <w:tr>
        <w:trPr>
          <w:trHeight w:val="710" w:hRule="exact"/>
        </w:trPr>
        <w:tc>
          <w:tcPr>
            <w:tcW w:w="1855" w:type="dxa"/>
            <w:tcBorders>
              <w:left w:val="nil"/>
              <w:bottom w:val="single" w:sz="8" w:space="0" w:color="000000"/>
              <w:right w:val="nil"/>
            </w:tcBorders>
          </w:tcPr>
          <w:p>
            <w:pPr>
              <w:pStyle w:val="TableParagraph"/>
              <w:spacing w:line="221" w:lineRule="exact"/>
              <w:ind w:left="706"/>
              <w:rPr>
                <w:sz w:val="20"/>
              </w:rPr>
            </w:pPr>
            <w:r>
              <w:rPr>
                <w:sz w:val="20"/>
              </w:rPr>
              <w:t>Source</w:t>
            </w:r>
          </w:p>
        </w:tc>
        <w:tc>
          <w:tcPr>
            <w:tcW w:w="1350" w:type="dxa"/>
            <w:tcBorders>
              <w:left w:val="nil"/>
              <w:bottom w:val="single" w:sz="8" w:space="0" w:color="000000"/>
              <w:right w:val="nil"/>
            </w:tcBorders>
          </w:tcPr>
          <w:p>
            <w:pPr>
              <w:pStyle w:val="TableParagraph"/>
              <w:spacing w:line="226" w:lineRule="exact"/>
              <w:ind w:left="223"/>
              <w:rPr>
                <w:b/>
                <w:sz w:val="20"/>
              </w:rPr>
            </w:pPr>
            <w:r>
              <w:rPr>
                <w:b/>
                <w:sz w:val="20"/>
              </w:rPr>
              <w:t>SS</w:t>
            </w:r>
          </w:p>
        </w:tc>
        <w:tc>
          <w:tcPr>
            <w:tcW w:w="1147" w:type="dxa"/>
            <w:tcBorders>
              <w:left w:val="nil"/>
              <w:bottom w:val="single" w:sz="8" w:space="0" w:color="000000"/>
              <w:right w:val="nil"/>
            </w:tcBorders>
          </w:tcPr>
          <w:p>
            <w:pPr>
              <w:pStyle w:val="TableParagraph"/>
              <w:spacing w:line="226" w:lineRule="exact"/>
              <w:ind w:left="372"/>
              <w:rPr>
                <w:b/>
                <w:sz w:val="20"/>
              </w:rPr>
            </w:pPr>
            <w:r>
              <w:rPr>
                <w:b/>
                <w:sz w:val="20"/>
              </w:rPr>
              <w:t>Df</w:t>
            </w:r>
          </w:p>
        </w:tc>
        <w:tc>
          <w:tcPr>
            <w:tcW w:w="1621" w:type="dxa"/>
            <w:tcBorders>
              <w:left w:val="nil"/>
              <w:bottom w:val="single" w:sz="8" w:space="0" w:color="000000"/>
              <w:right w:val="nil"/>
            </w:tcBorders>
          </w:tcPr>
          <w:p>
            <w:pPr>
              <w:pStyle w:val="TableParagraph"/>
              <w:ind w:left="565" w:right="313"/>
              <w:rPr>
                <w:b/>
                <w:sz w:val="20"/>
              </w:rPr>
            </w:pPr>
            <w:r>
              <w:rPr>
                <w:b/>
                <w:sz w:val="20"/>
              </w:rPr>
              <w:t>Mean Squared</w:t>
            </w:r>
          </w:p>
        </w:tc>
        <w:tc>
          <w:tcPr>
            <w:tcW w:w="1383" w:type="dxa"/>
            <w:tcBorders>
              <w:left w:val="nil"/>
              <w:bottom w:val="single" w:sz="8" w:space="0" w:color="000000"/>
              <w:right w:val="nil"/>
            </w:tcBorders>
          </w:tcPr>
          <w:p>
            <w:pPr>
              <w:pStyle w:val="TableParagraph"/>
              <w:spacing w:line="226" w:lineRule="exact"/>
              <w:ind w:left="302"/>
              <w:rPr>
                <w:b/>
                <w:sz w:val="20"/>
              </w:rPr>
            </w:pPr>
            <w:r>
              <w:rPr>
                <w:b/>
                <w:sz w:val="20"/>
              </w:rPr>
              <w:t>F-ratio</w:t>
            </w:r>
          </w:p>
        </w:tc>
        <w:tc>
          <w:tcPr>
            <w:tcW w:w="1705" w:type="dxa"/>
            <w:tcBorders>
              <w:left w:val="nil"/>
              <w:bottom w:val="single" w:sz="8" w:space="0" w:color="000000"/>
              <w:right w:val="nil"/>
            </w:tcBorders>
          </w:tcPr>
          <w:p>
            <w:pPr>
              <w:pStyle w:val="TableParagraph"/>
              <w:spacing w:line="226" w:lineRule="exact"/>
              <w:ind w:left="475"/>
              <w:rPr>
                <w:b/>
                <w:sz w:val="20"/>
              </w:rPr>
            </w:pPr>
            <w:r>
              <w:rPr>
                <w:b/>
                <w:sz w:val="20"/>
              </w:rPr>
              <w:t>P-Value</w:t>
            </w:r>
          </w:p>
        </w:tc>
      </w:tr>
      <w:tr>
        <w:trPr>
          <w:trHeight w:val="489" w:hRule="exact"/>
        </w:trPr>
        <w:tc>
          <w:tcPr>
            <w:tcW w:w="1855" w:type="dxa"/>
            <w:tcBorders>
              <w:top w:val="single" w:sz="8" w:space="0" w:color="000000"/>
              <w:left w:val="nil"/>
              <w:bottom w:val="nil"/>
              <w:right w:val="nil"/>
            </w:tcBorders>
          </w:tcPr>
          <w:p>
            <w:pPr>
              <w:pStyle w:val="TableParagraph"/>
              <w:spacing w:line="221" w:lineRule="exact"/>
              <w:ind w:left="110"/>
              <w:rPr>
                <w:sz w:val="20"/>
              </w:rPr>
            </w:pPr>
            <w:r>
              <w:rPr>
                <w:sz w:val="20"/>
              </w:rPr>
              <w:t>Covariados</w:t>
            </w:r>
          </w:p>
        </w:tc>
        <w:tc>
          <w:tcPr>
            <w:tcW w:w="1350" w:type="dxa"/>
            <w:tcBorders>
              <w:top w:val="single" w:sz="8" w:space="0" w:color="000000"/>
              <w:left w:val="nil"/>
              <w:bottom w:val="nil"/>
              <w:right w:val="nil"/>
            </w:tcBorders>
          </w:tcPr>
          <w:p>
            <w:pPr/>
          </w:p>
        </w:tc>
        <w:tc>
          <w:tcPr>
            <w:tcW w:w="1147" w:type="dxa"/>
            <w:tcBorders>
              <w:top w:val="single" w:sz="8" w:space="0" w:color="000000"/>
              <w:left w:val="nil"/>
              <w:bottom w:val="nil"/>
              <w:right w:val="nil"/>
            </w:tcBorders>
          </w:tcPr>
          <w:p>
            <w:pPr/>
          </w:p>
        </w:tc>
        <w:tc>
          <w:tcPr>
            <w:tcW w:w="1621" w:type="dxa"/>
            <w:tcBorders>
              <w:top w:val="single" w:sz="8" w:space="0" w:color="000000"/>
              <w:left w:val="nil"/>
              <w:bottom w:val="nil"/>
              <w:right w:val="nil"/>
            </w:tcBorders>
          </w:tcPr>
          <w:p>
            <w:pPr/>
          </w:p>
        </w:tc>
        <w:tc>
          <w:tcPr>
            <w:tcW w:w="1383" w:type="dxa"/>
            <w:tcBorders>
              <w:top w:val="single" w:sz="8" w:space="0" w:color="000000"/>
              <w:left w:val="nil"/>
              <w:bottom w:val="nil"/>
              <w:right w:val="nil"/>
            </w:tcBorders>
          </w:tcPr>
          <w:p>
            <w:pPr/>
          </w:p>
        </w:tc>
        <w:tc>
          <w:tcPr>
            <w:tcW w:w="1705" w:type="dxa"/>
            <w:tcBorders>
              <w:top w:val="single" w:sz="8" w:space="0" w:color="000000"/>
              <w:left w:val="nil"/>
              <w:bottom w:val="nil"/>
              <w:right w:val="nil"/>
            </w:tcBorders>
          </w:tcPr>
          <w:p>
            <w:pPr/>
          </w:p>
        </w:tc>
      </w:tr>
      <w:tr>
        <w:trPr>
          <w:trHeight w:val="691" w:hRule="exact"/>
        </w:trPr>
        <w:tc>
          <w:tcPr>
            <w:tcW w:w="1855" w:type="dxa"/>
            <w:tcBorders>
              <w:top w:val="nil"/>
              <w:left w:val="nil"/>
              <w:bottom w:val="nil"/>
              <w:right w:val="nil"/>
            </w:tcBorders>
          </w:tcPr>
          <w:p>
            <w:pPr>
              <w:pStyle w:val="TableParagraph"/>
              <w:spacing w:before="7"/>
              <w:rPr>
                <w:sz w:val="20"/>
              </w:rPr>
            </w:pPr>
          </w:p>
          <w:p>
            <w:pPr>
              <w:pStyle w:val="TableParagraph"/>
              <w:ind w:left="110"/>
              <w:rPr>
                <w:sz w:val="20"/>
              </w:rPr>
            </w:pPr>
            <w:r>
              <w:rPr>
                <w:sz w:val="20"/>
              </w:rPr>
              <w:t>PC1</w:t>
            </w:r>
          </w:p>
        </w:tc>
        <w:tc>
          <w:tcPr>
            <w:tcW w:w="1350" w:type="dxa"/>
            <w:tcBorders>
              <w:top w:val="nil"/>
              <w:left w:val="nil"/>
              <w:bottom w:val="nil"/>
              <w:right w:val="nil"/>
            </w:tcBorders>
          </w:tcPr>
          <w:p>
            <w:pPr>
              <w:pStyle w:val="TableParagraph"/>
              <w:spacing w:before="7"/>
              <w:rPr>
                <w:sz w:val="20"/>
              </w:rPr>
            </w:pPr>
          </w:p>
          <w:p>
            <w:pPr>
              <w:pStyle w:val="TableParagraph"/>
              <w:ind w:left="223"/>
              <w:rPr>
                <w:sz w:val="20"/>
              </w:rPr>
            </w:pPr>
            <w:r>
              <w:rPr>
                <w:sz w:val="20"/>
              </w:rPr>
              <w:t>0.110886</w:t>
            </w:r>
          </w:p>
        </w:tc>
        <w:tc>
          <w:tcPr>
            <w:tcW w:w="1147" w:type="dxa"/>
            <w:tcBorders>
              <w:top w:val="nil"/>
              <w:left w:val="nil"/>
              <w:bottom w:val="nil"/>
              <w:right w:val="nil"/>
            </w:tcBorders>
          </w:tcPr>
          <w:p>
            <w:pPr>
              <w:pStyle w:val="TableParagraph"/>
              <w:spacing w:before="7"/>
              <w:rPr>
                <w:sz w:val="20"/>
              </w:rPr>
            </w:pPr>
          </w:p>
          <w:p>
            <w:pPr>
              <w:pStyle w:val="TableParagraph"/>
              <w:ind w:left="372"/>
              <w:rPr>
                <w:sz w:val="20"/>
              </w:rPr>
            </w:pPr>
            <w:r>
              <w:rPr>
                <w:w w:val="100"/>
                <w:sz w:val="20"/>
              </w:rPr>
              <w:t>1</w:t>
            </w:r>
          </w:p>
        </w:tc>
        <w:tc>
          <w:tcPr>
            <w:tcW w:w="1621" w:type="dxa"/>
            <w:tcBorders>
              <w:top w:val="nil"/>
              <w:left w:val="nil"/>
              <w:bottom w:val="nil"/>
              <w:right w:val="nil"/>
            </w:tcBorders>
          </w:tcPr>
          <w:p>
            <w:pPr>
              <w:pStyle w:val="TableParagraph"/>
              <w:spacing w:before="7"/>
              <w:rPr>
                <w:sz w:val="20"/>
              </w:rPr>
            </w:pPr>
          </w:p>
          <w:p>
            <w:pPr>
              <w:pStyle w:val="TableParagraph"/>
              <w:ind w:left="565"/>
              <w:rPr>
                <w:sz w:val="20"/>
              </w:rPr>
            </w:pPr>
            <w:r>
              <w:rPr>
                <w:sz w:val="20"/>
              </w:rPr>
              <w:t>0.110886</w:t>
            </w:r>
          </w:p>
        </w:tc>
        <w:tc>
          <w:tcPr>
            <w:tcW w:w="1383" w:type="dxa"/>
            <w:tcBorders>
              <w:top w:val="nil"/>
              <w:left w:val="nil"/>
              <w:bottom w:val="nil"/>
              <w:right w:val="nil"/>
            </w:tcBorders>
          </w:tcPr>
          <w:p>
            <w:pPr>
              <w:pStyle w:val="TableParagraph"/>
              <w:spacing w:before="7"/>
              <w:rPr>
                <w:sz w:val="20"/>
              </w:rPr>
            </w:pPr>
          </w:p>
          <w:p>
            <w:pPr>
              <w:pStyle w:val="TableParagraph"/>
              <w:ind w:left="302"/>
              <w:rPr>
                <w:sz w:val="20"/>
              </w:rPr>
            </w:pPr>
            <w:r>
              <w:rPr>
                <w:sz w:val="20"/>
              </w:rPr>
              <w:t>0.29</w:t>
            </w:r>
          </w:p>
        </w:tc>
        <w:tc>
          <w:tcPr>
            <w:tcW w:w="1705" w:type="dxa"/>
            <w:tcBorders>
              <w:top w:val="nil"/>
              <w:left w:val="nil"/>
              <w:bottom w:val="nil"/>
              <w:right w:val="nil"/>
            </w:tcBorders>
          </w:tcPr>
          <w:p>
            <w:pPr>
              <w:pStyle w:val="TableParagraph"/>
              <w:spacing w:before="7"/>
              <w:rPr>
                <w:sz w:val="20"/>
              </w:rPr>
            </w:pPr>
          </w:p>
          <w:p>
            <w:pPr>
              <w:pStyle w:val="TableParagraph"/>
              <w:ind w:left="475"/>
              <w:rPr>
                <w:sz w:val="20"/>
              </w:rPr>
            </w:pPr>
            <w:r>
              <w:rPr>
                <w:sz w:val="20"/>
              </w:rPr>
              <w:t>0.5942</w:t>
            </w:r>
          </w:p>
        </w:tc>
      </w:tr>
      <w:tr>
        <w:trPr>
          <w:trHeight w:val="660" w:hRule="exact"/>
        </w:trPr>
        <w:tc>
          <w:tcPr>
            <w:tcW w:w="1855" w:type="dxa"/>
            <w:tcBorders>
              <w:top w:val="nil"/>
              <w:left w:val="nil"/>
              <w:bottom w:val="nil"/>
              <w:right w:val="nil"/>
            </w:tcBorders>
          </w:tcPr>
          <w:p>
            <w:pPr>
              <w:pStyle w:val="TableParagraph"/>
              <w:spacing w:before="8"/>
              <w:rPr>
                <w:sz w:val="17"/>
              </w:rPr>
            </w:pPr>
          </w:p>
          <w:p>
            <w:pPr>
              <w:pStyle w:val="TableParagraph"/>
              <w:ind w:left="110"/>
              <w:rPr>
                <w:sz w:val="20"/>
              </w:rPr>
            </w:pPr>
            <w:r>
              <w:rPr>
                <w:sz w:val="20"/>
              </w:rPr>
              <w:t>PC2</w:t>
            </w:r>
          </w:p>
        </w:tc>
        <w:tc>
          <w:tcPr>
            <w:tcW w:w="1350" w:type="dxa"/>
            <w:tcBorders>
              <w:top w:val="nil"/>
              <w:left w:val="nil"/>
              <w:bottom w:val="nil"/>
              <w:right w:val="nil"/>
            </w:tcBorders>
          </w:tcPr>
          <w:p>
            <w:pPr>
              <w:pStyle w:val="TableParagraph"/>
              <w:spacing w:before="8"/>
              <w:rPr>
                <w:sz w:val="17"/>
              </w:rPr>
            </w:pPr>
          </w:p>
          <w:p>
            <w:pPr>
              <w:pStyle w:val="TableParagraph"/>
              <w:ind w:left="223"/>
              <w:rPr>
                <w:sz w:val="20"/>
              </w:rPr>
            </w:pPr>
            <w:r>
              <w:rPr>
                <w:sz w:val="20"/>
              </w:rPr>
              <w:t>0.467003</w:t>
            </w:r>
          </w:p>
        </w:tc>
        <w:tc>
          <w:tcPr>
            <w:tcW w:w="1147" w:type="dxa"/>
            <w:tcBorders>
              <w:top w:val="nil"/>
              <w:left w:val="nil"/>
              <w:bottom w:val="nil"/>
              <w:right w:val="nil"/>
            </w:tcBorders>
          </w:tcPr>
          <w:p>
            <w:pPr>
              <w:pStyle w:val="TableParagraph"/>
              <w:spacing w:before="8"/>
              <w:rPr>
                <w:sz w:val="17"/>
              </w:rPr>
            </w:pPr>
          </w:p>
          <w:p>
            <w:pPr>
              <w:pStyle w:val="TableParagraph"/>
              <w:ind w:left="372"/>
              <w:rPr>
                <w:sz w:val="20"/>
              </w:rPr>
            </w:pPr>
            <w:r>
              <w:rPr>
                <w:w w:val="100"/>
                <w:sz w:val="20"/>
              </w:rPr>
              <w:t>1</w:t>
            </w:r>
          </w:p>
        </w:tc>
        <w:tc>
          <w:tcPr>
            <w:tcW w:w="1621" w:type="dxa"/>
            <w:tcBorders>
              <w:top w:val="nil"/>
              <w:left w:val="nil"/>
              <w:bottom w:val="nil"/>
              <w:right w:val="nil"/>
            </w:tcBorders>
          </w:tcPr>
          <w:p>
            <w:pPr>
              <w:pStyle w:val="TableParagraph"/>
              <w:spacing w:before="8"/>
              <w:rPr>
                <w:sz w:val="17"/>
              </w:rPr>
            </w:pPr>
          </w:p>
          <w:p>
            <w:pPr>
              <w:pStyle w:val="TableParagraph"/>
              <w:ind w:left="565"/>
              <w:rPr>
                <w:sz w:val="20"/>
              </w:rPr>
            </w:pPr>
            <w:r>
              <w:rPr>
                <w:sz w:val="20"/>
              </w:rPr>
              <w:t>0.467003</w:t>
            </w:r>
          </w:p>
        </w:tc>
        <w:tc>
          <w:tcPr>
            <w:tcW w:w="1383" w:type="dxa"/>
            <w:tcBorders>
              <w:top w:val="nil"/>
              <w:left w:val="nil"/>
              <w:bottom w:val="nil"/>
              <w:right w:val="nil"/>
            </w:tcBorders>
          </w:tcPr>
          <w:p>
            <w:pPr>
              <w:pStyle w:val="TableParagraph"/>
              <w:spacing w:before="8"/>
              <w:rPr>
                <w:sz w:val="17"/>
              </w:rPr>
            </w:pPr>
          </w:p>
          <w:p>
            <w:pPr>
              <w:pStyle w:val="TableParagraph"/>
              <w:ind w:left="302"/>
              <w:rPr>
                <w:sz w:val="20"/>
              </w:rPr>
            </w:pPr>
            <w:r>
              <w:rPr>
                <w:sz w:val="20"/>
              </w:rPr>
              <w:t>1.20</w:t>
            </w:r>
          </w:p>
        </w:tc>
        <w:tc>
          <w:tcPr>
            <w:tcW w:w="1705" w:type="dxa"/>
            <w:tcBorders>
              <w:top w:val="nil"/>
              <w:left w:val="nil"/>
              <w:bottom w:val="nil"/>
              <w:right w:val="nil"/>
            </w:tcBorders>
          </w:tcPr>
          <w:p>
            <w:pPr>
              <w:pStyle w:val="TableParagraph"/>
              <w:spacing w:before="8"/>
              <w:rPr>
                <w:sz w:val="17"/>
              </w:rPr>
            </w:pPr>
          </w:p>
          <w:p>
            <w:pPr>
              <w:pStyle w:val="TableParagraph"/>
              <w:ind w:left="475"/>
              <w:rPr>
                <w:sz w:val="20"/>
              </w:rPr>
            </w:pPr>
            <w:r>
              <w:rPr>
                <w:sz w:val="20"/>
              </w:rPr>
              <w:t>0.2756</w:t>
            </w:r>
          </w:p>
        </w:tc>
      </w:tr>
      <w:tr>
        <w:trPr>
          <w:trHeight w:val="663" w:hRule="exact"/>
        </w:trPr>
        <w:tc>
          <w:tcPr>
            <w:tcW w:w="1855" w:type="dxa"/>
            <w:tcBorders>
              <w:top w:val="nil"/>
              <w:left w:val="nil"/>
              <w:bottom w:val="nil"/>
              <w:right w:val="nil"/>
            </w:tcBorders>
          </w:tcPr>
          <w:p>
            <w:pPr>
              <w:pStyle w:val="TableParagraph"/>
              <w:spacing w:before="10"/>
              <w:rPr>
                <w:sz w:val="17"/>
              </w:rPr>
            </w:pPr>
          </w:p>
          <w:p>
            <w:pPr>
              <w:pStyle w:val="TableParagraph"/>
              <w:ind w:left="110"/>
              <w:rPr>
                <w:sz w:val="20"/>
              </w:rPr>
            </w:pPr>
            <w:r>
              <w:rPr>
                <w:sz w:val="20"/>
              </w:rPr>
              <w:t>PC3</w:t>
            </w:r>
          </w:p>
        </w:tc>
        <w:tc>
          <w:tcPr>
            <w:tcW w:w="1350" w:type="dxa"/>
            <w:tcBorders>
              <w:top w:val="nil"/>
              <w:left w:val="nil"/>
              <w:bottom w:val="nil"/>
              <w:right w:val="nil"/>
            </w:tcBorders>
          </w:tcPr>
          <w:p>
            <w:pPr>
              <w:pStyle w:val="TableParagraph"/>
              <w:spacing w:before="10"/>
              <w:rPr>
                <w:sz w:val="17"/>
              </w:rPr>
            </w:pPr>
          </w:p>
          <w:p>
            <w:pPr>
              <w:pStyle w:val="TableParagraph"/>
              <w:ind w:left="223"/>
              <w:rPr>
                <w:sz w:val="20"/>
              </w:rPr>
            </w:pPr>
            <w:r>
              <w:rPr>
                <w:sz w:val="20"/>
              </w:rPr>
              <w:t>0.147716</w:t>
            </w:r>
          </w:p>
        </w:tc>
        <w:tc>
          <w:tcPr>
            <w:tcW w:w="1147" w:type="dxa"/>
            <w:tcBorders>
              <w:top w:val="nil"/>
              <w:left w:val="nil"/>
              <w:bottom w:val="nil"/>
              <w:right w:val="nil"/>
            </w:tcBorders>
          </w:tcPr>
          <w:p>
            <w:pPr>
              <w:pStyle w:val="TableParagraph"/>
              <w:spacing w:before="10"/>
              <w:rPr>
                <w:sz w:val="17"/>
              </w:rPr>
            </w:pPr>
          </w:p>
          <w:p>
            <w:pPr>
              <w:pStyle w:val="TableParagraph"/>
              <w:ind w:left="372"/>
              <w:rPr>
                <w:sz w:val="20"/>
              </w:rPr>
            </w:pPr>
            <w:r>
              <w:rPr>
                <w:w w:val="100"/>
                <w:sz w:val="20"/>
              </w:rPr>
              <w:t>1</w:t>
            </w:r>
          </w:p>
        </w:tc>
        <w:tc>
          <w:tcPr>
            <w:tcW w:w="1621" w:type="dxa"/>
            <w:tcBorders>
              <w:top w:val="nil"/>
              <w:left w:val="nil"/>
              <w:bottom w:val="nil"/>
              <w:right w:val="nil"/>
            </w:tcBorders>
          </w:tcPr>
          <w:p>
            <w:pPr>
              <w:pStyle w:val="TableParagraph"/>
              <w:spacing w:before="10"/>
              <w:rPr>
                <w:sz w:val="17"/>
              </w:rPr>
            </w:pPr>
          </w:p>
          <w:p>
            <w:pPr>
              <w:pStyle w:val="TableParagraph"/>
              <w:ind w:left="565"/>
              <w:rPr>
                <w:sz w:val="20"/>
              </w:rPr>
            </w:pPr>
            <w:r>
              <w:rPr>
                <w:sz w:val="20"/>
              </w:rPr>
              <w:t>0.467003</w:t>
            </w:r>
          </w:p>
        </w:tc>
        <w:tc>
          <w:tcPr>
            <w:tcW w:w="1383" w:type="dxa"/>
            <w:tcBorders>
              <w:top w:val="nil"/>
              <w:left w:val="nil"/>
              <w:bottom w:val="nil"/>
              <w:right w:val="nil"/>
            </w:tcBorders>
          </w:tcPr>
          <w:p>
            <w:pPr>
              <w:pStyle w:val="TableParagraph"/>
              <w:spacing w:before="10"/>
              <w:rPr>
                <w:sz w:val="17"/>
              </w:rPr>
            </w:pPr>
          </w:p>
          <w:p>
            <w:pPr>
              <w:pStyle w:val="TableParagraph"/>
              <w:ind w:left="302"/>
              <w:rPr>
                <w:sz w:val="20"/>
              </w:rPr>
            </w:pPr>
            <w:r>
              <w:rPr>
                <w:sz w:val="20"/>
              </w:rPr>
              <w:t>0.38</w:t>
            </w:r>
          </w:p>
        </w:tc>
        <w:tc>
          <w:tcPr>
            <w:tcW w:w="1705" w:type="dxa"/>
            <w:tcBorders>
              <w:top w:val="nil"/>
              <w:left w:val="nil"/>
              <w:bottom w:val="nil"/>
              <w:right w:val="nil"/>
            </w:tcBorders>
          </w:tcPr>
          <w:p>
            <w:pPr>
              <w:pStyle w:val="TableParagraph"/>
              <w:spacing w:before="10"/>
              <w:rPr>
                <w:sz w:val="17"/>
              </w:rPr>
            </w:pPr>
          </w:p>
          <w:p>
            <w:pPr>
              <w:pStyle w:val="TableParagraph"/>
              <w:ind w:left="475"/>
              <w:rPr>
                <w:sz w:val="20"/>
              </w:rPr>
            </w:pPr>
            <w:r>
              <w:rPr>
                <w:sz w:val="20"/>
              </w:rPr>
              <w:t>0.5388</w:t>
            </w:r>
          </w:p>
        </w:tc>
      </w:tr>
      <w:tr>
        <w:trPr>
          <w:trHeight w:val="687" w:hRule="exact"/>
        </w:trPr>
        <w:tc>
          <w:tcPr>
            <w:tcW w:w="1855" w:type="dxa"/>
            <w:tcBorders>
              <w:top w:val="nil"/>
              <w:left w:val="nil"/>
              <w:bottom w:val="nil"/>
              <w:right w:val="nil"/>
            </w:tcBorders>
          </w:tcPr>
          <w:p>
            <w:pPr>
              <w:pStyle w:val="TableParagraph"/>
              <w:spacing w:before="10"/>
              <w:rPr>
                <w:sz w:val="17"/>
              </w:rPr>
            </w:pPr>
          </w:p>
          <w:p>
            <w:pPr>
              <w:pStyle w:val="TableParagraph"/>
              <w:ind w:left="110"/>
              <w:rPr>
                <w:sz w:val="20"/>
              </w:rPr>
            </w:pPr>
            <w:r>
              <w:rPr>
                <w:sz w:val="20"/>
              </w:rPr>
              <w:t>Efectos principales</w:t>
            </w:r>
          </w:p>
        </w:tc>
        <w:tc>
          <w:tcPr>
            <w:tcW w:w="1350" w:type="dxa"/>
            <w:tcBorders>
              <w:top w:val="nil"/>
              <w:left w:val="nil"/>
              <w:bottom w:val="nil"/>
              <w:right w:val="nil"/>
            </w:tcBorders>
          </w:tcPr>
          <w:p>
            <w:pPr/>
          </w:p>
        </w:tc>
        <w:tc>
          <w:tcPr>
            <w:tcW w:w="1147" w:type="dxa"/>
            <w:tcBorders>
              <w:top w:val="nil"/>
              <w:left w:val="nil"/>
              <w:bottom w:val="nil"/>
              <w:right w:val="nil"/>
            </w:tcBorders>
          </w:tcPr>
          <w:p>
            <w:pPr/>
          </w:p>
        </w:tc>
        <w:tc>
          <w:tcPr>
            <w:tcW w:w="1621" w:type="dxa"/>
            <w:tcBorders>
              <w:top w:val="nil"/>
              <w:left w:val="nil"/>
              <w:bottom w:val="nil"/>
              <w:right w:val="nil"/>
            </w:tcBorders>
          </w:tcPr>
          <w:p>
            <w:pPr/>
          </w:p>
        </w:tc>
        <w:tc>
          <w:tcPr>
            <w:tcW w:w="1383" w:type="dxa"/>
            <w:tcBorders>
              <w:top w:val="nil"/>
              <w:left w:val="nil"/>
              <w:bottom w:val="nil"/>
              <w:right w:val="nil"/>
            </w:tcBorders>
          </w:tcPr>
          <w:p>
            <w:pPr/>
          </w:p>
        </w:tc>
        <w:tc>
          <w:tcPr>
            <w:tcW w:w="1705" w:type="dxa"/>
            <w:tcBorders>
              <w:top w:val="nil"/>
              <w:left w:val="nil"/>
              <w:bottom w:val="nil"/>
              <w:right w:val="nil"/>
            </w:tcBorders>
          </w:tcPr>
          <w:p>
            <w:pPr/>
          </w:p>
        </w:tc>
      </w:tr>
      <w:tr>
        <w:trPr>
          <w:trHeight w:val="927" w:hRule="exact"/>
        </w:trPr>
        <w:tc>
          <w:tcPr>
            <w:tcW w:w="1855" w:type="dxa"/>
            <w:tcBorders>
              <w:top w:val="nil"/>
              <w:left w:val="nil"/>
              <w:bottom w:val="nil"/>
              <w:right w:val="nil"/>
            </w:tcBorders>
          </w:tcPr>
          <w:p>
            <w:pPr>
              <w:pStyle w:val="TableParagraph"/>
              <w:rPr>
                <w:sz w:val="20"/>
              </w:rPr>
            </w:pPr>
          </w:p>
          <w:p>
            <w:pPr>
              <w:pStyle w:val="TableParagraph"/>
              <w:ind w:left="110"/>
              <w:rPr>
                <w:sz w:val="20"/>
              </w:rPr>
            </w:pPr>
            <w:r>
              <w:rPr>
                <w:sz w:val="20"/>
              </w:rPr>
              <w:t>A: Sexo-Localidad</w:t>
            </w:r>
          </w:p>
        </w:tc>
        <w:tc>
          <w:tcPr>
            <w:tcW w:w="1350" w:type="dxa"/>
            <w:tcBorders>
              <w:top w:val="nil"/>
              <w:left w:val="nil"/>
              <w:bottom w:val="nil"/>
              <w:right w:val="nil"/>
            </w:tcBorders>
          </w:tcPr>
          <w:p>
            <w:pPr>
              <w:pStyle w:val="TableParagraph"/>
              <w:rPr>
                <w:sz w:val="20"/>
              </w:rPr>
            </w:pPr>
          </w:p>
          <w:p>
            <w:pPr>
              <w:pStyle w:val="TableParagraph"/>
              <w:ind w:left="223"/>
              <w:rPr>
                <w:sz w:val="20"/>
              </w:rPr>
            </w:pPr>
            <w:r>
              <w:rPr>
                <w:sz w:val="20"/>
              </w:rPr>
              <w:t>1.75971</w:t>
            </w:r>
          </w:p>
        </w:tc>
        <w:tc>
          <w:tcPr>
            <w:tcW w:w="1147" w:type="dxa"/>
            <w:tcBorders>
              <w:top w:val="nil"/>
              <w:left w:val="nil"/>
              <w:bottom w:val="nil"/>
              <w:right w:val="nil"/>
            </w:tcBorders>
          </w:tcPr>
          <w:p>
            <w:pPr>
              <w:pStyle w:val="TableParagraph"/>
              <w:rPr>
                <w:sz w:val="20"/>
              </w:rPr>
            </w:pPr>
          </w:p>
          <w:p>
            <w:pPr>
              <w:pStyle w:val="TableParagraph"/>
              <w:ind w:left="372"/>
              <w:rPr>
                <w:sz w:val="20"/>
              </w:rPr>
            </w:pPr>
            <w:r>
              <w:rPr>
                <w:w w:val="100"/>
                <w:sz w:val="20"/>
              </w:rPr>
              <w:t>3</w:t>
            </w:r>
          </w:p>
        </w:tc>
        <w:tc>
          <w:tcPr>
            <w:tcW w:w="1621" w:type="dxa"/>
            <w:tcBorders>
              <w:top w:val="nil"/>
              <w:left w:val="nil"/>
              <w:bottom w:val="nil"/>
              <w:right w:val="nil"/>
            </w:tcBorders>
          </w:tcPr>
          <w:p>
            <w:pPr>
              <w:pStyle w:val="TableParagraph"/>
              <w:rPr>
                <w:sz w:val="20"/>
              </w:rPr>
            </w:pPr>
          </w:p>
          <w:p>
            <w:pPr>
              <w:pStyle w:val="TableParagraph"/>
              <w:ind w:left="565" w:right="313"/>
              <w:rPr>
                <w:sz w:val="20"/>
              </w:rPr>
            </w:pPr>
            <w:r>
              <w:rPr>
                <w:sz w:val="20"/>
              </w:rPr>
              <w:t>0.58657</w:t>
            </w:r>
          </w:p>
        </w:tc>
        <w:tc>
          <w:tcPr>
            <w:tcW w:w="1383" w:type="dxa"/>
            <w:tcBorders>
              <w:top w:val="nil"/>
              <w:left w:val="nil"/>
              <w:bottom w:val="nil"/>
              <w:right w:val="nil"/>
            </w:tcBorders>
          </w:tcPr>
          <w:p>
            <w:pPr>
              <w:pStyle w:val="TableParagraph"/>
              <w:rPr>
                <w:sz w:val="20"/>
              </w:rPr>
            </w:pPr>
          </w:p>
          <w:p>
            <w:pPr>
              <w:pStyle w:val="TableParagraph"/>
              <w:ind w:left="302"/>
              <w:rPr>
                <w:sz w:val="20"/>
              </w:rPr>
            </w:pPr>
            <w:r>
              <w:rPr>
                <w:sz w:val="20"/>
              </w:rPr>
              <w:t>1.51</w:t>
            </w:r>
          </w:p>
        </w:tc>
        <w:tc>
          <w:tcPr>
            <w:tcW w:w="1705" w:type="dxa"/>
            <w:tcBorders>
              <w:top w:val="nil"/>
              <w:left w:val="nil"/>
              <w:bottom w:val="nil"/>
              <w:right w:val="nil"/>
            </w:tcBorders>
          </w:tcPr>
          <w:p>
            <w:pPr>
              <w:pStyle w:val="TableParagraph"/>
              <w:rPr>
                <w:sz w:val="20"/>
              </w:rPr>
            </w:pPr>
          </w:p>
          <w:p>
            <w:pPr>
              <w:pStyle w:val="TableParagraph"/>
              <w:ind w:left="475"/>
              <w:rPr>
                <w:sz w:val="20"/>
              </w:rPr>
            </w:pPr>
            <w:r>
              <w:rPr>
                <w:sz w:val="20"/>
              </w:rPr>
              <w:t>0.2173</w:t>
            </w:r>
          </w:p>
        </w:tc>
      </w:tr>
      <w:tr>
        <w:trPr>
          <w:trHeight w:val="931" w:hRule="exact"/>
        </w:trPr>
        <w:tc>
          <w:tcPr>
            <w:tcW w:w="1855" w:type="dxa"/>
            <w:tcBorders>
              <w:top w:val="nil"/>
              <w:left w:val="nil"/>
              <w:bottom w:val="nil"/>
              <w:right w:val="nil"/>
            </w:tcBorders>
          </w:tcPr>
          <w:p>
            <w:pPr>
              <w:pStyle w:val="TableParagraph"/>
              <w:rPr>
                <w:sz w:val="20"/>
              </w:rPr>
            </w:pPr>
          </w:p>
          <w:p>
            <w:pPr>
              <w:pStyle w:val="TableParagraph"/>
              <w:spacing w:before="8"/>
              <w:rPr>
                <w:sz w:val="18"/>
              </w:rPr>
            </w:pPr>
          </w:p>
          <w:p>
            <w:pPr>
              <w:pStyle w:val="TableParagraph"/>
              <w:spacing w:before="1"/>
              <w:ind w:left="110"/>
              <w:rPr>
                <w:sz w:val="20"/>
              </w:rPr>
            </w:pPr>
            <w:r>
              <w:rPr>
                <w:sz w:val="20"/>
              </w:rPr>
              <w:t>Residuos</w:t>
            </w:r>
          </w:p>
        </w:tc>
        <w:tc>
          <w:tcPr>
            <w:tcW w:w="1350" w:type="dxa"/>
            <w:tcBorders>
              <w:top w:val="nil"/>
              <w:left w:val="nil"/>
              <w:bottom w:val="nil"/>
              <w:right w:val="nil"/>
            </w:tcBorders>
          </w:tcPr>
          <w:p>
            <w:pPr>
              <w:pStyle w:val="TableParagraph"/>
              <w:rPr>
                <w:sz w:val="20"/>
              </w:rPr>
            </w:pPr>
          </w:p>
          <w:p>
            <w:pPr>
              <w:pStyle w:val="TableParagraph"/>
              <w:spacing w:before="8"/>
              <w:rPr>
                <w:sz w:val="18"/>
              </w:rPr>
            </w:pPr>
          </w:p>
          <w:p>
            <w:pPr>
              <w:pStyle w:val="TableParagraph"/>
              <w:spacing w:before="1"/>
              <w:ind w:left="223"/>
              <w:rPr>
                <w:sz w:val="20"/>
              </w:rPr>
            </w:pPr>
            <w:r>
              <w:rPr>
                <w:sz w:val="20"/>
              </w:rPr>
              <w:t>31.7897</w:t>
            </w:r>
          </w:p>
        </w:tc>
        <w:tc>
          <w:tcPr>
            <w:tcW w:w="1147" w:type="dxa"/>
            <w:tcBorders>
              <w:top w:val="nil"/>
              <w:left w:val="nil"/>
              <w:bottom w:val="nil"/>
              <w:right w:val="nil"/>
            </w:tcBorders>
          </w:tcPr>
          <w:p>
            <w:pPr>
              <w:pStyle w:val="TableParagraph"/>
              <w:rPr>
                <w:sz w:val="20"/>
              </w:rPr>
            </w:pPr>
          </w:p>
          <w:p>
            <w:pPr>
              <w:pStyle w:val="TableParagraph"/>
              <w:spacing w:before="8"/>
              <w:rPr>
                <w:sz w:val="18"/>
              </w:rPr>
            </w:pPr>
          </w:p>
          <w:p>
            <w:pPr>
              <w:pStyle w:val="TableParagraph"/>
              <w:spacing w:before="1"/>
              <w:ind w:left="372"/>
              <w:rPr>
                <w:sz w:val="20"/>
              </w:rPr>
            </w:pPr>
            <w:r>
              <w:rPr>
                <w:sz w:val="20"/>
              </w:rPr>
              <w:t>82</w:t>
            </w:r>
          </w:p>
        </w:tc>
        <w:tc>
          <w:tcPr>
            <w:tcW w:w="1621" w:type="dxa"/>
            <w:tcBorders>
              <w:top w:val="nil"/>
              <w:left w:val="nil"/>
              <w:bottom w:val="nil"/>
              <w:right w:val="nil"/>
            </w:tcBorders>
          </w:tcPr>
          <w:p>
            <w:pPr>
              <w:pStyle w:val="TableParagraph"/>
              <w:rPr>
                <w:sz w:val="20"/>
              </w:rPr>
            </w:pPr>
          </w:p>
          <w:p>
            <w:pPr>
              <w:pStyle w:val="TableParagraph"/>
              <w:spacing w:before="8"/>
              <w:rPr>
                <w:sz w:val="18"/>
              </w:rPr>
            </w:pPr>
          </w:p>
          <w:p>
            <w:pPr>
              <w:pStyle w:val="TableParagraph"/>
              <w:spacing w:before="1"/>
              <w:ind w:left="565" w:right="313"/>
              <w:rPr>
                <w:sz w:val="20"/>
              </w:rPr>
            </w:pPr>
            <w:r>
              <w:rPr>
                <w:sz w:val="20"/>
              </w:rPr>
              <w:t>0.38768</w:t>
            </w:r>
          </w:p>
        </w:tc>
        <w:tc>
          <w:tcPr>
            <w:tcW w:w="1383" w:type="dxa"/>
            <w:tcBorders>
              <w:top w:val="nil"/>
              <w:left w:val="nil"/>
              <w:bottom w:val="nil"/>
              <w:right w:val="nil"/>
            </w:tcBorders>
          </w:tcPr>
          <w:p>
            <w:pPr/>
          </w:p>
        </w:tc>
        <w:tc>
          <w:tcPr>
            <w:tcW w:w="1705" w:type="dxa"/>
            <w:tcBorders>
              <w:top w:val="nil"/>
              <w:left w:val="nil"/>
              <w:bottom w:val="nil"/>
              <w:right w:val="nil"/>
            </w:tcBorders>
          </w:tcPr>
          <w:p>
            <w:pPr/>
          </w:p>
        </w:tc>
      </w:tr>
      <w:tr>
        <w:trPr>
          <w:trHeight w:val="461" w:hRule="exact"/>
        </w:trPr>
        <w:tc>
          <w:tcPr>
            <w:tcW w:w="1855" w:type="dxa"/>
            <w:tcBorders>
              <w:top w:val="nil"/>
              <w:left w:val="nil"/>
              <w:bottom w:val="nil"/>
              <w:right w:val="nil"/>
            </w:tcBorders>
          </w:tcPr>
          <w:p>
            <w:pPr>
              <w:pStyle w:val="TableParagraph"/>
              <w:spacing w:before="4"/>
              <w:rPr>
                <w:sz w:val="20"/>
              </w:rPr>
            </w:pPr>
          </w:p>
          <w:p>
            <w:pPr>
              <w:pStyle w:val="TableParagraph"/>
              <w:spacing w:before="1"/>
              <w:ind w:left="110"/>
              <w:rPr>
                <w:sz w:val="20"/>
              </w:rPr>
            </w:pPr>
            <w:r>
              <w:rPr>
                <w:sz w:val="20"/>
              </w:rPr>
              <w:t>Total (Corrected)</w:t>
            </w:r>
          </w:p>
        </w:tc>
        <w:tc>
          <w:tcPr>
            <w:tcW w:w="1350" w:type="dxa"/>
            <w:tcBorders>
              <w:top w:val="nil"/>
              <w:left w:val="nil"/>
              <w:bottom w:val="nil"/>
              <w:right w:val="nil"/>
            </w:tcBorders>
          </w:tcPr>
          <w:p>
            <w:pPr>
              <w:pStyle w:val="TableParagraph"/>
              <w:spacing w:before="4"/>
              <w:rPr>
                <w:sz w:val="20"/>
              </w:rPr>
            </w:pPr>
          </w:p>
          <w:p>
            <w:pPr>
              <w:pStyle w:val="TableParagraph"/>
              <w:spacing w:before="1"/>
              <w:ind w:left="223"/>
              <w:rPr>
                <w:sz w:val="20"/>
              </w:rPr>
            </w:pPr>
            <w:r>
              <w:rPr>
                <w:sz w:val="20"/>
              </w:rPr>
              <w:t>34.6911</w:t>
            </w:r>
          </w:p>
        </w:tc>
        <w:tc>
          <w:tcPr>
            <w:tcW w:w="1147" w:type="dxa"/>
            <w:tcBorders>
              <w:top w:val="nil"/>
              <w:left w:val="nil"/>
              <w:bottom w:val="nil"/>
              <w:right w:val="nil"/>
            </w:tcBorders>
          </w:tcPr>
          <w:p>
            <w:pPr>
              <w:pStyle w:val="TableParagraph"/>
              <w:spacing w:before="4"/>
              <w:rPr>
                <w:sz w:val="20"/>
              </w:rPr>
            </w:pPr>
          </w:p>
          <w:p>
            <w:pPr>
              <w:pStyle w:val="TableParagraph"/>
              <w:spacing w:before="1"/>
              <w:ind w:left="372"/>
              <w:rPr>
                <w:sz w:val="20"/>
              </w:rPr>
            </w:pPr>
            <w:r>
              <w:rPr>
                <w:sz w:val="20"/>
              </w:rPr>
              <w:t>88</w:t>
            </w:r>
          </w:p>
        </w:tc>
        <w:tc>
          <w:tcPr>
            <w:tcW w:w="1621" w:type="dxa"/>
            <w:tcBorders>
              <w:top w:val="nil"/>
              <w:left w:val="nil"/>
              <w:bottom w:val="nil"/>
              <w:right w:val="nil"/>
            </w:tcBorders>
          </w:tcPr>
          <w:p>
            <w:pPr/>
          </w:p>
        </w:tc>
        <w:tc>
          <w:tcPr>
            <w:tcW w:w="1383" w:type="dxa"/>
            <w:tcBorders>
              <w:top w:val="nil"/>
              <w:left w:val="nil"/>
              <w:bottom w:val="nil"/>
              <w:right w:val="nil"/>
            </w:tcBorders>
          </w:tcPr>
          <w:p>
            <w:pPr/>
          </w:p>
        </w:tc>
        <w:tc>
          <w:tcPr>
            <w:tcW w:w="1705" w:type="dxa"/>
            <w:tcBorders>
              <w:top w:val="nil"/>
              <w:left w:val="nil"/>
              <w:bottom w:val="nil"/>
              <w:right w:val="nil"/>
            </w:tcBorders>
          </w:tcPr>
          <w:p>
            <w:pPr/>
          </w:p>
        </w:tc>
      </w:tr>
    </w:tbl>
    <w:p>
      <w:pPr>
        <w:pStyle w:val="BodyText"/>
        <w:rPr>
          <w:sz w:val="20"/>
        </w:rPr>
      </w:pPr>
    </w:p>
    <w:p>
      <w:pPr>
        <w:pStyle w:val="BodyText"/>
        <w:rPr>
          <w:sz w:val="20"/>
        </w:rPr>
      </w:pPr>
    </w:p>
    <w:p>
      <w:pPr>
        <w:pStyle w:val="BodyText"/>
        <w:spacing w:before="5"/>
        <w:rPr>
          <w:sz w:val="22"/>
        </w:rPr>
      </w:pPr>
      <w:r>
        <w:rPr/>
        <w:pict>
          <v:group style="position:absolute;margin-left:87.134003pt;margin-top:14.863074pt;width:454.3pt;height:.5pt;mso-position-horizontal-relative:page;mso-position-vertical-relative:paragraph;z-index:1360;mso-wrap-distance-left:0;mso-wrap-distance-right:0" coordorigin="1743,297" coordsize="9086,10">
            <v:line style="position:absolute" from="1748,302" to="3736,302" stroked="true" strokeweight=".47998pt" strokecolor="#000000"/>
            <v:line style="position:absolute" from="3721,302" to="3731,302" stroked="true" strokeweight=".47998pt" strokecolor="#000000"/>
            <v:line style="position:absolute" from="3731,302" to="5234,302" stroked="true" strokeweight=".47998pt" strokecolor="#000000"/>
            <v:line style="position:absolute" from="5220,302" to="5229,302" stroked="true" strokeweight=".47998pt" strokecolor="#000000"/>
            <v:line style="position:absolute" from="5229,302" to="6574,302" stroked="true" strokeweight=".47998pt" strokecolor="#000000"/>
            <v:line style="position:absolute" from="6560,302" to="6569,302" stroked="true" strokeweight=".47998pt" strokecolor="#000000"/>
            <v:line style="position:absolute" from="6569,302" to="7933,302" stroked="true" strokeweight=".47998pt" strokecolor="#000000"/>
            <v:line style="position:absolute" from="7919,302" to="7928,302" stroked="true" strokeweight=".47998pt" strokecolor="#000000"/>
            <v:line style="position:absolute" from="7928,302" to="9489,302" stroked="true" strokeweight=".47998pt" strokecolor="#000000"/>
            <v:line style="position:absolute" from="9474,302" to="9484,302" stroked="true" strokeweight=".47998pt" strokecolor="#000000"/>
            <v:line style="position:absolute" from="9484,302" to="10823,302" stroked="true" strokeweight=".47998pt" strokecolor="#000000"/>
            <w10:wrap type="topAndBottom"/>
          </v:group>
        </w:pict>
      </w:r>
    </w:p>
    <w:p>
      <w:pPr>
        <w:spacing w:after="0"/>
        <w:rPr>
          <w:sz w:val="22"/>
        </w:rPr>
        <w:sectPr>
          <w:pgSz w:w="12240" w:h="15840"/>
          <w:pgMar w:header="0" w:footer="1304" w:top="1500" w:bottom="1560" w:left="1640" w:right="1300"/>
        </w:sectPr>
      </w:pPr>
    </w:p>
    <w:p>
      <w:pPr>
        <w:pStyle w:val="BodyText"/>
        <w:spacing w:before="7"/>
        <w:rPr>
          <w:sz w:val="20"/>
        </w:rPr>
      </w:pPr>
    </w:p>
    <w:p>
      <w:pPr>
        <w:pStyle w:val="BodyText"/>
        <w:spacing w:before="69"/>
        <w:ind w:left="232" w:right="223"/>
        <w:jc w:val="both"/>
      </w:pPr>
      <w:r>
        <w:rPr/>
        <w:t>Anexo 7. ANCOVA: efecto del sexo (hembras-machos) y la localidad (Embalse San Juanico-Laguna de Chicnahuapan) en la intensidad parasitaria de </w:t>
      </w:r>
      <w:r>
        <w:rPr>
          <w:i/>
        </w:rPr>
        <w:t>V. campylancristrota </w:t>
      </w:r>
      <w:r>
        <w:rPr/>
        <w:t>(datos transformados a logaritmo para su normalidad) (covariables = componentes principales SS= suma de cuadrados ; df = grados de libertad); *nivel de significancia </w:t>
      </w:r>
      <w:r>
        <w:rPr>
          <w:i/>
        </w:rPr>
        <w:t>( p </w:t>
      </w:r>
      <w:r>
        <w:rPr/>
        <w:t>&lt; 0.05).</w:t>
      </w:r>
    </w:p>
    <w:p>
      <w:pPr>
        <w:pStyle w:val="BodyText"/>
        <w:spacing w:before="8"/>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5"/>
        <w:gridCol w:w="1350"/>
        <w:gridCol w:w="1194"/>
        <w:gridCol w:w="1575"/>
        <w:gridCol w:w="1383"/>
        <w:gridCol w:w="1705"/>
      </w:tblGrid>
      <w:tr>
        <w:trPr>
          <w:trHeight w:val="710" w:hRule="exact"/>
        </w:trPr>
        <w:tc>
          <w:tcPr>
            <w:tcW w:w="1855" w:type="dxa"/>
            <w:tcBorders>
              <w:left w:val="nil"/>
              <w:bottom w:val="single" w:sz="8" w:space="0" w:color="000000"/>
              <w:right w:val="nil"/>
            </w:tcBorders>
          </w:tcPr>
          <w:p>
            <w:pPr>
              <w:pStyle w:val="TableParagraph"/>
              <w:spacing w:line="221" w:lineRule="exact"/>
              <w:ind w:left="706"/>
              <w:rPr>
                <w:sz w:val="20"/>
              </w:rPr>
            </w:pPr>
            <w:r>
              <w:rPr>
                <w:sz w:val="20"/>
              </w:rPr>
              <w:t>Source</w:t>
            </w:r>
          </w:p>
        </w:tc>
        <w:tc>
          <w:tcPr>
            <w:tcW w:w="1350" w:type="dxa"/>
            <w:tcBorders>
              <w:left w:val="nil"/>
              <w:bottom w:val="single" w:sz="8" w:space="0" w:color="000000"/>
              <w:right w:val="nil"/>
            </w:tcBorders>
          </w:tcPr>
          <w:p>
            <w:pPr>
              <w:pStyle w:val="TableParagraph"/>
              <w:spacing w:line="226" w:lineRule="exact"/>
              <w:ind w:left="223"/>
              <w:rPr>
                <w:b/>
                <w:sz w:val="20"/>
              </w:rPr>
            </w:pPr>
            <w:r>
              <w:rPr>
                <w:b/>
                <w:sz w:val="20"/>
              </w:rPr>
              <w:t>SS</w:t>
            </w:r>
          </w:p>
        </w:tc>
        <w:tc>
          <w:tcPr>
            <w:tcW w:w="1194" w:type="dxa"/>
            <w:tcBorders>
              <w:left w:val="nil"/>
              <w:bottom w:val="single" w:sz="8" w:space="0" w:color="000000"/>
              <w:right w:val="nil"/>
            </w:tcBorders>
          </w:tcPr>
          <w:p>
            <w:pPr>
              <w:pStyle w:val="TableParagraph"/>
              <w:spacing w:line="226" w:lineRule="exact"/>
              <w:ind w:left="372"/>
              <w:rPr>
                <w:b/>
                <w:sz w:val="20"/>
              </w:rPr>
            </w:pPr>
            <w:r>
              <w:rPr>
                <w:b/>
                <w:sz w:val="20"/>
              </w:rPr>
              <w:t>Df</w:t>
            </w:r>
          </w:p>
        </w:tc>
        <w:tc>
          <w:tcPr>
            <w:tcW w:w="1575" w:type="dxa"/>
            <w:tcBorders>
              <w:left w:val="nil"/>
              <w:bottom w:val="single" w:sz="8" w:space="0" w:color="000000"/>
              <w:right w:val="nil"/>
            </w:tcBorders>
          </w:tcPr>
          <w:p>
            <w:pPr>
              <w:pStyle w:val="TableParagraph"/>
              <w:ind w:left="518" w:right="314"/>
              <w:rPr>
                <w:b/>
                <w:sz w:val="20"/>
              </w:rPr>
            </w:pPr>
            <w:r>
              <w:rPr>
                <w:b/>
                <w:sz w:val="20"/>
              </w:rPr>
              <w:t>Mean Squared</w:t>
            </w:r>
          </w:p>
        </w:tc>
        <w:tc>
          <w:tcPr>
            <w:tcW w:w="1383" w:type="dxa"/>
            <w:tcBorders>
              <w:left w:val="nil"/>
              <w:bottom w:val="single" w:sz="8" w:space="0" w:color="000000"/>
              <w:right w:val="nil"/>
            </w:tcBorders>
          </w:tcPr>
          <w:p>
            <w:pPr>
              <w:pStyle w:val="TableParagraph"/>
              <w:spacing w:line="226" w:lineRule="exact"/>
              <w:ind w:left="302"/>
              <w:rPr>
                <w:b/>
                <w:sz w:val="20"/>
              </w:rPr>
            </w:pPr>
            <w:r>
              <w:rPr>
                <w:b/>
                <w:sz w:val="20"/>
              </w:rPr>
              <w:t>F-ratio</w:t>
            </w:r>
          </w:p>
        </w:tc>
        <w:tc>
          <w:tcPr>
            <w:tcW w:w="1705" w:type="dxa"/>
            <w:tcBorders>
              <w:left w:val="nil"/>
              <w:bottom w:val="single" w:sz="8" w:space="0" w:color="000000"/>
              <w:right w:val="nil"/>
            </w:tcBorders>
          </w:tcPr>
          <w:p>
            <w:pPr>
              <w:pStyle w:val="TableParagraph"/>
              <w:spacing w:line="226" w:lineRule="exact"/>
              <w:ind w:left="475"/>
              <w:rPr>
                <w:b/>
                <w:sz w:val="20"/>
              </w:rPr>
            </w:pPr>
            <w:r>
              <w:rPr>
                <w:b/>
                <w:sz w:val="20"/>
              </w:rPr>
              <w:t>P-Value</w:t>
            </w:r>
          </w:p>
        </w:tc>
      </w:tr>
      <w:tr>
        <w:trPr>
          <w:trHeight w:val="489" w:hRule="exact"/>
        </w:trPr>
        <w:tc>
          <w:tcPr>
            <w:tcW w:w="1855" w:type="dxa"/>
            <w:tcBorders>
              <w:top w:val="single" w:sz="8" w:space="0" w:color="000000"/>
              <w:left w:val="nil"/>
              <w:bottom w:val="nil"/>
              <w:right w:val="nil"/>
            </w:tcBorders>
          </w:tcPr>
          <w:p>
            <w:pPr>
              <w:pStyle w:val="TableParagraph"/>
              <w:spacing w:line="221" w:lineRule="exact"/>
              <w:ind w:left="110"/>
              <w:rPr>
                <w:sz w:val="20"/>
              </w:rPr>
            </w:pPr>
            <w:r>
              <w:rPr>
                <w:sz w:val="20"/>
              </w:rPr>
              <w:t>Covariados</w:t>
            </w:r>
          </w:p>
        </w:tc>
        <w:tc>
          <w:tcPr>
            <w:tcW w:w="1350" w:type="dxa"/>
            <w:tcBorders>
              <w:top w:val="single" w:sz="8" w:space="0" w:color="000000"/>
              <w:left w:val="nil"/>
              <w:bottom w:val="nil"/>
              <w:right w:val="nil"/>
            </w:tcBorders>
          </w:tcPr>
          <w:p>
            <w:pPr/>
          </w:p>
        </w:tc>
        <w:tc>
          <w:tcPr>
            <w:tcW w:w="1194" w:type="dxa"/>
            <w:tcBorders>
              <w:top w:val="single" w:sz="8" w:space="0" w:color="000000"/>
              <w:left w:val="nil"/>
              <w:bottom w:val="nil"/>
              <w:right w:val="nil"/>
            </w:tcBorders>
          </w:tcPr>
          <w:p>
            <w:pPr/>
          </w:p>
        </w:tc>
        <w:tc>
          <w:tcPr>
            <w:tcW w:w="1575" w:type="dxa"/>
            <w:tcBorders>
              <w:top w:val="single" w:sz="8" w:space="0" w:color="000000"/>
              <w:left w:val="nil"/>
              <w:bottom w:val="nil"/>
              <w:right w:val="nil"/>
            </w:tcBorders>
          </w:tcPr>
          <w:p>
            <w:pPr/>
          </w:p>
        </w:tc>
        <w:tc>
          <w:tcPr>
            <w:tcW w:w="1383" w:type="dxa"/>
            <w:tcBorders>
              <w:top w:val="single" w:sz="8" w:space="0" w:color="000000"/>
              <w:left w:val="nil"/>
              <w:bottom w:val="nil"/>
              <w:right w:val="nil"/>
            </w:tcBorders>
          </w:tcPr>
          <w:p>
            <w:pPr/>
          </w:p>
        </w:tc>
        <w:tc>
          <w:tcPr>
            <w:tcW w:w="1705" w:type="dxa"/>
            <w:tcBorders>
              <w:top w:val="single" w:sz="8" w:space="0" w:color="000000"/>
              <w:left w:val="nil"/>
              <w:bottom w:val="nil"/>
              <w:right w:val="nil"/>
            </w:tcBorders>
          </w:tcPr>
          <w:p>
            <w:pPr/>
          </w:p>
        </w:tc>
      </w:tr>
      <w:tr>
        <w:trPr>
          <w:trHeight w:val="691" w:hRule="exact"/>
        </w:trPr>
        <w:tc>
          <w:tcPr>
            <w:tcW w:w="1855" w:type="dxa"/>
            <w:tcBorders>
              <w:top w:val="nil"/>
              <w:left w:val="nil"/>
              <w:bottom w:val="nil"/>
              <w:right w:val="nil"/>
            </w:tcBorders>
          </w:tcPr>
          <w:p>
            <w:pPr>
              <w:pStyle w:val="TableParagraph"/>
              <w:spacing w:before="7"/>
              <w:rPr>
                <w:sz w:val="20"/>
              </w:rPr>
            </w:pPr>
          </w:p>
          <w:p>
            <w:pPr>
              <w:pStyle w:val="TableParagraph"/>
              <w:ind w:left="110"/>
              <w:rPr>
                <w:sz w:val="20"/>
              </w:rPr>
            </w:pPr>
            <w:r>
              <w:rPr>
                <w:sz w:val="20"/>
              </w:rPr>
              <w:t>PC1</w:t>
            </w:r>
          </w:p>
        </w:tc>
        <w:tc>
          <w:tcPr>
            <w:tcW w:w="1350" w:type="dxa"/>
            <w:tcBorders>
              <w:top w:val="nil"/>
              <w:left w:val="nil"/>
              <w:bottom w:val="nil"/>
              <w:right w:val="nil"/>
            </w:tcBorders>
          </w:tcPr>
          <w:p>
            <w:pPr>
              <w:pStyle w:val="TableParagraph"/>
              <w:spacing w:before="7"/>
              <w:rPr>
                <w:sz w:val="20"/>
              </w:rPr>
            </w:pPr>
          </w:p>
          <w:p>
            <w:pPr>
              <w:pStyle w:val="TableParagraph"/>
              <w:ind w:left="223"/>
              <w:rPr>
                <w:sz w:val="20"/>
              </w:rPr>
            </w:pPr>
            <w:r>
              <w:rPr>
                <w:sz w:val="20"/>
              </w:rPr>
              <w:t>0.627233</w:t>
            </w:r>
          </w:p>
        </w:tc>
        <w:tc>
          <w:tcPr>
            <w:tcW w:w="1194" w:type="dxa"/>
            <w:tcBorders>
              <w:top w:val="nil"/>
              <w:left w:val="nil"/>
              <w:bottom w:val="nil"/>
              <w:right w:val="nil"/>
            </w:tcBorders>
          </w:tcPr>
          <w:p>
            <w:pPr>
              <w:pStyle w:val="TableParagraph"/>
              <w:spacing w:before="7"/>
              <w:rPr>
                <w:sz w:val="20"/>
              </w:rPr>
            </w:pPr>
          </w:p>
          <w:p>
            <w:pPr>
              <w:pStyle w:val="TableParagraph"/>
              <w:ind w:left="372"/>
              <w:rPr>
                <w:sz w:val="20"/>
              </w:rPr>
            </w:pPr>
            <w:r>
              <w:rPr>
                <w:w w:val="100"/>
                <w:sz w:val="20"/>
              </w:rPr>
              <w:t>1</w:t>
            </w:r>
          </w:p>
        </w:tc>
        <w:tc>
          <w:tcPr>
            <w:tcW w:w="1575" w:type="dxa"/>
            <w:tcBorders>
              <w:top w:val="nil"/>
              <w:left w:val="nil"/>
              <w:bottom w:val="nil"/>
              <w:right w:val="nil"/>
            </w:tcBorders>
          </w:tcPr>
          <w:p>
            <w:pPr>
              <w:pStyle w:val="TableParagraph"/>
              <w:spacing w:before="7"/>
              <w:rPr>
                <w:sz w:val="20"/>
              </w:rPr>
            </w:pPr>
          </w:p>
          <w:p>
            <w:pPr>
              <w:pStyle w:val="TableParagraph"/>
              <w:ind w:left="518"/>
              <w:rPr>
                <w:sz w:val="20"/>
              </w:rPr>
            </w:pPr>
            <w:r>
              <w:rPr>
                <w:sz w:val="20"/>
              </w:rPr>
              <w:t>0.627233</w:t>
            </w:r>
          </w:p>
        </w:tc>
        <w:tc>
          <w:tcPr>
            <w:tcW w:w="1383" w:type="dxa"/>
            <w:tcBorders>
              <w:top w:val="nil"/>
              <w:left w:val="nil"/>
              <w:bottom w:val="nil"/>
              <w:right w:val="nil"/>
            </w:tcBorders>
          </w:tcPr>
          <w:p>
            <w:pPr>
              <w:pStyle w:val="TableParagraph"/>
              <w:spacing w:before="7"/>
              <w:rPr>
                <w:sz w:val="20"/>
              </w:rPr>
            </w:pPr>
          </w:p>
          <w:p>
            <w:pPr>
              <w:pStyle w:val="TableParagraph"/>
              <w:ind w:left="302"/>
              <w:rPr>
                <w:sz w:val="20"/>
              </w:rPr>
            </w:pPr>
            <w:r>
              <w:rPr>
                <w:sz w:val="20"/>
              </w:rPr>
              <w:t>1.61</w:t>
            </w:r>
          </w:p>
        </w:tc>
        <w:tc>
          <w:tcPr>
            <w:tcW w:w="1705" w:type="dxa"/>
            <w:tcBorders>
              <w:top w:val="nil"/>
              <w:left w:val="nil"/>
              <w:bottom w:val="nil"/>
              <w:right w:val="nil"/>
            </w:tcBorders>
          </w:tcPr>
          <w:p>
            <w:pPr>
              <w:pStyle w:val="TableParagraph"/>
              <w:spacing w:before="7"/>
              <w:rPr>
                <w:sz w:val="20"/>
              </w:rPr>
            </w:pPr>
          </w:p>
          <w:p>
            <w:pPr>
              <w:pStyle w:val="TableParagraph"/>
              <w:ind w:left="475"/>
              <w:rPr>
                <w:sz w:val="20"/>
              </w:rPr>
            </w:pPr>
            <w:r>
              <w:rPr>
                <w:sz w:val="20"/>
              </w:rPr>
              <w:t>0.2064</w:t>
            </w:r>
          </w:p>
        </w:tc>
      </w:tr>
      <w:tr>
        <w:trPr>
          <w:trHeight w:val="660" w:hRule="exact"/>
        </w:trPr>
        <w:tc>
          <w:tcPr>
            <w:tcW w:w="1855" w:type="dxa"/>
            <w:tcBorders>
              <w:top w:val="nil"/>
              <w:left w:val="nil"/>
              <w:bottom w:val="nil"/>
              <w:right w:val="nil"/>
            </w:tcBorders>
          </w:tcPr>
          <w:p>
            <w:pPr>
              <w:pStyle w:val="TableParagraph"/>
              <w:spacing w:before="8"/>
              <w:rPr>
                <w:sz w:val="17"/>
              </w:rPr>
            </w:pPr>
          </w:p>
          <w:p>
            <w:pPr>
              <w:pStyle w:val="TableParagraph"/>
              <w:ind w:left="110"/>
              <w:rPr>
                <w:sz w:val="20"/>
              </w:rPr>
            </w:pPr>
            <w:r>
              <w:rPr>
                <w:sz w:val="20"/>
              </w:rPr>
              <w:t>PC2</w:t>
            </w:r>
          </w:p>
        </w:tc>
        <w:tc>
          <w:tcPr>
            <w:tcW w:w="1350" w:type="dxa"/>
            <w:tcBorders>
              <w:top w:val="nil"/>
              <w:left w:val="nil"/>
              <w:bottom w:val="nil"/>
              <w:right w:val="nil"/>
            </w:tcBorders>
          </w:tcPr>
          <w:p>
            <w:pPr>
              <w:pStyle w:val="TableParagraph"/>
              <w:spacing w:before="8"/>
              <w:rPr>
                <w:sz w:val="17"/>
              </w:rPr>
            </w:pPr>
          </w:p>
          <w:p>
            <w:pPr>
              <w:pStyle w:val="TableParagraph"/>
              <w:ind w:left="223"/>
              <w:rPr>
                <w:sz w:val="20"/>
              </w:rPr>
            </w:pPr>
            <w:r>
              <w:rPr>
                <w:sz w:val="20"/>
              </w:rPr>
              <w:t>0.10498</w:t>
            </w:r>
          </w:p>
        </w:tc>
        <w:tc>
          <w:tcPr>
            <w:tcW w:w="1194" w:type="dxa"/>
            <w:tcBorders>
              <w:top w:val="nil"/>
              <w:left w:val="nil"/>
              <w:bottom w:val="nil"/>
              <w:right w:val="nil"/>
            </w:tcBorders>
          </w:tcPr>
          <w:p>
            <w:pPr>
              <w:pStyle w:val="TableParagraph"/>
              <w:spacing w:before="8"/>
              <w:rPr>
                <w:sz w:val="17"/>
              </w:rPr>
            </w:pPr>
          </w:p>
          <w:p>
            <w:pPr>
              <w:pStyle w:val="TableParagraph"/>
              <w:ind w:left="372"/>
              <w:rPr>
                <w:sz w:val="20"/>
              </w:rPr>
            </w:pPr>
            <w:r>
              <w:rPr>
                <w:w w:val="100"/>
                <w:sz w:val="20"/>
              </w:rPr>
              <w:t>1</w:t>
            </w:r>
          </w:p>
        </w:tc>
        <w:tc>
          <w:tcPr>
            <w:tcW w:w="1575" w:type="dxa"/>
            <w:tcBorders>
              <w:top w:val="nil"/>
              <w:left w:val="nil"/>
              <w:bottom w:val="nil"/>
              <w:right w:val="nil"/>
            </w:tcBorders>
          </w:tcPr>
          <w:p>
            <w:pPr>
              <w:pStyle w:val="TableParagraph"/>
              <w:spacing w:before="8"/>
              <w:rPr>
                <w:sz w:val="17"/>
              </w:rPr>
            </w:pPr>
          </w:p>
          <w:p>
            <w:pPr>
              <w:pStyle w:val="TableParagraph"/>
              <w:ind w:left="518" w:right="314"/>
              <w:rPr>
                <w:sz w:val="20"/>
              </w:rPr>
            </w:pPr>
            <w:r>
              <w:rPr>
                <w:sz w:val="20"/>
              </w:rPr>
              <w:t>0.10498</w:t>
            </w:r>
          </w:p>
        </w:tc>
        <w:tc>
          <w:tcPr>
            <w:tcW w:w="1383" w:type="dxa"/>
            <w:tcBorders>
              <w:top w:val="nil"/>
              <w:left w:val="nil"/>
              <w:bottom w:val="nil"/>
              <w:right w:val="nil"/>
            </w:tcBorders>
          </w:tcPr>
          <w:p>
            <w:pPr>
              <w:pStyle w:val="TableParagraph"/>
              <w:spacing w:before="8"/>
              <w:rPr>
                <w:sz w:val="17"/>
              </w:rPr>
            </w:pPr>
          </w:p>
          <w:p>
            <w:pPr>
              <w:pStyle w:val="TableParagraph"/>
              <w:ind w:left="302"/>
              <w:rPr>
                <w:sz w:val="20"/>
              </w:rPr>
            </w:pPr>
            <w:r>
              <w:rPr>
                <w:sz w:val="20"/>
              </w:rPr>
              <w:t>0.27</w:t>
            </w:r>
          </w:p>
        </w:tc>
        <w:tc>
          <w:tcPr>
            <w:tcW w:w="1705" w:type="dxa"/>
            <w:tcBorders>
              <w:top w:val="nil"/>
              <w:left w:val="nil"/>
              <w:bottom w:val="nil"/>
              <w:right w:val="nil"/>
            </w:tcBorders>
          </w:tcPr>
          <w:p>
            <w:pPr>
              <w:pStyle w:val="TableParagraph"/>
              <w:spacing w:before="8"/>
              <w:rPr>
                <w:sz w:val="17"/>
              </w:rPr>
            </w:pPr>
          </w:p>
          <w:p>
            <w:pPr>
              <w:pStyle w:val="TableParagraph"/>
              <w:ind w:left="475"/>
              <w:rPr>
                <w:sz w:val="20"/>
              </w:rPr>
            </w:pPr>
            <w:r>
              <w:rPr>
                <w:sz w:val="20"/>
              </w:rPr>
              <w:t>0.6044</w:t>
            </w:r>
          </w:p>
        </w:tc>
      </w:tr>
      <w:tr>
        <w:trPr>
          <w:trHeight w:val="663" w:hRule="exact"/>
        </w:trPr>
        <w:tc>
          <w:tcPr>
            <w:tcW w:w="1855" w:type="dxa"/>
            <w:tcBorders>
              <w:top w:val="nil"/>
              <w:left w:val="nil"/>
              <w:bottom w:val="nil"/>
              <w:right w:val="nil"/>
            </w:tcBorders>
          </w:tcPr>
          <w:p>
            <w:pPr>
              <w:pStyle w:val="TableParagraph"/>
              <w:spacing w:before="10"/>
              <w:rPr>
                <w:sz w:val="17"/>
              </w:rPr>
            </w:pPr>
          </w:p>
          <w:p>
            <w:pPr>
              <w:pStyle w:val="TableParagraph"/>
              <w:ind w:left="110"/>
              <w:rPr>
                <w:sz w:val="20"/>
              </w:rPr>
            </w:pPr>
            <w:r>
              <w:rPr>
                <w:sz w:val="20"/>
              </w:rPr>
              <w:t>PC3</w:t>
            </w:r>
          </w:p>
        </w:tc>
        <w:tc>
          <w:tcPr>
            <w:tcW w:w="1350" w:type="dxa"/>
            <w:tcBorders>
              <w:top w:val="nil"/>
              <w:left w:val="nil"/>
              <w:bottom w:val="nil"/>
              <w:right w:val="nil"/>
            </w:tcBorders>
          </w:tcPr>
          <w:p>
            <w:pPr>
              <w:pStyle w:val="TableParagraph"/>
              <w:spacing w:before="10"/>
              <w:rPr>
                <w:sz w:val="17"/>
              </w:rPr>
            </w:pPr>
          </w:p>
          <w:p>
            <w:pPr>
              <w:pStyle w:val="TableParagraph"/>
              <w:ind w:left="223"/>
              <w:rPr>
                <w:sz w:val="20"/>
              </w:rPr>
            </w:pPr>
            <w:r>
              <w:rPr>
                <w:sz w:val="20"/>
              </w:rPr>
              <w:t>0.933978</w:t>
            </w:r>
          </w:p>
        </w:tc>
        <w:tc>
          <w:tcPr>
            <w:tcW w:w="1194" w:type="dxa"/>
            <w:tcBorders>
              <w:top w:val="nil"/>
              <w:left w:val="nil"/>
              <w:bottom w:val="nil"/>
              <w:right w:val="nil"/>
            </w:tcBorders>
          </w:tcPr>
          <w:p>
            <w:pPr>
              <w:pStyle w:val="TableParagraph"/>
              <w:spacing w:before="10"/>
              <w:rPr>
                <w:sz w:val="17"/>
              </w:rPr>
            </w:pPr>
          </w:p>
          <w:p>
            <w:pPr>
              <w:pStyle w:val="TableParagraph"/>
              <w:ind w:left="372"/>
              <w:rPr>
                <w:sz w:val="20"/>
              </w:rPr>
            </w:pPr>
            <w:r>
              <w:rPr>
                <w:w w:val="100"/>
                <w:sz w:val="20"/>
              </w:rPr>
              <w:t>1</w:t>
            </w:r>
          </w:p>
        </w:tc>
        <w:tc>
          <w:tcPr>
            <w:tcW w:w="1575" w:type="dxa"/>
            <w:tcBorders>
              <w:top w:val="nil"/>
              <w:left w:val="nil"/>
              <w:bottom w:val="nil"/>
              <w:right w:val="nil"/>
            </w:tcBorders>
          </w:tcPr>
          <w:p>
            <w:pPr>
              <w:pStyle w:val="TableParagraph"/>
              <w:spacing w:before="10"/>
              <w:rPr>
                <w:sz w:val="17"/>
              </w:rPr>
            </w:pPr>
          </w:p>
          <w:p>
            <w:pPr>
              <w:pStyle w:val="TableParagraph"/>
              <w:ind w:left="518"/>
              <w:rPr>
                <w:sz w:val="20"/>
              </w:rPr>
            </w:pPr>
            <w:r>
              <w:rPr>
                <w:sz w:val="20"/>
              </w:rPr>
              <w:t>0.933978</w:t>
            </w:r>
          </w:p>
        </w:tc>
        <w:tc>
          <w:tcPr>
            <w:tcW w:w="1383" w:type="dxa"/>
            <w:tcBorders>
              <w:top w:val="nil"/>
              <w:left w:val="nil"/>
              <w:bottom w:val="nil"/>
              <w:right w:val="nil"/>
            </w:tcBorders>
          </w:tcPr>
          <w:p>
            <w:pPr>
              <w:pStyle w:val="TableParagraph"/>
              <w:spacing w:before="10"/>
              <w:rPr>
                <w:sz w:val="17"/>
              </w:rPr>
            </w:pPr>
          </w:p>
          <w:p>
            <w:pPr>
              <w:pStyle w:val="TableParagraph"/>
              <w:ind w:left="302"/>
              <w:rPr>
                <w:sz w:val="20"/>
              </w:rPr>
            </w:pPr>
            <w:r>
              <w:rPr>
                <w:sz w:val="20"/>
              </w:rPr>
              <w:t>2.40</w:t>
            </w:r>
          </w:p>
        </w:tc>
        <w:tc>
          <w:tcPr>
            <w:tcW w:w="1705" w:type="dxa"/>
            <w:tcBorders>
              <w:top w:val="nil"/>
              <w:left w:val="nil"/>
              <w:bottom w:val="nil"/>
              <w:right w:val="nil"/>
            </w:tcBorders>
          </w:tcPr>
          <w:p>
            <w:pPr>
              <w:pStyle w:val="TableParagraph"/>
              <w:spacing w:before="10"/>
              <w:rPr>
                <w:sz w:val="17"/>
              </w:rPr>
            </w:pPr>
          </w:p>
          <w:p>
            <w:pPr>
              <w:pStyle w:val="TableParagraph"/>
              <w:ind w:left="475"/>
              <w:rPr>
                <w:sz w:val="20"/>
              </w:rPr>
            </w:pPr>
            <w:r>
              <w:rPr>
                <w:sz w:val="20"/>
              </w:rPr>
              <w:t>0.1237</w:t>
            </w:r>
          </w:p>
        </w:tc>
      </w:tr>
      <w:tr>
        <w:trPr>
          <w:trHeight w:val="687" w:hRule="exact"/>
        </w:trPr>
        <w:tc>
          <w:tcPr>
            <w:tcW w:w="1855" w:type="dxa"/>
            <w:tcBorders>
              <w:top w:val="nil"/>
              <w:left w:val="nil"/>
              <w:bottom w:val="nil"/>
              <w:right w:val="nil"/>
            </w:tcBorders>
          </w:tcPr>
          <w:p>
            <w:pPr>
              <w:pStyle w:val="TableParagraph"/>
              <w:spacing w:before="10"/>
              <w:rPr>
                <w:sz w:val="17"/>
              </w:rPr>
            </w:pPr>
          </w:p>
          <w:p>
            <w:pPr>
              <w:pStyle w:val="TableParagraph"/>
              <w:ind w:left="110"/>
              <w:rPr>
                <w:sz w:val="20"/>
              </w:rPr>
            </w:pPr>
            <w:r>
              <w:rPr>
                <w:sz w:val="20"/>
              </w:rPr>
              <w:t>Efectos principales</w:t>
            </w:r>
          </w:p>
        </w:tc>
        <w:tc>
          <w:tcPr>
            <w:tcW w:w="1350" w:type="dxa"/>
            <w:tcBorders>
              <w:top w:val="nil"/>
              <w:left w:val="nil"/>
              <w:bottom w:val="nil"/>
              <w:right w:val="nil"/>
            </w:tcBorders>
          </w:tcPr>
          <w:p>
            <w:pPr/>
          </w:p>
        </w:tc>
        <w:tc>
          <w:tcPr>
            <w:tcW w:w="1194" w:type="dxa"/>
            <w:tcBorders>
              <w:top w:val="nil"/>
              <w:left w:val="nil"/>
              <w:bottom w:val="nil"/>
              <w:right w:val="nil"/>
            </w:tcBorders>
          </w:tcPr>
          <w:p>
            <w:pPr/>
          </w:p>
        </w:tc>
        <w:tc>
          <w:tcPr>
            <w:tcW w:w="1575" w:type="dxa"/>
            <w:tcBorders>
              <w:top w:val="nil"/>
              <w:left w:val="nil"/>
              <w:bottom w:val="nil"/>
              <w:right w:val="nil"/>
            </w:tcBorders>
          </w:tcPr>
          <w:p>
            <w:pPr/>
          </w:p>
        </w:tc>
        <w:tc>
          <w:tcPr>
            <w:tcW w:w="1383" w:type="dxa"/>
            <w:tcBorders>
              <w:top w:val="nil"/>
              <w:left w:val="nil"/>
              <w:bottom w:val="nil"/>
              <w:right w:val="nil"/>
            </w:tcBorders>
          </w:tcPr>
          <w:p>
            <w:pPr/>
          </w:p>
        </w:tc>
        <w:tc>
          <w:tcPr>
            <w:tcW w:w="1705" w:type="dxa"/>
            <w:tcBorders>
              <w:top w:val="nil"/>
              <w:left w:val="nil"/>
              <w:bottom w:val="nil"/>
              <w:right w:val="nil"/>
            </w:tcBorders>
          </w:tcPr>
          <w:p>
            <w:pPr/>
          </w:p>
        </w:tc>
      </w:tr>
      <w:tr>
        <w:trPr>
          <w:trHeight w:val="927" w:hRule="exact"/>
        </w:trPr>
        <w:tc>
          <w:tcPr>
            <w:tcW w:w="1855" w:type="dxa"/>
            <w:tcBorders>
              <w:top w:val="nil"/>
              <w:left w:val="nil"/>
              <w:bottom w:val="nil"/>
              <w:right w:val="nil"/>
            </w:tcBorders>
          </w:tcPr>
          <w:p>
            <w:pPr>
              <w:pStyle w:val="TableParagraph"/>
              <w:rPr>
                <w:sz w:val="20"/>
              </w:rPr>
            </w:pPr>
          </w:p>
          <w:p>
            <w:pPr>
              <w:pStyle w:val="TableParagraph"/>
              <w:ind w:left="110"/>
              <w:rPr>
                <w:sz w:val="20"/>
              </w:rPr>
            </w:pPr>
            <w:r>
              <w:rPr>
                <w:sz w:val="20"/>
              </w:rPr>
              <w:t>A: Sexo-Localidad</w:t>
            </w:r>
          </w:p>
        </w:tc>
        <w:tc>
          <w:tcPr>
            <w:tcW w:w="1350" w:type="dxa"/>
            <w:tcBorders>
              <w:top w:val="nil"/>
              <w:left w:val="nil"/>
              <w:bottom w:val="nil"/>
              <w:right w:val="nil"/>
            </w:tcBorders>
          </w:tcPr>
          <w:p>
            <w:pPr>
              <w:pStyle w:val="TableParagraph"/>
              <w:rPr>
                <w:sz w:val="20"/>
              </w:rPr>
            </w:pPr>
          </w:p>
          <w:p>
            <w:pPr>
              <w:pStyle w:val="TableParagraph"/>
              <w:ind w:left="223"/>
              <w:rPr>
                <w:sz w:val="20"/>
              </w:rPr>
            </w:pPr>
            <w:r>
              <w:rPr>
                <w:sz w:val="20"/>
              </w:rPr>
              <w:t>2.02749</w:t>
            </w:r>
          </w:p>
        </w:tc>
        <w:tc>
          <w:tcPr>
            <w:tcW w:w="1194" w:type="dxa"/>
            <w:tcBorders>
              <w:top w:val="nil"/>
              <w:left w:val="nil"/>
              <w:bottom w:val="nil"/>
              <w:right w:val="nil"/>
            </w:tcBorders>
          </w:tcPr>
          <w:p>
            <w:pPr>
              <w:pStyle w:val="TableParagraph"/>
              <w:rPr>
                <w:sz w:val="20"/>
              </w:rPr>
            </w:pPr>
          </w:p>
          <w:p>
            <w:pPr>
              <w:pStyle w:val="TableParagraph"/>
              <w:ind w:left="372"/>
              <w:rPr>
                <w:sz w:val="20"/>
              </w:rPr>
            </w:pPr>
            <w:r>
              <w:rPr>
                <w:w w:val="100"/>
                <w:sz w:val="20"/>
              </w:rPr>
              <w:t>3</w:t>
            </w:r>
          </w:p>
        </w:tc>
        <w:tc>
          <w:tcPr>
            <w:tcW w:w="1575" w:type="dxa"/>
            <w:tcBorders>
              <w:top w:val="nil"/>
              <w:left w:val="nil"/>
              <w:bottom w:val="nil"/>
              <w:right w:val="nil"/>
            </w:tcBorders>
          </w:tcPr>
          <w:p>
            <w:pPr>
              <w:pStyle w:val="TableParagraph"/>
              <w:rPr>
                <w:sz w:val="20"/>
              </w:rPr>
            </w:pPr>
          </w:p>
          <w:p>
            <w:pPr>
              <w:pStyle w:val="TableParagraph"/>
              <w:ind w:left="518"/>
              <w:rPr>
                <w:sz w:val="20"/>
              </w:rPr>
            </w:pPr>
            <w:r>
              <w:rPr>
                <w:sz w:val="20"/>
              </w:rPr>
              <w:t>0.675831</w:t>
            </w:r>
          </w:p>
        </w:tc>
        <w:tc>
          <w:tcPr>
            <w:tcW w:w="1383" w:type="dxa"/>
            <w:tcBorders>
              <w:top w:val="nil"/>
              <w:left w:val="nil"/>
              <w:bottom w:val="nil"/>
              <w:right w:val="nil"/>
            </w:tcBorders>
          </w:tcPr>
          <w:p>
            <w:pPr>
              <w:pStyle w:val="TableParagraph"/>
              <w:rPr>
                <w:sz w:val="20"/>
              </w:rPr>
            </w:pPr>
          </w:p>
          <w:p>
            <w:pPr>
              <w:pStyle w:val="TableParagraph"/>
              <w:ind w:left="302"/>
              <w:rPr>
                <w:sz w:val="20"/>
              </w:rPr>
            </w:pPr>
            <w:r>
              <w:rPr>
                <w:sz w:val="20"/>
              </w:rPr>
              <w:t>1.74</w:t>
            </w:r>
          </w:p>
        </w:tc>
        <w:tc>
          <w:tcPr>
            <w:tcW w:w="1705" w:type="dxa"/>
            <w:tcBorders>
              <w:top w:val="nil"/>
              <w:left w:val="nil"/>
              <w:bottom w:val="nil"/>
              <w:right w:val="nil"/>
            </w:tcBorders>
          </w:tcPr>
          <w:p>
            <w:pPr>
              <w:pStyle w:val="TableParagraph"/>
              <w:rPr>
                <w:sz w:val="20"/>
              </w:rPr>
            </w:pPr>
          </w:p>
          <w:p>
            <w:pPr>
              <w:pStyle w:val="TableParagraph"/>
              <w:ind w:left="475"/>
              <w:rPr>
                <w:sz w:val="20"/>
              </w:rPr>
            </w:pPr>
            <w:r>
              <w:rPr>
                <w:sz w:val="20"/>
              </w:rPr>
              <w:t>0.1625</w:t>
            </w:r>
          </w:p>
        </w:tc>
      </w:tr>
      <w:tr>
        <w:trPr>
          <w:trHeight w:val="931" w:hRule="exact"/>
        </w:trPr>
        <w:tc>
          <w:tcPr>
            <w:tcW w:w="1855" w:type="dxa"/>
            <w:tcBorders>
              <w:top w:val="nil"/>
              <w:left w:val="nil"/>
              <w:bottom w:val="nil"/>
              <w:right w:val="nil"/>
            </w:tcBorders>
          </w:tcPr>
          <w:p>
            <w:pPr>
              <w:pStyle w:val="TableParagraph"/>
              <w:rPr>
                <w:sz w:val="20"/>
              </w:rPr>
            </w:pPr>
          </w:p>
          <w:p>
            <w:pPr>
              <w:pStyle w:val="TableParagraph"/>
              <w:spacing w:before="8"/>
              <w:rPr>
                <w:sz w:val="18"/>
              </w:rPr>
            </w:pPr>
          </w:p>
          <w:p>
            <w:pPr>
              <w:pStyle w:val="TableParagraph"/>
              <w:spacing w:before="1"/>
              <w:ind w:left="110"/>
              <w:rPr>
                <w:sz w:val="20"/>
              </w:rPr>
            </w:pPr>
            <w:r>
              <w:rPr>
                <w:sz w:val="20"/>
              </w:rPr>
              <w:t>Residuos</w:t>
            </w:r>
          </w:p>
        </w:tc>
        <w:tc>
          <w:tcPr>
            <w:tcW w:w="1350" w:type="dxa"/>
            <w:tcBorders>
              <w:top w:val="nil"/>
              <w:left w:val="nil"/>
              <w:bottom w:val="nil"/>
              <w:right w:val="nil"/>
            </w:tcBorders>
          </w:tcPr>
          <w:p>
            <w:pPr>
              <w:pStyle w:val="TableParagraph"/>
              <w:rPr>
                <w:sz w:val="20"/>
              </w:rPr>
            </w:pPr>
          </w:p>
          <w:p>
            <w:pPr>
              <w:pStyle w:val="TableParagraph"/>
              <w:spacing w:before="8"/>
              <w:rPr>
                <w:sz w:val="18"/>
              </w:rPr>
            </w:pPr>
          </w:p>
          <w:p>
            <w:pPr>
              <w:pStyle w:val="TableParagraph"/>
              <w:spacing w:before="1"/>
              <w:ind w:left="223"/>
              <w:rPr>
                <w:sz w:val="20"/>
              </w:rPr>
            </w:pPr>
            <w:r>
              <w:rPr>
                <w:sz w:val="20"/>
              </w:rPr>
              <w:t>53.3256</w:t>
            </w:r>
          </w:p>
        </w:tc>
        <w:tc>
          <w:tcPr>
            <w:tcW w:w="1194" w:type="dxa"/>
            <w:tcBorders>
              <w:top w:val="nil"/>
              <w:left w:val="nil"/>
              <w:bottom w:val="nil"/>
              <w:right w:val="nil"/>
            </w:tcBorders>
          </w:tcPr>
          <w:p>
            <w:pPr>
              <w:pStyle w:val="TableParagraph"/>
              <w:rPr>
                <w:sz w:val="20"/>
              </w:rPr>
            </w:pPr>
          </w:p>
          <w:p>
            <w:pPr>
              <w:pStyle w:val="TableParagraph"/>
              <w:spacing w:before="8"/>
              <w:rPr>
                <w:sz w:val="18"/>
              </w:rPr>
            </w:pPr>
          </w:p>
          <w:p>
            <w:pPr>
              <w:pStyle w:val="TableParagraph"/>
              <w:spacing w:before="1"/>
              <w:ind w:left="372"/>
              <w:rPr>
                <w:sz w:val="20"/>
              </w:rPr>
            </w:pPr>
            <w:r>
              <w:rPr>
                <w:sz w:val="20"/>
              </w:rPr>
              <w:t>137</w:t>
            </w:r>
          </w:p>
        </w:tc>
        <w:tc>
          <w:tcPr>
            <w:tcW w:w="1575" w:type="dxa"/>
            <w:tcBorders>
              <w:top w:val="nil"/>
              <w:left w:val="nil"/>
              <w:bottom w:val="nil"/>
              <w:right w:val="nil"/>
            </w:tcBorders>
          </w:tcPr>
          <w:p>
            <w:pPr>
              <w:pStyle w:val="TableParagraph"/>
              <w:rPr>
                <w:sz w:val="20"/>
              </w:rPr>
            </w:pPr>
          </w:p>
          <w:p>
            <w:pPr>
              <w:pStyle w:val="TableParagraph"/>
              <w:spacing w:before="8"/>
              <w:rPr>
                <w:sz w:val="18"/>
              </w:rPr>
            </w:pPr>
          </w:p>
          <w:p>
            <w:pPr>
              <w:pStyle w:val="TableParagraph"/>
              <w:spacing w:before="1"/>
              <w:ind w:left="518"/>
              <w:rPr>
                <w:sz w:val="20"/>
              </w:rPr>
            </w:pPr>
            <w:r>
              <w:rPr>
                <w:sz w:val="20"/>
              </w:rPr>
              <w:t>0.389238</w:t>
            </w:r>
          </w:p>
        </w:tc>
        <w:tc>
          <w:tcPr>
            <w:tcW w:w="1383" w:type="dxa"/>
            <w:tcBorders>
              <w:top w:val="nil"/>
              <w:left w:val="nil"/>
              <w:bottom w:val="nil"/>
              <w:right w:val="nil"/>
            </w:tcBorders>
          </w:tcPr>
          <w:p>
            <w:pPr/>
          </w:p>
        </w:tc>
        <w:tc>
          <w:tcPr>
            <w:tcW w:w="1705" w:type="dxa"/>
            <w:tcBorders>
              <w:top w:val="nil"/>
              <w:left w:val="nil"/>
              <w:bottom w:val="nil"/>
              <w:right w:val="nil"/>
            </w:tcBorders>
          </w:tcPr>
          <w:p>
            <w:pPr/>
          </w:p>
        </w:tc>
      </w:tr>
      <w:tr>
        <w:trPr>
          <w:trHeight w:val="461" w:hRule="exact"/>
        </w:trPr>
        <w:tc>
          <w:tcPr>
            <w:tcW w:w="1855" w:type="dxa"/>
            <w:tcBorders>
              <w:top w:val="nil"/>
              <w:left w:val="nil"/>
              <w:bottom w:val="nil"/>
              <w:right w:val="nil"/>
            </w:tcBorders>
          </w:tcPr>
          <w:p>
            <w:pPr>
              <w:pStyle w:val="TableParagraph"/>
              <w:spacing w:before="4"/>
              <w:rPr>
                <w:sz w:val="20"/>
              </w:rPr>
            </w:pPr>
          </w:p>
          <w:p>
            <w:pPr>
              <w:pStyle w:val="TableParagraph"/>
              <w:spacing w:before="1"/>
              <w:ind w:left="110"/>
              <w:rPr>
                <w:sz w:val="20"/>
              </w:rPr>
            </w:pPr>
            <w:r>
              <w:rPr>
                <w:sz w:val="20"/>
              </w:rPr>
              <w:t>Total (Corrected)</w:t>
            </w:r>
          </w:p>
        </w:tc>
        <w:tc>
          <w:tcPr>
            <w:tcW w:w="1350" w:type="dxa"/>
            <w:tcBorders>
              <w:top w:val="nil"/>
              <w:left w:val="nil"/>
              <w:bottom w:val="nil"/>
              <w:right w:val="nil"/>
            </w:tcBorders>
          </w:tcPr>
          <w:p>
            <w:pPr>
              <w:pStyle w:val="TableParagraph"/>
              <w:spacing w:before="4"/>
              <w:rPr>
                <w:sz w:val="20"/>
              </w:rPr>
            </w:pPr>
          </w:p>
          <w:p>
            <w:pPr>
              <w:pStyle w:val="TableParagraph"/>
              <w:spacing w:before="1"/>
              <w:ind w:left="223"/>
              <w:rPr>
                <w:sz w:val="20"/>
              </w:rPr>
            </w:pPr>
            <w:r>
              <w:rPr>
                <w:sz w:val="20"/>
              </w:rPr>
              <w:t>56.5894</w:t>
            </w:r>
          </w:p>
        </w:tc>
        <w:tc>
          <w:tcPr>
            <w:tcW w:w="1194" w:type="dxa"/>
            <w:tcBorders>
              <w:top w:val="nil"/>
              <w:left w:val="nil"/>
              <w:bottom w:val="nil"/>
              <w:right w:val="nil"/>
            </w:tcBorders>
          </w:tcPr>
          <w:p>
            <w:pPr>
              <w:pStyle w:val="TableParagraph"/>
              <w:spacing w:before="4"/>
              <w:rPr>
                <w:sz w:val="20"/>
              </w:rPr>
            </w:pPr>
          </w:p>
          <w:p>
            <w:pPr>
              <w:pStyle w:val="TableParagraph"/>
              <w:spacing w:before="1"/>
              <w:ind w:left="372"/>
              <w:rPr>
                <w:sz w:val="20"/>
              </w:rPr>
            </w:pPr>
            <w:r>
              <w:rPr>
                <w:sz w:val="20"/>
              </w:rPr>
              <w:t>143</w:t>
            </w:r>
          </w:p>
        </w:tc>
        <w:tc>
          <w:tcPr>
            <w:tcW w:w="1575" w:type="dxa"/>
            <w:tcBorders>
              <w:top w:val="nil"/>
              <w:left w:val="nil"/>
              <w:bottom w:val="nil"/>
              <w:right w:val="nil"/>
            </w:tcBorders>
          </w:tcPr>
          <w:p>
            <w:pPr/>
          </w:p>
        </w:tc>
        <w:tc>
          <w:tcPr>
            <w:tcW w:w="1383" w:type="dxa"/>
            <w:tcBorders>
              <w:top w:val="nil"/>
              <w:left w:val="nil"/>
              <w:bottom w:val="nil"/>
              <w:right w:val="nil"/>
            </w:tcBorders>
          </w:tcPr>
          <w:p>
            <w:pPr/>
          </w:p>
        </w:tc>
        <w:tc>
          <w:tcPr>
            <w:tcW w:w="1705" w:type="dxa"/>
            <w:tcBorders>
              <w:top w:val="nil"/>
              <w:left w:val="nil"/>
              <w:bottom w:val="nil"/>
              <w:right w:val="nil"/>
            </w:tcBorders>
          </w:tcPr>
          <w:p>
            <w:pPr/>
          </w:p>
        </w:tc>
      </w:tr>
    </w:tbl>
    <w:p>
      <w:pPr>
        <w:pStyle w:val="BodyText"/>
        <w:rPr>
          <w:sz w:val="20"/>
        </w:rPr>
      </w:pPr>
    </w:p>
    <w:p>
      <w:pPr>
        <w:pStyle w:val="BodyText"/>
        <w:rPr>
          <w:sz w:val="20"/>
        </w:rPr>
      </w:pPr>
    </w:p>
    <w:p>
      <w:pPr>
        <w:pStyle w:val="BodyText"/>
        <w:spacing w:before="5"/>
        <w:rPr>
          <w:sz w:val="22"/>
        </w:rPr>
      </w:pPr>
      <w:r>
        <w:rPr/>
        <w:pict>
          <v:group style="position:absolute;margin-left:87.134003pt;margin-top:14.863074pt;width:454.3pt;height:.5pt;mso-position-horizontal-relative:page;mso-position-vertical-relative:paragraph;z-index:1384;mso-wrap-distance-left:0;mso-wrap-distance-right:0" coordorigin="1743,297" coordsize="9086,10">
            <v:line style="position:absolute" from="1748,302" to="3736,302" stroked="true" strokeweight=".47998pt" strokecolor="#000000"/>
            <v:line style="position:absolute" from="3721,302" to="3731,302" stroked="true" strokeweight=".47998pt" strokecolor="#000000"/>
            <v:line style="position:absolute" from="3731,302" to="5234,302" stroked="true" strokeweight=".47998pt" strokecolor="#000000"/>
            <v:line style="position:absolute" from="5220,302" to="5229,302" stroked="true" strokeweight=".47998pt" strokecolor="#000000"/>
            <v:line style="position:absolute" from="5229,302" to="6574,302" stroked="true" strokeweight=".47998pt" strokecolor="#000000"/>
            <v:line style="position:absolute" from="6560,302" to="6569,302" stroked="true" strokeweight=".47998pt" strokecolor="#000000"/>
            <v:line style="position:absolute" from="6569,302" to="7933,302" stroked="true" strokeweight=".47998pt" strokecolor="#000000"/>
            <v:line style="position:absolute" from="7919,302" to="7928,302" stroked="true" strokeweight=".47998pt" strokecolor="#000000"/>
            <v:line style="position:absolute" from="7928,302" to="9489,302" stroked="true" strokeweight=".47998pt" strokecolor="#000000"/>
            <v:line style="position:absolute" from="9474,302" to="9484,302" stroked="true" strokeweight=".47998pt" strokecolor="#000000"/>
            <v:line style="position:absolute" from="9484,302" to="10823,302" stroked="true" strokeweight=".47998pt" strokecolor="#000000"/>
            <w10:wrap type="topAndBottom"/>
          </v:group>
        </w:pict>
      </w:r>
    </w:p>
    <w:p>
      <w:pPr>
        <w:spacing w:after="0"/>
        <w:rPr>
          <w:sz w:val="22"/>
        </w:rPr>
        <w:sectPr>
          <w:pgSz w:w="12240" w:h="15840"/>
          <w:pgMar w:header="0" w:footer="1304" w:top="1500" w:bottom="1560" w:left="1640" w:right="1300"/>
        </w:sectPr>
      </w:pPr>
    </w:p>
    <w:p>
      <w:pPr>
        <w:pStyle w:val="BodyText"/>
        <w:rPr>
          <w:sz w:val="20"/>
        </w:rPr>
      </w:pPr>
    </w:p>
    <w:p>
      <w:pPr>
        <w:pStyle w:val="BodyText"/>
        <w:rPr>
          <w:sz w:val="20"/>
        </w:rPr>
      </w:pPr>
    </w:p>
    <w:p>
      <w:pPr>
        <w:pStyle w:val="BodyText"/>
        <w:spacing w:before="9"/>
        <w:rPr>
          <w:sz w:val="22"/>
        </w:rPr>
      </w:pPr>
    </w:p>
    <w:p>
      <w:pPr>
        <w:pStyle w:val="Heading1"/>
        <w:ind w:right="120"/>
        <w:jc w:val="left"/>
      </w:pPr>
      <w:bookmarkStart w:name="_TOC_250000" w:id="13"/>
      <w:bookmarkEnd w:id="13"/>
      <w:r>
        <w:rPr/>
        <w:t>REFERENCIAS</w:t>
      </w:r>
    </w:p>
    <w:p>
      <w:pPr>
        <w:pStyle w:val="BodyText"/>
        <w:rPr>
          <w:b/>
        </w:rPr>
      </w:pPr>
    </w:p>
    <w:p>
      <w:pPr>
        <w:pStyle w:val="BodyText"/>
        <w:rPr>
          <w:b/>
        </w:rPr>
      </w:pPr>
    </w:p>
    <w:p>
      <w:pPr>
        <w:pStyle w:val="BodyText"/>
        <w:spacing w:before="9"/>
        <w:rPr>
          <w:b/>
          <w:sz w:val="23"/>
        </w:rPr>
      </w:pPr>
    </w:p>
    <w:p>
      <w:pPr>
        <w:pStyle w:val="ListParagraph"/>
        <w:numPr>
          <w:ilvl w:val="1"/>
          <w:numId w:val="7"/>
        </w:numPr>
        <w:tabs>
          <w:tab w:pos="859" w:val="left" w:leader="none"/>
        </w:tabs>
        <w:spacing w:line="470" w:lineRule="auto" w:before="0" w:after="0"/>
        <w:ind w:left="873" w:right="129" w:hanging="360"/>
        <w:jc w:val="both"/>
        <w:rPr>
          <w:rFonts w:ascii="Symbol" w:hAnsi="Symbol"/>
          <w:sz w:val="24"/>
        </w:rPr>
      </w:pPr>
      <w:r>
        <w:rPr>
          <w:sz w:val="24"/>
        </w:rPr>
        <w:t>Arellano-Aguilar O. and Macías-García C. (2008) Exposure to pesticides impairs  the expression of fish ornaments reducing the availability of attractive males. </w:t>
      </w:r>
      <w:r>
        <w:rPr>
          <w:i/>
          <w:sz w:val="24"/>
        </w:rPr>
        <w:t>Proceedings of the Royal Society B</w:t>
      </w:r>
      <w:r>
        <w:rPr>
          <w:i/>
          <w:spacing w:val="-8"/>
          <w:sz w:val="24"/>
        </w:rPr>
        <w:t> </w:t>
      </w:r>
      <w:r>
        <w:rPr>
          <w:sz w:val="24"/>
        </w:rPr>
        <w:t>275:1343–1350.</w:t>
      </w:r>
    </w:p>
    <w:p>
      <w:pPr>
        <w:pStyle w:val="ListParagraph"/>
        <w:numPr>
          <w:ilvl w:val="1"/>
          <w:numId w:val="7"/>
        </w:numPr>
        <w:tabs>
          <w:tab w:pos="858" w:val="left" w:leader="none"/>
          <w:tab w:pos="859" w:val="left" w:leader="none"/>
        </w:tabs>
        <w:spacing w:line="240" w:lineRule="auto" w:before="23" w:after="0"/>
        <w:ind w:left="858" w:right="0" w:hanging="345"/>
        <w:jc w:val="left"/>
        <w:rPr>
          <w:rFonts w:ascii="Symbol"/>
          <w:sz w:val="24"/>
        </w:rPr>
      </w:pPr>
      <w:r>
        <w:rPr>
          <w:sz w:val="24"/>
        </w:rPr>
        <w:t>Alexander J. and Stimson W.H. (1989) </w:t>
      </w:r>
      <w:r>
        <w:rPr>
          <w:i/>
          <w:sz w:val="24"/>
        </w:rPr>
        <w:t>Parasitology Today </w:t>
      </w:r>
      <w:r>
        <w:rPr>
          <w:sz w:val="24"/>
        </w:rPr>
        <w:t>4:</w:t>
      </w:r>
      <w:r>
        <w:rPr>
          <w:spacing w:val="-12"/>
          <w:sz w:val="24"/>
        </w:rPr>
        <w:t> </w:t>
      </w:r>
      <w:r>
        <w:rPr>
          <w:sz w:val="24"/>
        </w:rPr>
        <w:t>186-189.</w:t>
      </w:r>
    </w:p>
    <w:p>
      <w:pPr>
        <w:pStyle w:val="BodyText"/>
        <w:spacing w:before="1"/>
      </w:pPr>
    </w:p>
    <w:p>
      <w:pPr>
        <w:pStyle w:val="ListParagraph"/>
        <w:numPr>
          <w:ilvl w:val="1"/>
          <w:numId w:val="7"/>
        </w:numPr>
        <w:tabs>
          <w:tab w:pos="859" w:val="left" w:leader="none"/>
        </w:tabs>
        <w:spacing w:line="465" w:lineRule="auto" w:before="0" w:after="0"/>
        <w:ind w:left="873" w:right="128" w:hanging="360"/>
        <w:jc w:val="both"/>
        <w:rPr>
          <w:rFonts w:ascii="Symbol"/>
          <w:sz w:val="24"/>
        </w:rPr>
      </w:pPr>
      <w:r>
        <w:rPr>
          <w:sz w:val="24"/>
        </w:rPr>
        <w:t>Alexander R.D. (1979) </w:t>
      </w:r>
      <w:r>
        <w:rPr>
          <w:i/>
          <w:sz w:val="24"/>
        </w:rPr>
        <w:t>Darwinism and Human Affairs</w:t>
      </w:r>
      <w:r>
        <w:rPr>
          <w:sz w:val="24"/>
        </w:rPr>
        <w:t>. Washington, EUA: University of Washington</w:t>
      </w:r>
      <w:r>
        <w:rPr>
          <w:spacing w:val="-16"/>
          <w:sz w:val="24"/>
        </w:rPr>
        <w:t> </w:t>
      </w:r>
      <w:r>
        <w:rPr>
          <w:sz w:val="24"/>
        </w:rPr>
        <w:t>Press.</w:t>
      </w:r>
    </w:p>
    <w:p>
      <w:pPr>
        <w:pStyle w:val="ListParagraph"/>
        <w:numPr>
          <w:ilvl w:val="1"/>
          <w:numId w:val="7"/>
        </w:numPr>
        <w:tabs>
          <w:tab w:pos="859" w:val="left" w:leader="none"/>
        </w:tabs>
        <w:spacing w:line="470" w:lineRule="auto" w:before="28" w:after="0"/>
        <w:ind w:left="873" w:right="123" w:hanging="360"/>
        <w:jc w:val="both"/>
        <w:rPr>
          <w:rFonts w:ascii="Symbol"/>
          <w:sz w:val="24"/>
        </w:rPr>
      </w:pPr>
      <w:r>
        <w:rPr>
          <w:sz w:val="24"/>
        </w:rPr>
        <w:t>Apanius V., Deerenberg C., </w:t>
      </w:r>
      <w:r>
        <w:rPr>
          <w:spacing w:val="-2"/>
          <w:sz w:val="24"/>
        </w:rPr>
        <w:t>Visser </w:t>
      </w:r>
      <w:r>
        <w:rPr>
          <w:sz w:val="24"/>
        </w:rPr>
        <w:t>H., Daan S. (1994) Reproductive effort and parasite resistance: evidence for an energetically based trade-off. </w:t>
      </w:r>
      <w:r>
        <w:rPr>
          <w:i/>
          <w:sz w:val="24"/>
        </w:rPr>
        <w:t>Journal fur </w:t>
      </w:r>
      <w:r>
        <w:rPr>
          <w:i/>
          <w:sz w:val="24"/>
        </w:rPr>
        <w:t>Ornithologie</w:t>
      </w:r>
      <w:r>
        <w:rPr>
          <w:i/>
          <w:spacing w:val="-2"/>
          <w:sz w:val="24"/>
        </w:rPr>
        <w:t> </w:t>
      </w:r>
      <w:r>
        <w:rPr>
          <w:sz w:val="24"/>
        </w:rPr>
        <w:t>135:404.</w:t>
      </w:r>
    </w:p>
    <w:p>
      <w:pPr>
        <w:pStyle w:val="BodyText"/>
        <w:spacing w:before="9"/>
        <w:rPr>
          <w:sz w:val="22"/>
        </w:rPr>
      </w:pPr>
    </w:p>
    <w:p>
      <w:pPr>
        <w:pStyle w:val="ListParagraph"/>
        <w:numPr>
          <w:ilvl w:val="1"/>
          <w:numId w:val="7"/>
        </w:numPr>
        <w:tabs>
          <w:tab w:pos="859" w:val="left" w:leader="none"/>
        </w:tabs>
        <w:spacing w:line="472" w:lineRule="auto" w:before="1" w:after="0"/>
        <w:ind w:left="873" w:right="121" w:hanging="360"/>
        <w:jc w:val="both"/>
        <w:rPr>
          <w:rFonts w:ascii="Symbol"/>
          <w:sz w:val="24"/>
        </w:rPr>
      </w:pPr>
      <w:r>
        <w:rPr>
          <w:sz w:val="24"/>
        </w:rPr>
        <w:t>Arnott S.A., Barber I. and Huntingfod F.A. (2000) Parasite- associated growth enhancement </w:t>
      </w:r>
      <w:r>
        <w:rPr>
          <w:spacing w:val="-3"/>
          <w:sz w:val="24"/>
        </w:rPr>
        <w:t>in </w:t>
      </w:r>
      <w:r>
        <w:rPr>
          <w:sz w:val="24"/>
        </w:rPr>
        <w:t>a fish cestode system</w:t>
      </w:r>
      <w:r>
        <w:rPr>
          <w:i/>
          <w:sz w:val="24"/>
        </w:rPr>
        <w:t>. Proceedings of the Royal Society B: </w:t>
      </w:r>
      <w:r>
        <w:rPr>
          <w:i/>
          <w:sz w:val="24"/>
        </w:rPr>
        <w:t>Biological Sciences </w:t>
      </w:r>
      <w:r>
        <w:rPr>
          <w:sz w:val="24"/>
        </w:rPr>
        <w:t>267:</w:t>
      </w:r>
      <w:r>
        <w:rPr>
          <w:spacing w:val="-3"/>
          <w:sz w:val="24"/>
        </w:rPr>
        <w:t> </w:t>
      </w:r>
      <w:r>
        <w:rPr>
          <w:sz w:val="24"/>
        </w:rPr>
        <w:t>657-663.</w:t>
      </w:r>
    </w:p>
    <w:p>
      <w:pPr>
        <w:pStyle w:val="BodyText"/>
        <w:spacing w:before="7"/>
        <w:rPr>
          <w:sz w:val="22"/>
        </w:rPr>
      </w:pPr>
    </w:p>
    <w:p>
      <w:pPr>
        <w:pStyle w:val="ListParagraph"/>
        <w:numPr>
          <w:ilvl w:val="1"/>
          <w:numId w:val="7"/>
        </w:numPr>
        <w:tabs>
          <w:tab w:pos="859" w:val="left" w:leader="none"/>
        </w:tabs>
        <w:spacing w:line="472" w:lineRule="auto" w:before="0" w:after="0"/>
        <w:ind w:left="873" w:right="116" w:hanging="360"/>
        <w:jc w:val="both"/>
        <w:rPr>
          <w:rFonts w:ascii="Symbol"/>
          <w:sz w:val="24"/>
        </w:rPr>
      </w:pPr>
      <w:r>
        <w:rPr>
          <w:sz w:val="24"/>
        </w:rPr>
        <w:t>Agnew P., Bedhomme S., Haussy C. &amp; Michalakis Y. (1999) Age and size at maturity of the mosquito </w:t>
      </w:r>
      <w:r>
        <w:rPr>
          <w:i/>
          <w:sz w:val="24"/>
        </w:rPr>
        <w:t>Culex pipiens </w:t>
      </w:r>
      <w:r>
        <w:rPr>
          <w:sz w:val="24"/>
        </w:rPr>
        <w:t>infected by the microsporidian parasite </w:t>
      </w:r>
      <w:r>
        <w:rPr>
          <w:i/>
          <w:sz w:val="24"/>
        </w:rPr>
        <w:t>Vavraia culicis. Proceedings of the Royal Society B: Biological Science </w:t>
      </w:r>
      <w:r>
        <w:rPr>
          <w:sz w:val="24"/>
        </w:rPr>
        <w:t>266: 947- 952.</w:t>
      </w:r>
    </w:p>
    <w:p>
      <w:pPr>
        <w:pStyle w:val="ListParagraph"/>
        <w:numPr>
          <w:ilvl w:val="1"/>
          <w:numId w:val="7"/>
        </w:numPr>
        <w:tabs>
          <w:tab w:pos="859" w:val="left" w:leader="none"/>
        </w:tabs>
        <w:spacing w:line="465" w:lineRule="auto" w:before="20" w:after="0"/>
        <w:ind w:left="873" w:right="131" w:hanging="360"/>
        <w:jc w:val="both"/>
        <w:rPr>
          <w:rFonts w:ascii="Symbol"/>
          <w:sz w:val="24"/>
        </w:rPr>
      </w:pPr>
      <w:r>
        <w:rPr>
          <w:sz w:val="24"/>
        </w:rPr>
        <w:t>Andersson M. (1994). </w:t>
      </w:r>
      <w:r>
        <w:rPr>
          <w:i/>
          <w:sz w:val="24"/>
        </w:rPr>
        <w:t>Sexual selection</w:t>
      </w:r>
      <w:r>
        <w:rPr>
          <w:sz w:val="24"/>
        </w:rPr>
        <w:t>. Princeton, NJ: Princeton University Press, 599</w:t>
      </w:r>
      <w:r>
        <w:rPr>
          <w:spacing w:val="2"/>
          <w:sz w:val="24"/>
        </w:rPr>
        <w:t> </w:t>
      </w:r>
      <w:r>
        <w:rPr>
          <w:sz w:val="24"/>
        </w:rPr>
        <w:t>pp.</w:t>
      </w:r>
    </w:p>
    <w:p>
      <w:pPr>
        <w:spacing w:after="0" w:line="465" w:lineRule="auto"/>
        <w:jc w:val="both"/>
        <w:rPr>
          <w:rFonts w:ascii="Symbol"/>
          <w:sz w:val="24"/>
        </w:rPr>
        <w:sectPr>
          <w:pgSz w:w="12240" w:h="15840"/>
          <w:pgMar w:header="0" w:footer="1304" w:top="1500" w:bottom="1560" w:left="1720" w:right="1400"/>
        </w:sectPr>
      </w:pPr>
    </w:p>
    <w:p>
      <w:pPr>
        <w:pStyle w:val="BodyText"/>
        <w:rPr>
          <w:sz w:val="22"/>
        </w:rPr>
      </w:pPr>
    </w:p>
    <w:p>
      <w:pPr>
        <w:pStyle w:val="ListParagraph"/>
        <w:numPr>
          <w:ilvl w:val="1"/>
          <w:numId w:val="7"/>
        </w:numPr>
        <w:tabs>
          <w:tab w:pos="858" w:val="left" w:leader="none"/>
          <w:tab w:pos="859" w:val="left" w:leader="none"/>
        </w:tabs>
        <w:spacing w:line="240" w:lineRule="auto" w:before="55" w:after="0"/>
        <w:ind w:left="858" w:right="0" w:hanging="345"/>
        <w:jc w:val="left"/>
        <w:rPr>
          <w:rFonts w:ascii="Symbol"/>
          <w:sz w:val="24"/>
        </w:rPr>
      </w:pPr>
      <w:r>
        <w:rPr>
          <w:sz w:val="24"/>
        </w:rPr>
        <w:t>Barbault R. (1981). Ecologie des populations et du peuple- ment. Masson,</w:t>
      </w:r>
      <w:r>
        <w:rPr>
          <w:spacing w:val="-30"/>
          <w:sz w:val="24"/>
        </w:rPr>
        <w:t> </w:t>
      </w:r>
      <w:r>
        <w:rPr>
          <w:sz w:val="24"/>
        </w:rPr>
        <w:t>Paris</w:t>
      </w:r>
    </w:p>
    <w:p>
      <w:pPr>
        <w:pStyle w:val="BodyText"/>
        <w:spacing w:before="8"/>
        <w:rPr>
          <w:sz w:val="23"/>
        </w:rPr>
      </w:pPr>
    </w:p>
    <w:p>
      <w:pPr>
        <w:pStyle w:val="ListParagraph"/>
        <w:numPr>
          <w:ilvl w:val="1"/>
          <w:numId w:val="7"/>
        </w:numPr>
        <w:tabs>
          <w:tab w:pos="859" w:val="left" w:leader="none"/>
        </w:tabs>
        <w:spacing w:line="472" w:lineRule="auto" w:before="0" w:after="0"/>
        <w:ind w:left="873" w:right="106" w:hanging="360"/>
        <w:jc w:val="both"/>
        <w:rPr>
          <w:rFonts w:ascii="Symbol"/>
          <w:sz w:val="24"/>
        </w:rPr>
      </w:pPr>
      <w:r>
        <w:rPr>
          <w:sz w:val="24"/>
        </w:rPr>
        <w:t>Barbault R. (1995) Biodiversity dynamics: from population and community ecology approaches </w:t>
      </w:r>
      <w:r>
        <w:rPr>
          <w:spacing w:val="2"/>
          <w:sz w:val="24"/>
        </w:rPr>
        <w:t>to </w:t>
      </w:r>
      <w:r>
        <w:rPr>
          <w:sz w:val="24"/>
        </w:rPr>
        <w:t>a landscape ecology point of view. </w:t>
      </w:r>
      <w:r>
        <w:rPr>
          <w:i/>
          <w:sz w:val="24"/>
        </w:rPr>
        <w:t>Landscape and Urban Planning </w:t>
      </w:r>
      <w:r>
        <w:rPr>
          <w:sz w:val="24"/>
        </w:rPr>
        <w:t>31:</w:t>
      </w:r>
      <w:r>
        <w:rPr>
          <w:spacing w:val="4"/>
          <w:sz w:val="24"/>
        </w:rPr>
        <w:t> </w:t>
      </w:r>
      <w:r>
        <w:rPr>
          <w:sz w:val="24"/>
        </w:rPr>
        <w:t>89-98</w:t>
      </w:r>
    </w:p>
    <w:p>
      <w:pPr>
        <w:pStyle w:val="ListParagraph"/>
        <w:numPr>
          <w:ilvl w:val="1"/>
          <w:numId w:val="7"/>
        </w:numPr>
        <w:tabs>
          <w:tab w:pos="859" w:val="left" w:leader="none"/>
        </w:tabs>
        <w:spacing w:line="475" w:lineRule="auto" w:before="20" w:after="0"/>
        <w:ind w:left="873" w:right="105" w:hanging="360"/>
        <w:jc w:val="both"/>
        <w:rPr>
          <w:rFonts w:ascii="Symbol" w:hAnsi="Symbol"/>
          <w:sz w:val="24"/>
        </w:rPr>
      </w:pPr>
      <w:r>
        <w:rPr>
          <w:sz w:val="24"/>
        </w:rPr>
        <w:t>Barragán-Sáenz F.B. (2008) </w:t>
      </w:r>
      <w:r>
        <w:rPr>
          <w:i/>
          <w:sz w:val="24"/>
        </w:rPr>
        <w:t>Análisis de la comunidad de fase larvarias de digeneos </w:t>
      </w:r>
      <w:r>
        <w:rPr>
          <w:i/>
          <w:sz w:val="24"/>
        </w:rPr>
        <w:t>(Trematoda) presentes en moluscos (Basommatophora) de la laguna de Chicnahuapan, Almoloya del Río, Estado de México</w:t>
      </w:r>
      <w:r>
        <w:rPr>
          <w:sz w:val="24"/>
        </w:rPr>
        <w:t>. Tesis de Maestría, México: Universidad Autónoma del Estado de México. 64</w:t>
      </w:r>
      <w:r>
        <w:rPr>
          <w:spacing w:val="-21"/>
          <w:sz w:val="24"/>
        </w:rPr>
        <w:t> </w:t>
      </w:r>
      <w:r>
        <w:rPr>
          <w:sz w:val="24"/>
        </w:rPr>
        <w:t>pp.</w:t>
      </w:r>
    </w:p>
    <w:p>
      <w:pPr>
        <w:pStyle w:val="ListParagraph"/>
        <w:numPr>
          <w:ilvl w:val="1"/>
          <w:numId w:val="7"/>
        </w:numPr>
        <w:tabs>
          <w:tab w:pos="859" w:val="left" w:leader="none"/>
        </w:tabs>
        <w:spacing w:line="470" w:lineRule="auto" w:before="17" w:after="0"/>
        <w:ind w:left="873" w:right="102" w:hanging="360"/>
        <w:jc w:val="both"/>
        <w:rPr>
          <w:rFonts w:ascii="Symbol"/>
          <w:sz w:val="24"/>
        </w:rPr>
      </w:pPr>
      <w:r>
        <w:rPr>
          <w:color w:val="131215"/>
          <w:sz w:val="24"/>
        </w:rPr>
        <w:t>Behrens, A.C. and Nollen, P.M., 1992. Responses of </w:t>
      </w:r>
      <w:r>
        <w:rPr>
          <w:i/>
          <w:color w:val="131215"/>
          <w:sz w:val="24"/>
        </w:rPr>
        <w:t>Echinostoma caproni  </w:t>
      </w:r>
      <w:r>
        <w:rPr>
          <w:color w:val="131215"/>
          <w:sz w:val="24"/>
        </w:rPr>
        <w:t>miracidia to gravity, light, and chemicals. </w:t>
      </w:r>
      <w:r>
        <w:rPr>
          <w:i/>
          <w:color w:val="131215"/>
          <w:sz w:val="24"/>
        </w:rPr>
        <w:t>International Journal for Parasitology</w:t>
      </w:r>
      <w:r>
        <w:rPr>
          <w:color w:val="131215"/>
          <w:sz w:val="24"/>
        </w:rPr>
        <w:t>, 22:</w:t>
      </w:r>
      <w:r>
        <w:rPr>
          <w:color w:val="131215"/>
          <w:spacing w:val="3"/>
          <w:sz w:val="24"/>
        </w:rPr>
        <w:t> </w:t>
      </w:r>
      <w:r>
        <w:rPr>
          <w:color w:val="131215"/>
          <w:sz w:val="24"/>
        </w:rPr>
        <w:t>673-675.</w:t>
      </w:r>
    </w:p>
    <w:p>
      <w:pPr>
        <w:pStyle w:val="ListParagraph"/>
        <w:numPr>
          <w:ilvl w:val="1"/>
          <w:numId w:val="7"/>
        </w:numPr>
        <w:tabs>
          <w:tab w:pos="859" w:val="left" w:leader="none"/>
        </w:tabs>
        <w:spacing w:line="472" w:lineRule="auto" w:before="23" w:after="0"/>
        <w:ind w:left="873" w:right="104" w:hanging="360"/>
        <w:jc w:val="both"/>
        <w:rPr>
          <w:rFonts w:ascii="Symbol" w:hAnsi="Symbol"/>
          <w:sz w:val="24"/>
        </w:rPr>
      </w:pPr>
      <w:r>
        <w:rPr>
          <w:sz w:val="24"/>
        </w:rPr>
        <w:t>Benedito E., Agostinho </w:t>
      </w:r>
      <w:r>
        <w:rPr>
          <w:spacing w:val="-3"/>
          <w:sz w:val="24"/>
        </w:rPr>
        <w:t>A. </w:t>
      </w:r>
      <w:r>
        <w:rPr>
          <w:sz w:val="24"/>
        </w:rPr>
        <w:t>and Carnelòs-Machado V. R. (1997) Length-weight relationship of fishes caught </w:t>
      </w:r>
      <w:r>
        <w:rPr>
          <w:spacing w:val="-3"/>
          <w:sz w:val="24"/>
        </w:rPr>
        <w:t>in </w:t>
      </w:r>
      <w:r>
        <w:rPr>
          <w:sz w:val="24"/>
        </w:rPr>
        <w:t>the Itaipu Reservoir, Parana, Brazil. Naga, ICLARM Q, 20:</w:t>
      </w:r>
      <w:r>
        <w:rPr>
          <w:spacing w:val="1"/>
          <w:sz w:val="24"/>
        </w:rPr>
        <w:t> </w:t>
      </w:r>
      <w:r>
        <w:rPr>
          <w:sz w:val="24"/>
        </w:rPr>
        <w:t>57-61</w:t>
      </w:r>
    </w:p>
    <w:p>
      <w:pPr>
        <w:pStyle w:val="ListParagraph"/>
        <w:numPr>
          <w:ilvl w:val="1"/>
          <w:numId w:val="7"/>
        </w:numPr>
        <w:tabs>
          <w:tab w:pos="859" w:val="left" w:leader="none"/>
        </w:tabs>
        <w:spacing w:line="460" w:lineRule="auto" w:before="20" w:after="0"/>
        <w:ind w:left="873" w:right="118" w:hanging="360"/>
        <w:jc w:val="both"/>
        <w:rPr>
          <w:rFonts w:ascii="Symbol"/>
          <w:sz w:val="24"/>
        </w:rPr>
      </w:pPr>
      <w:r>
        <w:rPr>
          <w:sz w:val="24"/>
        </w:rPr>
        <w:t>Beyer J. (1987) On length-weight relationships. Part I: Computing the mean weight of the fish </w:t>
      </w:r>
      <w:r>
        <w:rPr>
          <w:spacing w:val="4"/>
          <w:sz w:val="24"/>
        </w:rPr>
        <w:t>of </w:t>
      </w:r>
      <w:r>
        <w:rPr>
          <w:sz w:val="24"/>
        </w:rPr>
        <w:t>a given length class. </w:t>
      </w:r>
      <w:r>
        <w:rPr>
          <w:i/>
          <w:sz w:val="24"/>
        </w:rPr>
        <w:t>Fishbyte ICLARM Q</w:t>
      </w:r>
      <w:r>
        <w:rPr>
          <w:sz w:val="24"/>
        </w:rPr>
        <w:t>, 5(1):</w:t>
      </w:r>
      <w:r>
        <w:rPr>
          <w:spacing w:val="-31"/>
          <w:sz w:val="24"/>
        </w:rPr>
        <w:t> </w:t>
      </w:r>
      <w:r>
        <w:rPr>
          <w:sz w:val="24"/>
        </w:rPr>
        <w:t>11-13.</w:t>
      </w:r>
    </w:p>
    <w:p>
      <w:pPr>
        <w:pStyle w:val="ListParagraph"/>
        <w:numPr>
          <w:ilvl w:val="1"/>
          <w:numId w:val="7"/>
        </w:numPr>
        <w:tabs>
          <w:tab w:pos="859" w:val="left" w:leader="none"/>
        </w:tabs>
        <w:spacing w:line="475" w:lineRule="auto" w:before="34" w:after="0"/>
        <w:ind w:left="873" w:right="106" w:hanging="360"/>
        <w:jc w:val="both"/>
        <w:rPr>
          <w:rFonts w:ascii="Symbol"/>
          <w:sz w:val="24"/>
        </w:rPr>
      </w:pPr>
      <w:r>
        <w:rPr>
          <w:sz w:val="24"/>
        </w:rPr>
        <w:t>Benajiba M.H., Silan P., Marques </w:t>
      </w:r>
      <w:r>
        <w:rPr>
          <w:spacing w:val="-3"/>
          <w:sz w:val="24"/>
        </w:rPr>
        <w:t>A. </w:t>
      </w:r>
      <w:r>
        <w:rPr>
          <w:sz w:val="24"/>
        </w:rPr>
        <w:t>&amp; Bouix G. (1995) Protozoans and metazoans parasites of the eel </w:t>
      </w:r>
      <w:r>
        <w:rPr>
          <w:i/>
          <w:sz w:val="24"/>
        </w:rPr>
        <w:t>Anguilla anguilla </w:t>
      </w:r>
      <w:r>
        <w:rPr>
          <w:sz w:val="24"/>
        </w:rPr>
        <w:t>- Interdependence of parasitic populations and coexistence of potential pathogens. </w:t>
      </w:r>
      <w:r>
        <w:rPr>
          <w:i/>
          <w:sz w:val="24"/>
        </w:rPr>
        <w:t>Annales des Sciences Naturelles-Zoologie et </w:t>
      </w:r>
      <w:r>
        <w:rPr>
          <w:i/>
          <w:sz w:val="24"/>
        </w:rPr>
        <w:t>Biologie Animale</w:t>
      </w:r>
      <w:r>
        <w:rPr>
          <w:sz w:val="24"/>
        </w:rPr>
        <w:t>, 16 (1):</w:t>
      </w:r>
      <w:r>
        <w:rPr>
          <w:spacing w:val="-5"/>
          <w:sz w:val="24"/>
        </w:rPr>
        <w:t> </w:t>
      </w:r>
      <w:r>
        <w:rPr>
          <w:sz w:val="24"/>
        </w:rPr>
        <w:t>1-6</w:t>
      </w:r>
    </w:p>
    <w:p>
      <w:pPr>
        <w:pStyle w:val="ListParagraph"/>
        <w:numPr>
          <w:ilvl w:val="1"/>
          <w:numId w:val="7"/>
        </w:numPr>
        <w:tabs>
          <w:tab w:pos="859" w:val="left" w:leader="none"/>
        </w:tabs>
        <w:spacing w:line="460" w:lineRule="auto" w:before="17" w:after="0"/>
        <w:ind w:left="873" w:right="109" w:hanging="360"/>
        <w:jc w:val="both"/>
        <w:rPr>
          <w:rFonts w:ascii="Symbol" w:hAnsi="Symbol"/>
          <w:sz w:val="24"/>
        </w:rPr>
      </w:pPr>
      <w:r>
        <w:rPr>
          <w:sz w:val="24"/>
        </w:rPr>
        <w:t>Blondel J. (1995) Biogéographie: approche écologique et évolutive. Masson, Paris, France. 297</w:t>
      </w:r>
      <w:r>
        <w:rPr>
          <w:spacing w:val="-1"/>
          <w:sz w:val="24"/>
        </w:rPr>
        <w:t> </w:t>
      </w:r>
      <w:r>
        <w:rPr>
          <w:sz w:val="24"/>
        </w:rPr>
        <w:t>pp.</w:t>
      </w:r>
    </w:p>
    <w:p>
      <w:pPr>
        <w:spacing w:after="0" w:line="460" w:lineRule="auto"/>
        <w:jc w:val="both"/>
        <w:rPr>
          <w:rFonts w:ascii="Symbol" w:hAnsi="Symbol"/>
          <w:sz w:val="24"/>
        </w:rPr>
        <w:sectPr>
          <w:pgSz w:w="12240" w:h="15840"/>
          <w:pgMar w:header="0" w:footer="1304" w:top="1500" w:bottom="1560" w:left="1720" w:right="1420"/>
        </w:sectPr>
      </w:pPr>
    </w:p>
    <w:p>
      <w:pPr>
        <w:pStyle w:val="BodyText"/>
        <w:rPr>
          <w:sz w:val="22"/>
        </w:rPr>
      </w:pPr>
    </w:p>
    <w:p>
      <w:pPr>
        <w:pStyle w:val="ListParagraph"/>
        <w:numPr>
          <w:ilvl w:val="1"/>
          <w:numId w:val="7"/>
        </w:numPr>
        <w:tabs>
          <w:tab w:pos="859" w:val="left" w:leader="none"/>
        </w:tabs>
        <w:spacing w:line="470" w:lineRule="auto" w:before="55" w:after="0"/>
        <w:ind w:left="873" w:right="101" w:hanging="360"/>
        <w:jc w:val="both"/>
        <w:rPr>
          <w:rFonts w:ascii="Symbol"/>
          <w:sz w:val="24"/>
        </w:rPr>
      </w:pPr>
      <w:r>
        <w:rPr>
          <w:sz w:val="24"/>
        </w:rPr>
        <w:t>Brooks R. </w:t>
      </w:r>
      <w:r>
        <w:rPr>
          <w:spacing w:val="-3"/>
          <w:sz w:val="24"/>
        </w:rPr>
        <w:t>D. </w:t>
      </w:r>
      <w:r>
        <w:rPr>
          <w:sz w:val="24"/>
        </w:rPr>
        <w:t>&amp; Hoberg E. P. (2000) Triage for the biosphere: The need  and rationale for taxonomic inventories and phylogenetic studies of parasites. </w:t>
      </w:r>
      <w:r>
        <w:rPr>
          <w:i/>
          <w:sz w:val="24"/>
        </w:rPr>
        <w:t>Comp. </w:t>
      </w:r>
      <w:r>
        <w:rPr>
          <w:i/>
          <w:sz w:val="24"/>
        </w:rPr>
        <w:t>Parasitol</w:t>
      </w:r>
      <w:r>
        <w:rPr>
          <w:sz w:val="24"/>
        </w:rPr>
        <w:t>., 67 (1): 1 -</w:t>
      </w:r>
      <w:r>
        <w:rPr>
          <w:spacing w:val="-4"/>
          <w:sz w:val="24"/>
        </w:rPr>
        <w:t> </w:t>
      </w:r>
      <w:r>
        <w:rPr>
          <w:sz w:val="24"/>
        </w:rPr>
        <w:t>25.</w:t>
      </w:r>
    </w:p>
    <w:p>
      <w:pPr>
        <w:pStyle w:val="ListParagraph"/>
        <w:numPr>
          <w:ilvl w:val="1"/>
          <w:numId w:val="7"/>
        </w:numPr>
        <w:tabs>
          <w:tab w:pos="858" w:val="left" w:leader="none"/>
          <w:tab w:pos="859" w:val="left" w:leader="none"/>
        </w:tabs>
        <w:spacing w:line="240" w:lineRule="auto" w:before="23" w:after="0"/>
        <w:ind w:left="858" w:right="0" w:hanging="345"/>
        <w:jc w:val="left"/>
        <w:rPr>
          <w:rFonts w:ascii="Symbol"/>
          <w:sz w:val="24"/>
        </w:rPr>
      </w:pPr>
      <w:r>
        <w:rPr>
          <w:sz w:val="24"/>
        </w:rPr>
        <w:t>Bundy   D.A.   (1989)   Gender-   dependent   patterns   of   infection   and  </w:t>
      </w:r>
      <w:r>
        <w:rPr>
          <w:spacing w:val="55"/>
          <w:sz w:val="24"/>
        </w:rPr>
        <w:t> </w:t>
      </w:r>
      <w:r>
        <w:rPr>
          <w:sz w:val="24"/>
        </w:rPr>
        <w:t>disease.</w:t>
      </w:r>
    </w:p>
    <w:p>
      <w:pPr>
        <w:pStyle w:val="BodyText"/>
        <w:spacing w:before="11"/>
        <w:rPr>
          <w:sz w:val="23"/>
        </w:rPr>
      </w:pPr>
    </w:p>
    <w:p>
      <w:pPr>
        <w:spacing w:before="0"/>
        <w:ind w:left="873" w:right="0" w:firstLine="0"/>
        <w:jc w:val="left"/>
        <w:rPr>
          <w:sz w:val="24"/>
        </w:rPr>
      </w:pPr>
      <w:r>
        <w:rPr>
          <w:i/>
          <w:sz w:val="24"/>
        </w:rPr>
        <w:t>Parasitology Today </w:t>
      </w:r>
      <w:r>
        <w:rPr>
          <w:sz w:val="24"/>
        </w:rPr>
        <w:t>4:186-189.</w:t>
      </w:r>
    </w:p>
    <w:p>
      <w:pPr>
        <w:pStyle w:val="BodyText"/>
        <w:spacing w:before="2"/>
      </w:pPr>
    </w:p>
    <w:p>
      <w:pPr>
        <w:pStyle w:val="ListParagraph"/>
        <w:numPr>
          <w:ilvl w:val="1"/>
          <w:numId w:val="7"/>
        </w:numPr>
        <w:tabs>
          <w:tab w:pos="859" w:val="left" w:leader="none"/>
        </w:tabs>
        <w:spacing w:line="465" w:lineRule="auto" w:before="0" w:after="0"/>
        <w:ind w:left="873" w:right="111" w:hanging="360"/>
        <w:jc w:val="both"/>
        <w:rPr>
          <w:rFonts w:ascii="Symbol"/>
          <w:sz w:val="24"/>
        </w:rPr>
      </w:pPr>
      <w:r>
        <w:rPr>
          <w:sz w:val="24"/>
        </w:rPr>
        <w:t>Caillouet Jr. C. (1993) On comparing groups of fishes based on length-weight relationships. Naga, </w:t>
      </w:r>
      <w:r>
        <w:rPr>
          <w:i/>
          <w:sz w:val="24"/>
        </w:rPr>
        <w:t>ICLARM Q, </w:t>
      </w:r>
      <w:r>
        <w:rPr>
          <w:sz w:val="24"/>
        </w:rPr>
        <w:t>16(2/3):</w:t>
      </w:r>
      <w:r>
        <w:rPr>
          <w:spacing w:val="-11"/>
          <w:sz w:val="24"/>
        </w:rPr>
        <w:t> </w:t>
      </w:r>
      <w:r>
        <w:rPr>
          <w:sz w:val="24"/>
        </w:rPr>
        <w:t>30-31.</w:t>
      </w:r>
    </w:p>
    <w:p>
      <w:pPr>
        <w:pStyle w:val="ListParagraph"/>
        <w:numPr>
          <w:ilvl w:val="1"/>
          <w:numId w:val="7"/>
        </w:numPr>
        <w:tabs>
          <w:tab w:pos="859" w:val="left" w:leader="none"/>
        </w:tabs>
        <w:spacing w:line="470" w:lineRule="auto" w:before="28" w:after="0"/>
        <w:ind w:left="873" w:right="100" w:hanging="360"/>
        <w:jc w:val="both"/>
        <w:rPr>
          <w:rFonts w:ascii="Symbol"/>
          <w:sz w:val="24"/>
        </w:rPr>
      </w:pPr>
      <w:r>
        <w:rPr>
          <w:sz w:val="24"/>
        </w:rPr>
        <w:t>Chigbu, P. (2001) Occurrence and distribution of </w:t>
      </w:r>
      <w:r>
        <w:rPr>
          <w:i/>
          <w:sz w:val="24"/>
        </w:rPr>
        <w:t>Salmincola californiensis </w:t>
      </w:r>
      <w:r>
        <w:rPr>
          <w:sz w:val="24"/>
        </w:rPr>
        <w:t>(Copepoda: Lernaeopodidae) on juvenile sockeye salmon (</w:t>
      </w:r>
      <w:r>
        <w:rPr>
          <w:i/>
          <w:sz w:val="24"/>
        </w:rPr>
        <w:t>Oncorhynchus nerka</w:t>
      </w:r>
      <w:r>
        <w:rPr>
          <w:sz w:val="24"/>
        </w:rPr>
        <w:t>) in Lake Washington. </w:t>
      </w:r>
      <w:r>
        <w:rPr>
          <w:i/>
          <w:sz w:val="24"/>
        </w:rPr>
        <w:t>Journal </w:t>
      </w:r>
      <w:r>
        <w:rPr>
          <w:i/>
          <w:spacing w:val="-3"/>
          <w:sz w:val="24"/>
        </w:rPr>
        <w:t>of </w:t>
      </w:r>
      <w:r>
        <w:rPr>
          <w:i/>
          <w:sz w:val="24"/>
        </w:rPr>
        <w:t>Freshwater Ecology</w:t>
      </w:r>
      <w:r>
        <w:rPr>
          <w:sz w:val="24"/>
        </w:rPr>
        <w:t>, 16(4):</w:t>
      </w:r>
      <w:r>
        <w:rPr>
          <w:spacing w:val="-3"/>
          <w:sz w:val="24"/>
        </w:rPr>
        <w:t> </w:t>
      </w:r>
      <w:r>
        <w:rPr>
          <w:sz w:val="24"/>
        </w:rPr>
        <w:t>615-620.</w:t>
      </w:r>
    </w:p>
    <w:p>
      <w:pPr>
        <w:pStyle w:val="ListParagraph"/>
        <w:numPr>
          <w:ilvl w:val="1"/>
          <w:numId w:val="7"/>
        </w:numPr>
        <w:tabs>
          <w:tab w:pos="858" w:val="left" w:leader="none"/>
          <w:tab w:pos="859" w:val="left" w:leader="none"/>
        </w:tabs>
        <w:spacing w:line="240" w:lineRule="auto" w:before="23" w:after="0"/>
        <w:ind w:left="858" w:right="0" w:hanging="345"/>
        <w:jc w:val="left"/>
        <w:rPr>
          <w:rFonts w:ascii="Symbol"/>
          <w:sz w:val="24"/>
        </w:rPr>
      </w:pPr>
      <w:r>
        <w:rPr>
          <w:sz w:val="24"/>
        </w:rPr>
        <w:t>Combes C.  (2001)  </w:t>
      </w:r>
      <w:r>
        <w:rPr>
          <w:i/>
          <w:sz w:val="24"/>
        </w:rPr>
        <w:t>Parasitism: the ecology and evolution </w:t>
      </w:r>
      <w:r>
        <w:rPr>
          <w:i/>
          <w:spacing w:val="-3"/>
          <w:sz w:val="24"/>
        </w:rPr>
        <w:t>of  </w:t>
      </w:r>
      <w:r>
        <w:rPr>
          <w:i/>
          <w:sz w:val="24"/>
        </w:rPr>
        <w:t>intimate </w:t>
      </w:r>
      <w:r>
        <w:rPr>
          <w:i/>
          <w:spacing w:val="47"/>
          <w:sz w:val="24"/>
        </w:rPr>
        <w:t> </w:t>
      </w:r>
      <w:r>
        <w:rPr>
          <w:i/>
          <w:sz w:val="24"/>
        </w:rPr>
        <w:t>interactions</w:t>
      </w:r>
      <w:r>
        <w:rPr>
          <w:sz w:val="24"/>
        </w:rPr>
        <w:t>.</w:t>
      </w:r>
    </w:p>
    <w:p>
      <w:pPr>
        <w:pStyle w:val="BodyText"/>
        <w:spacing w:before="10"/>
        <w:rPr>
          <w:sz w:val="23"/>
        </w:rPr>
      </w:pPr>
    </w:p>
    <w:p>
      <w:pPr>
        <w:pStyle w:val="BodyText"/>
        <w:ind w:left="873"/>
      </w:pPr>
      <w:r>
        <w:rPr/>
        <w:t>Chicago, EUA: University of Chicago Press Cambridge, 701pp.</w:t>
      </w:r>
    </w:p>
    <w:p>
      <w:pPr>
        <w:pStyle w:val="BodyText"/>
        <w:spacing w:before="2"/>
      </w:pPr>
    </w:p>
    <w:p>
      <w:pPr>
        <w:pStyle w:val="ListParagraph"/>
        <w:numPr>
          <w:ilvl w:val="1"/>
          <w:numId w:val="7"/>
        </w:numPr>
        <w:tabs>
          <w:tab w:pos="858" w:val="left" w:leader="none"/>
          <w:tab w:pos="859" w:val="left" w:leader="none"/>
        </w:tabs>
        <w:spacing w:line="240" w:lineRule="auto" w:before="0" w:after="0"/>
        <w:ind w:left="858" w:right="0" w:hanging="345"/>
        <w:jc w:val="left"/>
        <w:rPr>
          <w:rFonts w:ascii="Symbol"/>
          <w:sz w:val="24"/>
        </w:rPr>
      </w:pPr>
      <w:r>
        <w:rPr>
          <w:sz w:val="24"/>
        </w:rPr>
        <w:t>Contreras-Balderas S. &amp; Almada-Villela P. (1996).  </w:t>
      </w:r>
      <w:r>
        <w:rPr>
          <w:i/>
          <w:sz w:val="24"/>
        </w:rPr>
        <w:t>Girardinichthys  </w:t>
      </w:r>
      <w:r>
        <w:rPr>
          <w:i/>
          <w:spacing w:val="4"/>
          <w:sz w:val="24"/>
        </w:rPr>
        <w:t> </w:t>
      </w:r>
      <w:r>
        <w:rPr>
          <w:i/>
          <w:sz w:val="24"/>
        </w:rPr>
        <w:t>multiradiatus</w:t>
      </w:r>
      <w:r>
        <w:rPr>
          <w:sz w:val="24"/>
        </w:rPr>
        <w:t>.</w:t>
      </w:r>
    </w:p>
    <w:p>
      <w:pPr>
        <w:pStyle w:val="BodyText"/>
        <w:spacing w:before="6"/>
        <w:rPr>
          <w:sz w:val="23"/>
        </w:rPr>
      </w:pPr>
    </w:p>
    <w:p>
      <w:pPr>
        <w:pStyle w:val="BodyText"/>
        <w:ind w:left="873"/>
      </w:pPr>
      <w:r>
        <w:rPr/>
        <w:t>In:   IUCN   2011.   IUCN   Red   List   of   Threatened   Species.   Version   2011.2.</w:t>
      </w:r>
    </w:p>
    <w:p>
      <w:pPr>
        <w:pStyle w:val="BodyText"/>
      </w:pPr>
    </w:p>
    <w:p>
      <w:pPr>
        <w:pStyle w:val="BodyText"/>
        <w:ind w:left="873"/>
      </w:pPr>
      <w:r>
        <w:rPr/>
        <w:t>&lt;</w:t>
      </w:r>
      <w:hyperlink r:id="rId40">
        <w:r>
          <w:rPr>
            <w:u w:val="single"/>
          </w:rPr>
          <w:t>www.iucnredlist.org</w:t>
        </w:r>
      </w:hyperlink>
      <w:r>
        <w:rPr/>
        <w:t>&gt;. Downloaded on 07 March 2012.</w:t>
      </w:r>
    </w:p>
    <w:p>
      <w:pPr>
        <w:pStyle w:val="BodyText"/>
        <w:spacing w:before="3"/>
        <w:rPr>
          <w:sz w:val="19"/>
        </w:rPr>
      </w:pPr>
    </w:p>
    <w:p>
      <w:pPr>
        <w:pStyle w:val="ListParagraph"/>
        <w:numPr>
          <w:ilvl w:val="1"/>
          <w:numId w:val="7"/>
        </w:numPr>
        <w:tabs>
          <w:tab w:pos="858" w:val="left" w:leader="none"/>
          <w:tab w:pos="859" w:val="left" w:leader="none"/>
        </w:tabs>
        <w:spacing w:line="240" w:lineRule="auto" w:before="56" w:after="0"/>
        <w:ind w:left="858" w:right="0" w:hanging="345"/>
        <w:jc w:val="left"/>
        <w:rPr>
          <w:rFonts w:ascii="Symbol"/>
          <w:sz w:val="24"/>
        </w:rPr>
      </w:pPr>
      <w:r>
        <w:rPr>
          <w:sz w:val="24"/>
        </w:rPr>
        <w:t>Daly M. and Wilson M. (1983) </w:t>
      </w:r>
      <w:r>
        <w:rPr>
          <w:i/>
          <w:sz w:val="24"/>
        </w:rPr>
        <w:t>Sex Evolution and Behavior</w:t>
      </w:r>
      <w:r>
        <w:rPr>
          <w:sz w:val="24"/>
        </w:rPr>
        <w:t>. Willard Grant</w:t>
      </w:r>
      <w:r>
        <w:rPr>
          <w:spacing w:val="-23"/>
          <w:sz w:val="24"/>
        </w:rPr>
        <w:t> </w:t>
      </w:r>
      <w:r>
        <w:rPr>
          <w:sz w:val="24"/>
        </w:rPr>
        <w:t>Press.</w:t>
      </w:r>
    </w:p>
    <w:p>
      <w:pPr>
        <w:pStyle w:val="BodyText"/>
        <w:spacing w:before="1"/>
      </w:pPr>
    </w:p>
    <w:p>
      <w:pPr>
        <w:pStyle w:val="ListParagraph"/>
        <w:numPr>
          <w:ilvl w:val="1"/>
          <w:numId w:val="7"/>
        </w:numPr>
        <w:tabs>
          <w:tab w:pos="859" w:val="left" w:leader="none"/>
        </w:tabs>
        <w:spacing w:line="460" w:lineRule="auto" w:before="0" w:after="0"/>
        <w:ind w:left="873" w:right="107" w:hanging="360"/>
        <w:jc w:val="both"/>
        <w:rPr>
          <w:rFonts w:ascii="Symbol" w:hAnsi="Symbol"/>
          <w:sz w:val="24"/>
        </w:rPr>
      </w:pPr>
      <w:r>
        <w:rPr>
          <w:sz w:val="24"/>
        </w:rPr>
        <w:t>Daszak P., Cunningham A.A. &amp; Hyatt A.D. (2000) Emerging infectious diseases </w:t>
      </w:r>
      <w:r>
        <w:rPr>
          <w:spacing w:val="4"/>
          <w:sz w:val="24"/>
        </w:rPr>
        <w:t>of </w:t>
      </w:r>
      <w:r>
        <w:rPr>
          <w:sz w:val="24"/>
        </w:rPr>
        <w:t>wildlife: threats to biodiversity and human health. </w:t>
      </w:r>
      <w:r>
        <w:rPr>
          <w:i/>
          <w:sz w:val="24"/>
        </w:rPr>
        <w:t>Science</w:t>
      </w:r>
      <w:r>
        <w:rPr>
          <w:sz w:val="24"/>
        </w:rPr>
        <w:t>, 287:</w:t>
      </w:r>
      <w:r>
        <w:rPr>
          <w:spacing w:val="-19"/>
          <w:sz w:val="24"/>
        </w:rPr>
        <w:t> </w:t>
      </w:r>
      <w:r>
        <w:rPr>
          <w:sz w:val="24"/>
        </w:rPr>
        <w:t>443–449.</w:t>
      </w:r>
    </w:p>
    <w:p>
      <w:pPr>
        <w:pStyle w:val="ListParagraph"/>
        <w:numPr>
          <w:ilvl w:val="1"/>
          <w:numId w:val="7"/>
        </w:numPr>
        <w:tabs>
          <w:tab w:pos="859" w:val="left" w:leader="none"/>
        </w:tabs>
        <w:spacing w:line="472" w:lineRule="auto" w:before="33" w:after="0"/>
        <w:ind w:left="873" w:right="99" w:hanging="360"/>
        <w:jc w:val="both"/>
        <w:rPr>
          <w:rFonts w:ascii="Symbol" w:hAnsi="Symbol"/>
          <w:sz w:val="24"/>
        </w:rPr>
      </w:pPr>
      <w:r>
        <w:rPr>
          <w:sz w:val="24"/>
        </w:rPr>
        <w:t>David P. &amp; Heeb P. (2009) Parasites and sexual selection. In: F. Thomas, J.F. Guégan &amp; F. Renaud (eds.) </w:t>
      </w:r>
      <w:r>
        <w:rPr>
          <w:i/>
          <w:sz w:val="24"/>
        </w:rPr>
        <w:t>Ecology &amp; Evolution </w:t>
      </w:r>
      <w:r>
        <w:rPr>
          <w:i/>
          <w:spacing w:val="-3"/>
          <w:sz w:val="24"/>
        </w:rPr>
        <w:t>of </w:t>
      </w:r>
      <w:r>
        <w:rPr>
          <w:i/>
          <w:sz w:val="24"/>
        </w:rPr>
        <w:t>Parasitism</w:t>
      </w:r>
      <w:r>
        <w:rPr>
          <w:sz w:val="24"/>
        </w:rPr>
        <w:t>. New York, EUA:Oxford University Press, pp.</w:t>
      </w:r>
      <w:r>
        <w:rPr>
          <w:spacing w:val="-7"/>
          <w:sz w:val="24"/>
        </w:rPr>
        <w:t> </w:t>
      </w:r>
      <w:r>
        <w:rPr>
          <w:sz w:val="24"/>
        </w:rPr>
        <w:t>31-46.</w:t>
      </w:r>
    </w:p>
    <w:p>
      <w:pPr>
        <w:spacing w:after="0" w:line="472" w:lineRule="auto"/>
        <w:jc w:val="both"/>
        <w:rPr>
          <w:rFonts w:ascii="Symbol" w:hAnsi="Symbol"/>
          <w:sz w:val="24"/>
        </w:rPr>
        <w:sectPr>
          <w:pgSz w:w="12240" w:h="15840"/>
          <w:pgMar w:header="0" w:footer="1304" w:top="1500" w:bottom="1560" w:left="1720" w:right="1420"/>
        </w:sectPr>
      </w:pPr>
    </w:p>
    <w:p>
      <w:pPr>
        <w:pStyle w:val="BodyText"/>
        <w:rPr>
          <w:sz w:val="22"/>
        </w:rPr>
      </w:pPr>
    </w:p>
    <w:p>
      <w:pPr>
        <w:pStyle w:val="ListParagraph"/>
        <w:numPr>
          <w:ilvl w:val="1"/>
          <w:numId w:val="7"/>
        </w:numPr>
        <w:tabs>
          <w:tab w:pos="859" w:val="left" w:leader="none"/>
        </w:tabs>
        <w:spacing w:line="460" w:lineRule="auto" w:before="55" w:after="0"/>
        <w:ind w:left="873" w:right="100" w:hanging="360"/>
        <w:jc w:val="both"/>
        <w:rPr>
          <w:rFonts w:ascii="Symbol"/>
          <w:sz w:val="24"/>
        </w:rPr>
      </w:pPr>
      <w:r>
        <w:rPr>
          <w:sz w:val="24"/>
        </w:rPr>
        <w:t>Diana J. S. (2004) </w:t>
      </w:r>
      <w:r>
        <w:rPr>
          <w:i/>
          <w:sz w:val="24"/>
        </w:rPr>
        <w:t>Biology and ecology </w:t>
      </w:r>
      <w:r>
        <w:rPr>
          <w:i/>
          <w:spacing w:val="-3"/>
          <w:sz w:val="24"/>
        </w:rPr>
        <w:t>of </w:t>
      </w:r>
      <w:r>
        <w:rPr>
          <w:i/>
          <w:sz w:val="24"/>
        </w:rPr>
        <w:t>fishes</w:t>
      </w:r>
      <w:r>
        <w:rPr>
          <w:sz w:val="24"/>
        </w:rPr>
        <w:t>. Michigan EUA: Biological Sciences Press, 498</w:t>
      </w:r>
      <w:r>
        <w:rPr>
          <w:spacing w:val="-6"/>
          <w:sz w:val="24"/>
        </w:rPr>
        <w:t> </w:t>
      </w:r>
      <w:r>
        <w:rPr>
          <w:sz w:val="24"/>
        </w:rPr>
        <w:t>pp.</w:t>
      </w:r>
    </w:p>
    <w:p>
      <w:pPr>
        <w:pStyle w:val="ListParagraph"/>
        <w:numPr>
          <w:ilvl w:val="1"/>
          <w:numId w:val="7"/>
        </w:numPr>
        <w:tabs>
          <w:tab w:pos="859" w:val="left" w:leader="none"/>
        </w:tabs>
        <w:spacing w:line="475" w:lineRule="auto" w:before="33" w:after="0"/>
        <w:ind w:left="873" w:right="104" w:hanging="360"/>
        <w:jc w:val="both"/>
        <w:rPr>
          <w:rFonts w:ascii="Symbol" w:hAnsi="Symbol"/>
          <w:sz w:val="24"/>
        </w:rPr>
      </w:pPr>
      <w:r>
        <w:rPr>
          <w:sz w:val="24"/>
        </w:rPr>
        <w:t>Diouf M. (2003) </w:t>
      </w:r>
      <w:r>
        <w:rPr>
          <w:i/>
          <w:sz w:val="24"/>
        </w:rPr>
        <w:t>Effets du parasite Goussia cruciata, agent de coccidiose hépatique, </w:t>
      </w:r>
      <w:r>
        <w:rPr>
          <w:i/>
          <w:sz w:val="24"/>
        </w:rPr>
        <w:t>chez le chinchard Trachurus trachurus dans les côtes méditerranéennes marocaines: pathologie et relation hôte-parasite</w:t>
      </w:r>
      <w:r>
        <w:rPr>
          <w:sz w:val="24"/>
        </w:rPr>
        <w:t>. Thèse de doctorat. Univ. Tétouan, Maroc, 155</w:t>
      </w:r>
      <w:r>
        <w:rPr>
          <w:spacing w:val="-5"/>
          <w:sz w:val="24"/>
        </w:rPr>
        <w:t> </w:t>
      </w:r>
      <w:r>
        <w:rPr>
          <w:sz w:val="24"/>
        </w:rPr>
        <w:t>pp.</w:t>
      </w:r>
    </w:p>
    <w:p>
      <w:pPr>
        <w:pStyle w:val="ListParagraph"/>
        <w:numPr>
          <w:ilvl w:val="1"/>
          <w:numId w:val="7"/>
        </w:numPr>
        <w:tabs>
          <w:tab w:pos="859" w:val="left" w:leader="none"/>
        </w:tabs>
        <w:spacing w:line="472" w:lineRule="auto" w:before="17" w:after="0"/>
        <w:ind w:left="873" w:right="110" w:hanging="360"/>
        <w:jc w:val="both"/>
        <w:rPr>
          <w:rFonts w:ascii="Symbol"/>
          <w:sz w:val="24"/>
        </w:rPr>
      </w:pPr>
      <w:r>
        <w:rPr>
          <w:sz w:val="24"/>
        </w:rPr>
        <w:t>Entsua-Mensah M., Osci-Abunyewa </w:t>
      </w:r>
      <w:r>
        <w:rPr>
          <w:spacing w:val="-3"/>
          <w:sz w:val="24"/>
        </w:rPr>
        <w:t>A. </w:t>
      </w:r>
      <w:r>
        <w:rPr>
          <w:sz w:val="24"/>
        </w:rPr>
        <w:t>and Palomares M. (1995) Length-weight relationships </w:t>
      </w:r>
      <w:r>
        <w:rPr>
          <w:spacing w:val="4"/>
          <w:sz w:val="24"/>
        </w:rPr>
        <w:t>of </w:t>
      </w:r>
      <w:r>
        <w:rPr>
          <w:sz w:val="24"/>
        </w:rPr>
        <w:t>fishes from tributaries </w:t>
      </w:r>
      <w:r>
        <w:rPr>
          <w:spacing w:val="4"/>
          <w:sz w:val="24"/>
        </w:rPr>
        <w:t>of </w:t>
      </w:r>
      <w:r>
        <w:rPr>
          <w:sz w:val="24"/>
        </w:rPr>
        <w:t>the Volta river, Ghana. Part I. Analysis </w:t>
      </w:r>
      <w:r>
        <w:rPr>
          <w:spacing w:val="7"/>
          <w:sz w:val="24"/>
        </w:rPr>
        <w:t>of </w:t>
      </w:r>
      <w:r>
        <w:rPr>
          <w:sz w:val="24"/>
        </w:rPr>
        <w:t>pooled data sets. Naga, </w:t>
      </w:r>
      <w:r>
        <w:rPr>
          <w:i/>
          <w:sz w:val="24"/>
        </w:rPr>
        <w:t>ICLARM Q</w:t>
      </w:r>
      <w:r>
        <w:rPr>
          <w:sz w:val="24"/>
        </w:rPr>
        <w:t>, 18(1/2):</w:t>
      </w:r>
      <w:r>
        <w:rPr>
          <w:spacing w:val="-9"/>
          <w:sz w:val="24"/>
        </w:rPr>
        <w:t> </w:t>
      </w:r>
      <w:r>
        <w:rPr>
          <w:sz w:val="24"/>
        </w:rPr>
        <w:t>36-38</w:t>
      </w:r>
    </w:p>
    <w:p>
      <w:pPr>
        <w:pStyle w:val="ListParagraph"/>
        <w:numPr>
          <w:ilvl w:val="1"/>
          <w:numId w:val="7"/>
        </w:numPr>
        <w:tabs>
          <w:tab w:pos="859" w:val="left" w:leader="none"/>
        </w:tabs>
        <w:spacing w:line="470" w:lineRule="auto" w:before="20" w:after="0"/>
        <w:ind w:left="873" w:right="101" w:hanging="360"/>
        <w:jc w:val="both"/>
        <w:rPr>
          <w:rFonts w:ascii="Symbol"/>
          <w:sz w:val="24"/>
        </w:rPr>
      </w:pPr>
      <w:r>
        <w:rPr>
          <w:sz w:val="24"/>
        </w:rPr>
        <w:t>Festa-Bianchet M. (1989) Individual differences, parasites, and the costs </w:t>
      </w:r>
      <w:r>
        <w:rPr>
          <w:spacing w:val="4"/>
          <w:sz w:val="24"/>
        </w:rPr>
        <w:t>of </w:t>
      </w:r>
      <w:r>
        <w:rPr>
          <w:sz w:val="24"/>
        </w:rPr>
        <w:t>reproduction for bighorn ewes (</w:t>
      </w:r>
      <w:r>
        <w:rPr>
          <w:i/>
          <w:sz w:val="24"/>
        </w:rPr>
        <w:t>Ouis canadensis</w:t>
      </w:r>
      <w:r>
        <w:rPr>
          <w:sz w:val="24"/>
        </w:rPr>
        <w:t>). </w:t>
      </w:r>
      <w:r>
        <w:rPr>
          <w:i/>
          <w:sz w:val="24"/>
        </w:rPr>
        <w:t>Journal </w:t>
      </w:r>
      <w:r>
        <w:rPr>
          <w:i/>
          <w:spacing w:val="-3"/>
          <w:sz w:val="24"/>
        </w:rPr>
        <w:t>of </w:t>
      </w:r>
      <w:r>
        <w:rPr>
          <w:i/>
          <w:sz w:val="24"/>
        </w:rPr>
        <w:t>Animal Ecology </w:t>
      </w:r>
      <w:r>
        <w:rPr>
          <w:sz w:val="24"/>
        </w:rPr>
        <w:t>58, 785-795.</w:t>
      </w:r>
    </w:p>
    <w:p>
      <w:pPr>
        <w:pStyle w:val="ListParagraph"/>
        <w:numPr>
          <w:ilvl w:val="1"/>
          <w:numId w:val="7"/>
        </w:numPr>
        <w:tabs>
          <w:tab w:pos="859" w:val="left" w:leader="none"/>
        </w:tabs>
        <w:spacing w:line="456" w:lineRule="auto" w:before="23" w:after="0"/>
        <w:ind w:left="873" w:right="106" w:hanging="360"/>
        <w:jc w:val="both"/>
        <w:rPr>
          <w:rFonts w:ascii="Symbol" w:hAnsi="Symbol"/>
          <w:sz w:val="24"/>
        </w:rPr>
      </w:pPr>
      <w:r>
        <w:rPr>
          <w:sz w:val="24"/>
        </w:rPr>
        <w:t>Fredensborg B.L. and Paulin R. (2006) In vitro cultivation of </w:t>
      </w:r>
      <w:r>
        <w:rPr>
          <w:i/>
          <w:sz w:val="24"/>
        </w:rPr>
        <w:t>Maritrema </w:t>
      </w:r>
      <w:r>
        <w:rPr>
          <w:i/>
          <w:sz w:val="24"/>
        </w:rPr>
        <w:t>novazealandensis </w:t>
      </w:r>
      <w:r>
        <w:rPr>
          <w:sz w:val="24"/>
        </w:rPr>
        <w:t>(Microphallidae): the effect of culture medium on encystation, survival and egg production. </w:t>
      </w:r>
      <w:r>
        <w:rPr>
          <w:i/>
          <w:sz w:val="24"/>
        </w:rPr>
        <w:t>Parasitology Research</w:t>
      </w:r>
      <w:r>
        <w:rPr>
          <w:sz w:val="24"/>
        </w:rPr>
        <w:t>, 95:</w:t>
      </w:r>
      <w:r>
        <w:rPr>
          <w:spacing w:val="-15"/>
          <w:sz w:val="24"/>
        </w:rPr>
        <w:t> </w:t>
      </w:r>
      <w:r>
        <w:rPr>
          <w:sz w:val="24"/>
        </w:rPr>
        <w:t>310</w:t>
      </w:r>
      <w:r>
        <w:rPr>
          <w:rFonts w:ascii="MS Mincho" w:hAnsi="MS Mincho"/>
          <w:sz w:val="24"/>
        </w:rPr>
        <w:t>–</w:t>
      </w:r>
      <w:r>
        <w:rPr>
          <w:sz w:val="24"/>
        </w:rPr>
        <w:t>313</w:t>
      </w:r>
    </w:p>
    <w:p>
      <w:pPr>
        <w:pStyle w:val="ListParagraph"/>
        <w:numPr>
          <w:ilvl w:val="1"/>
          <w:numId w:val="7"/>
        </w:numPr>
        <w:tabs>
          <w:tab w:pos="859" w:val="left" w:leader="none"/>
        </w:tabs>
        <w:spacing w:line="465" w:lineRule="auto" w:before="86" w:after="0"/>
        <w:ind w:left="873" w:right="115" w:hanging="360"/>
        <w:jc w:val="both"/>
        <w:rPr>
          <w:rFonts w:ascii="Symbol"/>
          <w:sz w:val="24"/>
        </w:rPr>
      </w:pPr>
      <w:r>
        <w:rPr>
          <w:sz w:val="24"/>
        </w:rPr>
        <w:t>Folstand I. and Kartere A.J. (1992) Parasite bright </w:t>
      </w:r>
      <w:r>
        <w:rPr>
          <w:spacing w:val="-3"/>
          <w:sz w:val="24"/>
        </w:rPr>
        <w:t>males </w:t>
      </w:r>
      <w:r>
        <w:rPr>
          <w:sz w:val="24"/>
        </w:rPr>
        <w:t>and the imunocompetence handicap. </w:t>
      </w:r>
      <w:r>
        <w:rPr>
          <w:i/>
          <w:sz w:val="24"/>
        </w:rPr>
        <w:t>The American naturalist</w:t>
      </w:r>
      <w:r>
        <w:rPr>
          <w:i/>
          <w:spacing w:val="2"/>
          <w:sz w:val="24"/>
        </w:rPr>
        <w:t> </w:t>
      </w:r>
      <w:r>
        <w:rPr>
          <w:sz w:val="24"/>
        </w:rPr>
        <w:t>139:603-622.</w:t>
      </w:r>
    </w:p>
    <w:p>
      <w:pPr>
        <w:pStyle w:val="ListParagraph"/>
        <w:numPr>
          <w:ilvl w:val="1"/>
          <w:numId w:val="7"/>
        </w:numPr>
        <w:tabs>
          <w:tab w:pos="859" w:val="left" w:leader="none"/>
        </w:tabs>
        <w:spacing w:line="465" w:lineRule="auto" w:before="28" w:after="0"/>
        <w:ind w:left="873" w:right="112" w:hanging="360"/>
        <w:jc w:val="both"/>
        <w:rPr>
          <w:rFonts w:ascii="Symbol"/>
          <w:sz w:val="24"/>
        </w:rPr>
      </w:pPr>
      <w:r>
        <w:rPr>
          <w:sz w:val="24"/>
        </w:rPr>
        <w:t>Gandon S., Agnew P.A., &amp; Michalakis Y. (2002). Coevolution between parasite virulence and host </w:t>
      </w:r>
      <w:r>
        <w:rPr>
          <w:spacing w:val="-4"/>
          <w:sz w:val="24"/>
        </w:rPr>
        <w:t>life </w:t>
      </w:r>
      <w:r>
        <w:rPr>
          <w:sz w:val="24"/>
        </w:rPr>
        <w:t>history traits. </w:t>
      </w:r>
      <w:r>
        <w:rPr>
          <w:i/>
          <w:sz w:val="24"/>
        </w:rPr>
        <w:t>The American Naturalist </w:t>
      </w:r>
      <w:r>
        <w:rPr>
          <w:sz w:val="24"/>
        </w:rPr>
        <w:t>160:</w:t>
      </w:r>
      <w:r>
        <w:rPr>
          <w:spacing w:val="-4"/>
          <w:sz w:val="24"/>
        </w:rPr>
        <w:t> </w:t>
      </w:r>
      <w:r>
        <w:rPr>
          <w:sz w:val="24"/>
        </w:rPr>
        <w:t>374-388.</w:t>
      </w:r>
    </w:p>
    <w:p>
      <w:pPr>
        <w:pStyle w:val="ListParagraph"/>
        <w:numPr>
          <w:ilvl w:val="1"/>
          <w:numId w:val="7"/>
        </w:numPr>
        <w:tabs>
          <w:tab w:pos="859" w:val="left" w:leader="none"/>
        </w:tabs>
        <w:spacing w:line="470" w:lineRule="auto" w:before="28" w:after="0"/>
        <w:ind w:left="873" w:right="105" w:hanging="360"/>
        <w:jc w:val="both"/>
        <w:rPr>
          <w:rFonts w:ascii="Symbol" w:hAnsi="Symbol"/>
          <w:sz w:val="24"/>
        </w:rPr>
      </w:pPr>
      <w:r>
        <w:rPr>
          <w:sz w:val="24"/>
        </w:rPr>
        <w:t>Gesundheit P. y Macías Garcia C. (2005) Biogeografía cladística de </w:t>
      </w:r>
      <w:r>
        <w:rPr>
          <w:spacing w:val="-5"/>
          <w:sz w:val="24"/>
        </w:rPr>
        <w:t>la </w:t>
      </w:r>
      <w:r>
        <w:rPr>
          <w:sz w:val="24"/>
        </w:rPr>
        <w:t>familia Goodeidae. In: Bousquets JL, Morrone JJ eds. Regionalización biogeográfica </w:t>
      </w:r>
      <w:r>
        <w:rPr>
          <w:spacing w:val="4"/>
          <w:sz w:val="24"/>
        </w:rPr>
        <w:t>en </w:t>
      </w:r>
      <w:r>
        <w:rPr>
          <w:sz w:val="24"/>
        </w:rPr>
        <w:t>Iberoamérica   y  tópicos   afines:   Primeras   Jornadas   Biogeográficas   de   </w:t>
      </w:r>
      <w:r>
        <w:rPr>
          <w:spacing w:val="-3"/>
          <w:sz w:val="24"/>
        </w:rPr>
        <w:t>la</w:t>
      </w:r>
      <w:r>
        <w:rPr>
          <w:spacing w:val="7"/>
          <w:sz w:val="24"/>
        </w:rPr>
        <w:t> </w:t>
      </w:r>
      <w:r>
        <w:rPr>
          <w:sz w:val="24"/>
        </w:rPr>
        <w:t>Red</w:t>
      </w:r>
    </w:p>
    <w:p>
      <w:pPr>
        <w:spacing w:after="0" w:line="470" w:lineRule="auto"/>
        <w:jc w:val="both"/>
        <w:rPr>
          <w:rFonts w:ascii="Symbol" w:hAnsi="Symbol"/>
          <w:sz w:val="24"/>
        </w:rPr>
        <w:sectPr>
          <w:pgSz w:w="12240" w:h="15840"/>
          <w:pgMar w:header="0" w:footer="1304" w:top="1500" w:bottom="1560" w:left="1720" w:right="1420"/>
        </w:sectPr>
      </w:pPr>
    </w:p>
    <w:p>
      <w:pPr>
        <w:pStyle w:val="BodyText"/>
        <w:spacing w:before="7"/>
        <w:rPr>
          <w:sz w:val="20"/>
        </w:rPr>
      </w:pPr>
    </w:p>
    <w:p>
      <w:pPr>
        <w:pStyle w:val="BodyText"/>
        <w:spacing w:line="480" w:lineRule="auto" w:before="69"/>
        <w:ind w:left="873"/>
      </w:pPr>
      <w:r>
        <w:rPr/>
        <w:t>Iberoamericana de Biogeografía y Entomología Sistemática. UNAM: México City, 319–338.</w:t>
      </w:r>
    </w:p>
    <w:p>
      <w:pPr>
        <w:pStyle w:val="ListParagraph"/>
        <w:numPr>
          <w:ilvl w:val="1"/>
          <w:numId w:val="7"/>
        </w:numPr>
        <w:tabs>
          <w:tab w:pos="859" w:val="left" w:leader="none"/>
        </w:tabs>
        <w:spacing w:line="460" w:lineRule="auto" w:before="12" w:after="0"/>
        <w:ind w:left="873" w:right="107" w:hanging="360"/>
        <w:jc w:val="both"/>
        <w:rPr>
          <w:rFonts w:ascii="Symbol"/>
          <w:sz w:val="24"/>
        </w:rPr>
      </w:pPr>
      <w:r>
        <w:rPr>
          <w:sz w:val="24"/>
        </w:rPr>
        <w:t>Goble F.C. and Konopka E.A. (1973) </w:t>
      </w:r>
      <w:r>
        <w:rPr>
          <w:i/>
          <w:sz w:val="24"/>
        </w:rPr>
        <w:t>Transactions of the New York Academy of </w:t>
      </w:r>
      <w:r>
        <w:rPr>
          <w:i/>
          <w:sz w:val="24"/>
        </w:rPr>
        <w:t>Sciences </w:t>
      </w:r>
      <w:r>
        <w:rPr>
          <w:sz w:val="24"/>
        </w:rPr>
        <w:t>35:</w:t>
      </w:r>
      <w:r>
        <w:rPr>
          <w:spacing w:val="-2"/>
          <w:sz w:val="24"/>
        </w:rPr>
        <w:t> </w:t>
      </w:r>
      <w:r>
        <w:rPr>
          <w:sz w:val="24"/>
        </w:rPr>
        <w:t>325-326.</w:t>
      </w:r>
    </w:p>
    <w:p>
      <w:pPr>
        <w:pStyle w:val="ListParagraph"/>
        <w:numPr>
          <w:ilvl w:val="1"/>
          <w:numId w:val="7"/>
        </w:numPr>
        <w:tabs>
          <w:tab w:pos="859" w:val="left" w:leader="none"/>
        </w:tabs>
        <w:spacing w:line="472" w:lineRule="auto" w:before="34" w:after="0"/>
        <w:ind w:left="873" w:right="106" w:hanging="360"/>
        <w:jc w:val="both"/>
        <w:rPr>
          <w:rFonts w:ascii="Symbol" w:hAnsi="Symbol"/>
          <w:sz w:val="24"/>
        </w:rPr>
      </w:pPr>
      <w:r>
        <w:rPr>
          <w:sz w:val="24"/>
        </w:rPr>
        <w:t>González-Zuarth C. &amp; Macías-García C. (2005) Phenotypic differentiation and pre- mating isolation between allopatric populations of </w:t>
      </w:r>
      <w:r>
        <w:rPr>
          <w:i/>
          <w:sz w:val="24"/>
        </w:rPr>
        <w:t>Girardinichthys multiradiatus</w:t>
      </w:r>
      <w:r>
        <w:rPr>
          <w:sz w:val="24"/>
        </w:rPr>
        <w:t>. </w:t>
      </w:r>
      <w:r>
        <w:rPr>
          <w:i/>
          <w:sz w:val="24"/>
        </w:rPr>
        <w:t>Proceeding Royal Society B </w:t>
      </w:r>
      <w:r>
        <w:rPr>
          <w:sz w:val="24"/>
        </w:rPr>
        <w:t>(2006) 273,</w:t>
      </w:r>
      <w:r>
        <w:rPr>
          <w:spacing w:val="-4"/>
          <w:sz w:val="24"/>
        </w:rPr>
        <w:t> </w:t>
      </w:r>
      <w:r>
        <w:rPr>
          <w:sz w:val="24"/>
        </w:rPr>
        <w:t>301-307.</w:t>
      </w:r>
    </w:p>
    <w:p>
      <w:pPr>
        <w:pStyle w:val="ListParagraph"/>
        <w:numPr>
          <w:ilvl w:val="1"/>
          <w:numId w:val="7"/>
        </w:numPr>
        <w:tabs>
          <w:tab w:pos="859" w:val="left" w:leader="none"/>
        </w:tabs>
        <w:spacing w:line="472" w:lineRule="auto" w:before="20" w:after="0"/>
        <w:ind w:left="873" w:right="119" w:hanging="360"/>
        <w:jc w:val="both"/>
        <w:rPr>
          <w:rFonts w:ascii="Symbol" w:hAnsi="Symbol"/>
          <w:sz w:val="24"/>
        </w:rPr>
      </w:pPr>
      <w:r>
        <w:rPr>
          <w:sz w:val="24"/>
        </w:rPr>
        <w:t>Guégan J.F., Lambert A., Lévêque C., Combes C. and Euzet L. (1992) Can host body size explain the parasite species richness </w:t>
      </w:r>
      <w:r>
        <w:rPr>
          <w:spacing w:val="-3"/>
          <w:sz w:val="24"/>
        </w:rPr>
        <w:t>in </w:t>
      </w:r>
      <w:r>
        <w:rPr>
          <w:sz w:val="24"/>
        </w:rPr>
        <w:t>tropical freshwater fishes?. </w:t>
      </w:r>
      <w:r>
        <w:rPr>
          <w:i/>
          <w:sz w:val="24"/>
        </w:rPr>
        <w:t>Oecología</w:t>
      </w:r>
      <w:r>
        <w:rPr>
          <w:i/>
          <w:spacing w:val="1"/>
          <w:sz w:val="24"/>
        </w:rPr>
        <w:t> </w:t>
      </w:r>
      <w:r>
        <w:rPr>
          <w:sz w:val="24"/>
        </w:rPr>
        <w:t>90:197-204.</w:t>
      </w:r>
    </w:p>
    <w:p>
      <w:pPr>
        <w:pStyle w:val="ListParagraph"/>
        <w:numPr>
          <w:ilvl w:val="1"/>
          <w:numId w:val="7"/>
        </w:numPr>
        <w:tabs>
          <w:tab w:pos="859" w:val="left" w:leader="none"/>
        </w:tabs>
        <w:spacing w:line="460" w:lineRule="auto" w:before="20" w:after="0"/>
        <w:ind w:left="873" w:right="106" w:hanging="360"/>
        <w:jc w:val="both"/>
        <w:rPr>
          <w:rFonts w:ascii="Symbol" w:hAnsi="Symbol"/>
          <w:sz w:val="24"/>
        </w:rPr>
      </w:pPr>
      <w:r>
        <w:rPr>
          <w:sz w:val="24"/>
        </w:rPr>
        <w:t>Gómez-Márquez J. L. (1994) </w:t>
      </w:r>
      <w:r>
        <w:rPr>
          <w:i/>
          <w:sz w:val="24"/>
        </w:rPr>
        <w:t>Métodos para determinar la edad en los organismos </w:t>
      </w:r>
      <w:r>
        <w:rPr>
          <w:i/>
          <w:sz w:val="24"/>
        </w:rPr>
        <w:t>acuáticos</w:t>
      </w:r>
      <w:r>
        <w:rPr>
          <w:sz w:val="24"/>
        </w:rPr>
        <w:t>. México: Fes Zaragoza UNAM, 89</w:t>
      </w:r>
      <w:r>
        <w:rPr>
          <w:spacing w:val="-8"/>
          <w:sz w:val="24"/>
        </w:rPr>
        <w:t> </w:t>
      </w:r>
      <w:r>
        <w:rPr>
          <w:sz w:val="24"/>
        </w:rPr>
        <w:t>pp.</w:t>
      </w:r>
    </w:p>
    <w:p>
      <w:pPr>
        <w:pStyle w:val="ListParagraph"/>
        <w:numPr>
          <w:ilvl w:val="1"/>
          <w:numId w:val="7"/>
        </w:numPr>
        <w:tabs>
          <w:tab w:pos="859" w:val="left" w:leader="none"/>
        </w:tabs>
        <w:spacing w:line="465" w:lineRule="auto" w:before="33" w:after="0"/>
        <w:ind w:left="873" w:right="103" w:hanging="360"/>
        <w:jc w:val="both"/>
        <w:rPr>
          <w:rFonts w:ascii="Symbol"/>
          <w:sz w:val="24"/>
        </w:rPr>
      </w:pPr>
      <w:r>
        <w:rPr>
          <w:sz w:val="24"/>
        </w:rPr>
        <w:t>Grenfell B.T., Dobson A.P. (eds.) (1995). Ecology </w:t>
      </w:r>
      <w:r>
        <w:rPr>
          <w:spacing w:val="4"/>
          <w:sz w:val="24"/>
        </w:rPr>
        <w:t>of </w:t>
      </w:r>
      <w:r>
        <w:rPr>
          <w:sz w:val="24"/>
        </w:rPr>
        <w:t>infectious diseases </w:t>
      </w:r>
      <w:r>
        <w:rPr>
          <w:spacing w:val="-3"/>
          <w:sz w:val="24"/>
        </w:rPr>
        <w:t>in </w:t>
      </w:r>
      <w:r>
        <w:rPr>
          <w:sz w:val="24"/>
        </w:rPr>
        <w:t>natural populations. Cambridge University Press, Cambridge. 510</w:t>
      </w:r>
      <w:r>
        <w:rPr>
          <w:spacing w:val="-18"/>
          <w:sz w:val="24"/>
        </w:rPr>
        <w:t> </w:t>
      </w:r>
      <w:r>
        <w:rPr>
          <w:sz w:val="24"/>
        </w:rPr>
        <w:t>pp.</w:t>
      </w:r>
    </w:p>
    <w:p>
      <w:pPr>
        <w:pStyle w:val="ListParagraph"/>
        <w:numPr>
          <w:ilvl w:val="1"/>
          <w:numId w:val="7"/>
        </w:numPr>
        <w:tabs>
          <w:tab w:pos="859" w:val="left" w:leader="none"/>
        </w:tabs>
        <w:spacing w:line="460" w:lineRule="auto" w:before="28" w:after="0"/>
        <w:ind w:left="873" w:right="102" w:hanging="360"/>
        <w:jc w:val="both"/>
        <w:rPr>
          <w:rFonts w:ascii="Symbol"/>
          <w:sz w:val="24"/>
        </w:rPr>
      </w:pPr>
      <w:r>
        <w:rPr>
          <w:sz w:val="24"/>
        </w:rPr>
        <w:t>Gulland J. 1983. </w:t>
      </w:r>
      <w:r>
        <w:rPr>
          <w:i/>
          <w:sz w:val="24"/>
        </w:rPr>
        <w:t>Fish stock assessment: a manual of basic methods</w:t>
      </w:r>
      <w:r>
        <w:rPr>
          <w:sz w:val="24"/>
        </w:rPr>
        <w:t>. V. 1 (series on Food and Agriculture). New York. FAO/Wiley and Sons, 223</w:t>
      </w:r>
      <w:r>
        <w:rPr>
          <w:spacing w:val="-22"/>
          <w:sz w:val="24"/>
        </w:rPr>
        <w:t> </w:t>
      </w:r>
      <w:r>
        <w:rPr>
          <w:sz w:val="24"/>
        </w:rPr>
        <w:t>pp.</w:t>
      </w:r>
    </w:p>
    <w:p>
      <w:pPr>
        <w:pStyle w:val="ListParagraph"/>
        <w:numPr>
          <w:ilvl w:val="1"/>
          <w:numId w:val="7"/>
        </w:numPr>
        <w:tabs>
          <w:tab w:pos="859" w:val="left" w:leader="none"/>
        </w:tabs>
        <w:spacing w:line="465" w:lineRule="auto" w:before="34" w:after="0"/>
        <w:ind w:left="873" w:right="102" w:hanging="360"/>
        <w:jc w:val="both"/>
        <w:rPr>
          <w:rFonts w:ascii="Symbol" w:hAnsi="Symbol"/>
          <w:sz w:val="24"/>
        </w:rPr>
      </w:pPr>
      <w:r>
        <w:rPr>
          <w:sz w:val="24"/>
        </w:rPr>
        <w:t>Haas W., Haberl B., </w:t>
      </w:r>
      <w:r>
        <w:rPr>
          <w:spacing w:val="-3"/>
          <w:sz w:val="24"/>
        </w:rPr>
        <w:t>Kalbe </w:t>
      </w:r>
      <w:r>
        <w:rPr>
          <w:sz w:val="24"/>
        </w:rPr>
        <w:t>M. and Körner, M. (1995). Snail-host </w:t>
      </w:r>
      <w:r>
        <w:rPr>
          <w:spacing w:val="-3"/>
          <w:sz w:val="24"/>
        </w:rPr>
        <w:t>finding </w:t>
      </w:r>
      <w:r>
        <w:rPr>
          <w:sz w:val="24"/>
        </w:rPr>
        <w:t>by miracidia and cercariae: chemical host cues </w:t>
      </w:r>
      <w:r>
        <w:rPr>
          <w:i/>
          <w:sz w:val="24"/>
        </w:rPr>
        <w:t>Parasitology Today </w:t>
      </w:r>
      <w:r>
        <w:rPr>
          <w:sz w:val="24"/>
        </w:rPr>
        <w:t>11:</w:t>
      </w:r>
      <w:r>
        <w:rPr>
          <w:spacing w:val="-18"/>
          <w:sz w:val="24"/>
        </w:rPr>
        <w:t> </w:t>
      </w:r>
      <w:r>
        <w:rPr>
          <w:sz w:val="24"/>
        </w:rPr>
        <w:t>468-472.</w:t>
      </w:r>
    </w:p>
    <w:p>
      <w:pPr>
        <w:pStyle w:val="ListParagraph"/>
        <w:numPr>
          <w:ilvl w:val="1"/>
          <w:numId w:val="7"/>
        </w:numPr>
        <w:tabs>
          <w:tab w:pos="858" w:val="left" w:leader="none"/>
          <w:tab w:pos="859" w:val="left" w:leader="none"/>
        </w:tabs>
        <w:spacing w:line="240" w:lineRule="auto" w:before="28" w:after="0"/>
        <w:ind w:left="858" w:right="0" w:hanging="345"/>
        <w:jc w:val="left"/>
        <w:rPr>
          <w:rFonts w:ascii="Symbol"/>
          <w:sz w:val="24"/>
        </w:rPr>
      </w:pPr>
      <w:r>
        <w:rPr>
          <w:sz w:val="24"/>
        </w:rPr>
        <w:t>Hart B. L. (1990) Behavioral adaptations to pathogens and parasites: Five</w:t>
      </w:r>
      <w:r>
        <w:rPr>
          <w:spacing w:val="-3"/>
          <w:sz w:val="24"/>
        </w:rPr>
        <w:t> </w:t>
      </w:r>
      <w:r>
        <w:rPr>
          <w:sz w:val="24"/>
        </w:rPr>
        <w:t>strategies.</w:t>
      </w:r>
    </w:p>
    <w:p>
      <w:pPr>
        <w:pStyle w:val="BodyText"/>
        <w:spacing w:before="6"/>
        <w:rPr>
          <w:sz w:val="23"/>
        </w:rPr>
      </w:pPr>
    </w:p>
    <w:p>
      <w:pPr>
        <w:spacing w:before="0"/>
        <w:ind w:left="873" w:right="0" w:firstLine="0"/>
        <w:jc w:val="left"/>
        <w:rPr>
          <w:sz w:val="24"/>
        </w:rPr>
      </w:pPr>
      <w:r>
        <w:rPr>
          <w:i/>
          <w:sz w:val="24"/>
        </w:rPr>
        <w:t>Neuroscience and Biobehavioral Reviews </w:t>
      </w:r>
      <w:r>
        <w:rPr>
          <w:sz w:val="24"/>
        </w:rPr>
        <w:t>14: 273-294.</w:t>
      </w:r>
    </w:p>
    <w:p>
      <w:pPr>
        <w:pStyle w:val="BodyText"/>
        <w:spacing w:before="2"/>
      </w:pPr>
    </w:p>
    <w:p>
      <w:pPr>
        <w:pStyle w:val="ListParagraph"/>
        <w:numPr>
          <w:ilvl w:val="1"/>
          <w:numId w:val="7"/>
        </w:numPr>
        <w:tabs>
          <w:tab w:pos="859" w:val="left" w:leader="none"/>
        </w:tabs>
        <w:spacing w:line="465" w:lineRule="auto" w:before="0" w:after="0"/>
        <w:ind w:left="873" w:right="106" w:hanging="360"/>
        <w:jc w:val="both"/>
        <w:rPr>
          <w:rFonts w:ascii="Symbol"/>
          <w:sz w:val="24"/>
        </w:rPr>
      </w:pPr>
      <w:r>
        <w:rPr>
          <w:sz w:val="24"/>
        </w:rPr>
        <w:t>Hauschka T.S. (1947) Sex of host as a factor </w:t>
      </w:r>
      <w:r>
        <w:rPr>
          <w:spacing w:val="-3"/>
          <w:sz w:val="24"/>
        </w:rPr>
        <w:t>in </w:t>
      </w:r>
      <w:r>
        <w:rPr>
          <w:sz w:val="24"/>
        </w:rPr>
        <w:t>Chagas' disease. </w:t>
      </w:r>
      <w:r>
        <w:rPr>
          <w:i/>
          <w:sz w:val="24"/>
        </w:rPr>
        <w:t>Journal </w:t>
      </w:r>
      <w:r>
        <w:rPr>
          <w:i/>
          <w:spacing w:val="-3"/>
          <w:sz w:val="24"/>
        </w:rPr>
        <w:t>of </w:t>
      </w:r>
      <w:r>
        <w:rPr>
          <w:i/>
          <w:sz w:val="24"/>
        </w:rPr>
        <w:t>Parasitology </w:t>
      </w:r>
      <w:r>
        <w:rPr>
          <w:sz w:val="24"/>
        </w:rPr>
        <w:t>33:</w:t>
      </w:r>
      <w:r>
        <w:rPr>
          <w:spacing w:val="-5"/>
          <w:sz w:val="24"/>
        </w:rPr>
        <w:t> </w:t>
      </w:r>
      <w:r>
        <w:rPr>
          <w:sz w:val="24"/>
        </w:rPr>
        <w:t>399-404.</w:t>
      </w:r>
    </w:p>
    <w:p>
      <w:pPr>
        <w:spacing w:after="0" w:line="465" w:lineRule="auto"/>
        <w:jc w:val="both"/>
        <w:rPr>
          <w:rFonts w:ascii="Symbol"/>
          <w:sz w:val="24"/>
        </w:rPr>
        <w:sectPr>
          <w:pgSz w:w="12240" w:h="15840"/>
          <w:pgMar w:header="0" w:footer="1304" w:top="1500" w:bottom="1560" w:left="1720" w:right="1420"/>
        </w:sectPr>
      </w:pPr>
    </w:p>
    <w:p>
      <w:pPr>
        <w:pStyle w:val="BodyText"/>
        <w:rPr>
          <w:sz w:val="22"/>
        </w:rPr>
      </w:pPr>
    </w:p>
    <w:p>
      <w:pPr>
        <w:pStyle w:val="ListParagraph"/>
        <w:numPr>
          <w:ilvl w:val="1"/>
          <w:numId w:val="7"/>
        </w:numPr>
        <w:tabs>
          <w:tab w:pos="859" w:val="left" w:leader="none"/>
        </w:tabs>
        <w:spacing w:line="470" w:lineRule="auto" w:before="55" w:after="0"/>
        <w:ind w:left="873" w:right="121" w:hanging="360"/>
        <w:jc w:val="both"/>
        <w:rPr>
          <w:rFonts w:ascii="Symbol"/>
          <w:sz w:val="24"/>
        </w:rPr>
      </w:pPr>
      <w:r>
        <w:rPr>
          <w:sz w:val="24"/>
        </w:rPr>
        <w:t>Herreras M.V., Aznar F.J., Balbuena J.A &amp; Raga J.A (2000) Anisakid larvae </w:t>
      </w:r>
      <w:r>
        <w:rPr>
          <w:spacing w:val="-3"/>
          <w:sz w:val="24"/>
        </w:rPr>
        <w:t>in </w:t>
      </w:r>
      <w:r>
        <w:rPr>
          <w:sz w:val="24"/>
        </w:rPr>
        <w:t>the musculature of the Argentinean hake, </w:t>
      </w:r>
      <w:r>
        <w:rPr>
          <w:i/>
          <w:sz w:val="24"/>
        </w:rPr>
        <w:t>Merluccius hubbsi</w:t>
      </w:r>
      <w:r>
        <w:rPr>
          <w:sz w:val="24"/>
        </w:rPr>
        <w:t>. </w:t>
      </w:r>
      <w:r>
        <w:rPr>
          <w:i/>
          <w:sz w:val="24"/>
        </w:rPr>
        <w:t>Journal </w:t>
      </w:r>
      <w:r>
        <w:rPr>
          <w:i/>
          <w:spacing w:val="-3"/>
          <w:sz w:val="24"/>
        </w:rPr>
        <w:t>of </w:t>
      </w:r>
      <w:r>
        <w:rPr>
          <w:i/>
          <w:sz w:val="24"/>
        </w:rPr>
        <w:t>Food </w:t>
      </w:r>
      <w:r>
        <w:rPr>
          <w:i/>
          <w:sz w:val="24"/>
        </w:rPr>
        <w:t>Protection </w:t>
      </w:r>
      <w:r>
        <w:rPr>
          <w:sz w:val="24"/>
        </w:rPr>
        <w:t>63(8):</w:t>
      </w:r>
      <w:r>
        <w:rPr>
          <w:spacing w:val="-5"/>
          <w:sz w:val="24"/>
        </w:rPr>
        <w:t> </w:t>
      </w:r>
      <w:r>
        <w:rPr>
          <w:sz w:val="24"/>
        </w:rPr>
        <w:t>1141-1143.</w:t>
      </w:r>
    </w:p>
    <w:p>
      <w:pPr>
        <w:pStyle w:val="ListParagraph"/>
        <w:numPr>
          <w:ilvl w:val="1"/>
          <w:numId w:val="7"/>
        </w:numPr>
        <w:tabs>
          <w:tab w:pos="858" w:val="left" w:leader="none"/>
          <w:tab w:pos="859" w:val="left" w:leader="none"/>
        </w:tabs>
        <w:spacing w:line="240" w:lineRule="auto" w:before="23" w:after="0"/>
        <w:ind w:left="858" w:right="0" w:hanging="345"/>
        <w:jc w:val="left"/>
        <w:rPr>
          <w:rFonts w:ascii="Symbol"/>
          <w:sz w:val="24"/>
        </w:rPr>
      </w:pPr>
      <w:r>
        <w:rPr>
          <w:sz w:val="24"/>
        </w:rPr>
        <w:t>Holmes J.C. (1979) Parasite populations and host  community structure. In:  </w:t>
      </w:r>
      <w:r>
        <w:rPr>
          <w:spacing w:val="38"/>
          <w:sz w:val="24"/>
        </w:rPr>
        <w:t> </w:t>
      </w:r>
      <w:r>
        <w:rPr>
          <w:sz w:val="24"/>
        </w:rPr>
        <w:t>Nickol</w:t>
      </w:r>
    </w:p>
    <w:p>
      <w:pPr>
        <w:pStyle w:val="BodyText"/>
        <w:spacing w:before="11"/>
        <w:rPr>
          <w:sz w:val="23"/>
        </w:rPr>
      </w:pPr>
    </w:p>
    <w:p>
      <w:pPr>
        <w:spacing w:line="480" w:lineRule="auto" w:before="0"/>
        <w:ind w:left="873" w:right="120" w:firstLine="0"/>
        <w:jc w:val="left"/>
        <w:rPr>
          <w:sz w:val="24"/>
        </w:rPr>
      </w:pPr>
      <w:r>
        <w:rPr>
          <w:sz w:val="24"/>
        </w:rPr>
        <w:t>B.B. (ed.) </w:t>
      </w:r>
      <w:r>
        <w:rPr>
          <w:i/>
          <w:sz w:val="24"/>
        </w:rPr>
        <w:t>Host Parasite interfaces</w:t>
      </w:r>
      <w:r>
        <w:rPr>
          <w:sz w:val="24"/>
        </w:rPr>
        <w:t>. New York, EUA: New York Academic Press, pp. 27-46.</w:t>
      </w:r>
    </w:p>
    <w:p>
      <w:pPr>
        <w:pStyle w:val="ListParagraph"/>
        <w:numPr>
          <w:ilvl w:val="1"/>
          <w:numId w:val="7"/>
        </w:numPr>
        <w:tabs>
          <w:tab w:pos="859" w:val="left" w:leader="none"/>
        </w:tabs>
        <w:spacing w:line="465" w:lineRule="auto" w:before="12" w:after="0"/>
        <w:ind w:left="873" w:right="125" w:hanging="360"/>
        <w:jc w:val="both"/>
        <w:rPr>
          <w:rFonts w:ascii="Symbol"/>
          <w:sz w:val="24"/>
        </w:rPr>
      </w:pPr>
      <w:r>
        <w:rPr>
          <w:sz w:val="24"/>
        </w:rPr>
        <w:t>Jaenike J. (1992) </w:t>
      </w:r>
      <w:r>
        <w:rPr>
          <w:i/>
          <w:sz w:val="24"/>
        </w:rPr>
        <w:t>Mycephagous drosophila </w:t>
      </w:r>
      <w:r>
        <w:rPr>
          <w:sz w:val="24"/>
        </w:rPr>
        <w:t>and their nematode parasites. </w:t>
      </w:r>
      <w:r>
        <w:rPr>
          <w:i/>
          <w:sz w:val="24"/>
        </w:rPr>
        <w:t>American </w:t>
      </w:r>
      <w:r>
        <w:rPr>
          <w:i/>
          <w:sz w:val="24"/>
        </w:rPr>
        <w:t>Naturalist </w:t>
      </w:r>
      <w:r>
        <w:rPr>
          <w:sz w:val="24"/>
        </w:rPr>
        <w:t>139:</w:t>
      </w:r>
      <w:r>
        <w:rPr>
          <w:spacing w:val="-2"/>
          <w:sz w:val="24"/>
        </w:rPr>
        <w:t> </w:t>
      </w:r>
      <w:r>
        <w:rPr>
          <w:sz w:val="24"/>
        </w:rPr>
        <w:t>893-906.</w:t>
      </w:r>
    </w:p>
    <w:p>
      <w:pPr>
        <w:pStyle w:val="ListParagraph"/>
        <w:numPr>
          <w:ilvl w:val="1"/>
          <w:numId w:val="7"/>
        </w:numPr>
        <w:tabs>
          <w:tab w:pos="859" w:val="left" w:leader="none"/>
        </w:tabs>
        <w:spacing w:line="460" w:lineRule="auto" w:before="28" w:after="0"/>
        <w:ind w:left="873" w:right="123" w:hanging="360"/>
        <w:jc w:val="both"/>
        <w:rPr>
          <w:rFonts w:ascii="Symbol"/>
          <w:sz w:val="24"/>
        </w:rPr>
      </w:pPr>
      <w:r>
        <w:rPr>
          <w:sz w:val="24"/>
        </w:rPr>
        <w:t>Janovy Jr., J. and Hardin L. (1987) Diversity </w:t>
      </w:r>
      <w:r>
        <w:rPr>
          <w:spacing w:val="4"/>
          <w:sz w:val="24"/>
        </w:rPr>
        <w:t>of </w:t>
      </w:r>
      <w:r>
        <w:rPr>
          <w:sz w:val="24"/>
        </w:rPr>
        <w:t>the parasite assemblage </w:t>
      </w:r>
      <w:r>
        <w:rPr>
          <w:spacing w:val="4"/>
          <w:sz w:val="24"/>
        </w:rPr>
        <w:t>of</w:t>
      </w:r>
      <w:r>
        <w:rPr>
          <w:spacing w:val="-32"/>
          <w:sz w:val="24"/>
        </w:rPr>
        <w:t> </w:t>
      </w:r>
      <w:r>
        <w:rPr>
          <w:i/>
          <w:sz w:val="24"/>
        </w:rPr>
        <w:t>Fundiilus </w:t>
      </w:r>
      <w:r>
        <w:rPr>
          <w:i/>
          <w:sz w:val="24"/>
        </w:rPr>
        <w:t>zebrinus </w:t>
      </w:r>
      <w:r>
        <w:rPr>
          <w:spacing w:val="-3"/>
          <w:sz w:val="24"/>
        </w:rPr>
        <w:t>in </w:t>
      </w:r>
      <w:r>
        <w:rPr>
          <w:sz w:val="24"/>
        </w:rPr>
        <w:t>the Platte River of Nebraska. Journal of Parasitology 74:</w:t>
      </w:r>
      <w:r>
        <w:rPr>
          <w:spacing w:val="-12"/>
          <w:sz w:val="24"/>
        </w:rPr>
        <w:t> </w:t>
      </w:r>
      <w:r>
        <w:rPr>
          <w:sz w:val="24"/>
        </w:rPr>
        <w:t>207-213.</w:t>
      </w:r>
    </w:p>
    <w:p>
      <w:pPr>
        <w:pStyle w:val="ListParagraph"/>
        <w:numPr>
          <w:ilvl w:val="1"/>
          <w:numId w:val="7"/>
        </w:numPr>
        <w:tabs>
          <w:tab w:pos="859" w:val="left" w:leader="none"/>
        </w:tabs>
        <w:spacing w:line="475" w:lineRule="auto" w:before="34" w:after="0"/>
        <w:ind w:left="873" w:right="121" w:hanging="360"/>
        <w:jc w:val="both"/>
        <w:rPr>
          <w:rFonts w:ascii="Symbol" w:hAnsi="Symbol"/>
          <w:sz w:val="24"/>
        </w:rPr>
      </w:pPr>
      <w:r>
        <w:rPr>
          <w:sz w:val="24"/>
        </w:rPr>
        <w:t>Jarecka L. (1970) </w:t>
      </w:r>
      <w:r>
        <w:rPr>
          <w:spacing w:val="-3"/>
          <w:sz w:val="24"/>
        </w:rPr>
        <w:t>Life </w:t>
      </w:r>
      <w:r>
        <w:rPr>
          <w:sz w:val="24"/>
        </w:rPr>
        <w:t>cycle </w:t>
      </w:r>
      <w:r>
        <w:rPr>
          <w:spacing w:val="4"/>
          <w:sz w:val="24"/>
        </w:rPr>
        <w:t>of </w:t>
      </w:r>
      <w:r>
        <w:rPr>
          <w:i/>
          <w:sz w:val="24"/>
        </w:rPr>
        <w:t>Valipora campylancristrota </w:t>
      </w:r>
      <w:r>
        <w:rPr>
          <w:sz w:val="24"/>
        </w:rPr>
        <w:t>(Wedl, 1855) Baer and Bona 1958-1960 (Cestoda-Dilepididae) and the description of Cercoscolex a new type of cestode larva. </w:t>
      </w:r>
      <w:r>
        <w:rPr>
          <w:i/>
          <w:sz w:val="24"/>
        </w:rPr>
        <w:t>Bolletin de l´Academic polonaise de Sciences biol</w:t>
      </w:r>
      <w:r>
        <w:rPr>
          <w:sz w:val="24"/>
        </w:rPr>
        <w:t>. 18: 99- 102.</w:t>
      </w:r>
    </w:p>
    <w:p>
      <w:pPr>
        <w:pStyle w:val="ListParagraph"/>
        <w:numPr>
          <w:ilvl w:val="1"/>
          <w:numId w:val="7"/>
        </w:numPr>
        <w:tabs>
          <w:tab w:pos="859" w:val="left" w:leader="none"/>
        </w:tabs>
        <w:spacing w:line="470" w:lineRule="auto" w:before="17" w:after="0"/>
        <w:ind w:left="873" w:right="123" w:hanging="360"/>
        <w:jc w:val="both"/>
        <w:rPr>
          <w:rFonts w:ascii="Symbol" w:hAnsi="Symbol"/>
          <w:sz w:val="24"/>
        </w:rPr>
      </w:pPr>
      <w:r>
        <w:rPr>
          <w:sz w:val="24"/>
        </w:rPr>
        <w:t>Johnson M. </w:t>
      </w:r>
      <w:r>
        <w:rPr>
          <w:spacing w:val="-3"/>
          <w:sz w:val="24"/>
        </w:rPr>
        <w:t>W. </w:t>
      </w:r>
      <w:r>
        <w:rPr>
          <w:sz w:val="24"/>
        </w:rPr>
        <w:t>and Terry </w:t>
      </w:r>
      <w:r>
        <w:rPr>
          <w:spacing w:val="-3"/>
          <w:sz w:val="24"/>
        </w:rPr>
        <w:t>A. </w:t>
      </w:r>
      <w:r>
        <w:rPr>
          <w:sz w:val="24"/>
        </w:rPr>
        <w:t>(2001) Parasite effects on the survival, growth, and reproductive potential </w:t>
      </w:r>
      <w:r>
        <w:rPr>
          <w:spacing w:val="4"/>
          <w:sz w:val="24"/>
        </w:rPr>
        <w:t>of </w:t>
      </w:r>
      <w:r>
        <w:rPr>
          <w:spacing w:val="-2"/>
          <w:sz w:val="24"/>
        </w:rPr>
        <w:t>yellow </w:t>
      </w:r>
      <w:r>
        <w:rPr>
          <w:sz w:val="24"/>
        </w:rPr>
        <w:t>perch (</w:t>
      </w:r>
      <w:r>
        <w:rPr>
          <w:i/>
          <w:sz w:val="24"/>
        </w:rPr>
        <w:t>Perca flavescens </w:t>
      </w:r>
      <w:r>
        <w:rPr>
          <w:sz w:val="24"/>
        </w:rPr>
        <w:t>Mitchill) </w:t>
      </w:r>
      <w:r>
        <w:rPr>
          <w:spacing w:val="-3"/>
          <w:sz w:val="24"/>
        </w:rPr>
        <w:t>in </w:t>
      </w:r>
      <w:r>
        <w:rPr>
          <w:sz w:val="24"/>
        </w:rPr>
        <w:t>Canadian Shield lakes. </w:t>
      </w:r>
      <w:r>
        <w:rPr>
          <w:i/>
          <w:sz w:val="24"/>
        </w:rPr>
        <w:t>Can. J. Zool</w:t>
      </w:r>
      <w:r>
        <w:rPr>
          <w:sz w:val="24"/>
        </w:rPr>
        <w:t>. 79(11):</w:t>
      </w:r>
      <w:r>
        <w:rPr>
          <w:spacing w:val="-11"/>
          <w:sz w:val="24"/>
        </w:rPr>
        <w:t> </w:t>
      </w:r>
      <w:r>
        <w:rPr>
          <w:sz w:val="24"/>
        </w:rPr>
        <w:t>1980–1992.</w:t>
      </w:r>
    </w:p>
    <w:p>
      <w:pPr>
        <w:pStyle w:val="ListParagraph"/>
        <w:numPr>
          <w:ilvl w:val="1"/>
          <w:numId w:val="7"/>
        </w:numPr>
        <w:tabs>
          <w:tab w:pos="858" w:val="left" w:leader="none"/>
          <w:tab w:pos="859" w:val="left" w:leader="none"/>
        </w:tabs>
        <w:spacing w:line="240" w:lineRule="auto" w:before="23" w:after="0"/>
        <w:ind w:left="858" w:right="0" w:hanging="345"/>
        <w:jc w:val="left"/>
        <w:rPr>
          <w:rFonts w:ascii="Symbol"/>
          <w:sz w:val="24"/>
        </w:rPr>
      </w:pPr>
      <w:r>
        <w:rPr>
          <w:sz w:val="24"/>
        </w:rPr>
        <w:t>Jones</w:t>
      </w:r>
      <w:r>
        <w:rPr>
          <w:spacing w:val="21"/>
          <w:sz w:val="24"/>
        </w:rPr>
        <w:t> </w:t>
      </w:r>
      <w:r>
        <w:rPr>
          <w:sz w:val="24"/>
        </w:rPr>
        <w:t>C.G.,</w:t>
      </w:r>
      <w:r>
        <w:rPr>
          <w:spacing w:val="25"/>
          <w:sz w:val="24"/>
        </w:rPr>
        <w:t> </w:t>
      </w:r>
      <w:r>
        <w:rPr>
          <w:sz w:val="24"/>
        </w:rPr>
        <w:t>Lawton</w:t>
      </w:r>
      <w:r>
        <w:rPr>
          <w:spacing w:val="18"/>
          <w:sz w:val="24"/>
        </w:rPr>
        <w:t> </w:t>
      </w:r>
      <w:r>
        <w:rPr>
          <w:sz w:val="24"/>
        </w:rPr>
        <w:t>J.H.</w:t>
      </w:r>
      <w:r>
        <w:rPr>
          <w:spacing w:val="24"/>
          <w:sz w:val="24"/>
        </w:rPr>
        <w:t> </w:t>
      </w:r>
      <w:r>
        <w:rPr>
          <w:sz w:val="24"/>
        </w:rPr>
        <w:t>&amp;</w:t>
      </w:r>
      <w:r>
        <w:rPr>
          <w:spacing w:val="18"/>
          <w:sz w:val="24"/>
        </w:rPr>
        <w:t> </w:t>
      </w:r>
      <w:r>
        <w:rPr>
          <w:sz w:val="24"/>
        </w:rPr>
        <w:t>Shachk</w:t>
      </w:r>
      <w:r>
        <w:rPr>
          <w:spacing w:val="27"/>
          <w:sz w:val="24"/>
        </w:rPr>
        <w:t> </w:t>
      </w:r>
      <w:r>
        <w:rPr>
          <w:sz w:val="24"/>
        </w:rPr>
        <w:t>M.</w:t>
      </w:r>
      <w:r>
        <w:rPr>
          <w:spacing w:val="25"/>
          <w:sz w:val="24"/>
        </w:rPr>
        <w:t> </w:t>
      </w:r>
      <w:r>
        <w:rPr>
          <w:sz w:val="24"/>
        </w:rPr>
        <w:t>(1994)</w:t>
      </w:r>
      <w:r>
        <w:rPr>
          <w:spacing w:val="24"/>
          <w:sz w:val="24"/>
        </w:rPr>
        <w:t> </w:t>
      </w:r>
      <w:r>
        <w:rPr>
          <w:sz w:val="24"/>
        </w:rPr>
        <w:t>Organisms</w:t>
      </w:r>
      <w:r>
        <w:rPr>
          <w:spacing w:val="25"/>
          <w:sz w:val="24"/>
        </w:rPr>
        <w:t> </w:t>
      </w:r>
      <w:r>
        <w:rPr>
          <w:sz w:val="24"/>
        </w:rPr>
        <w:t>as</w:t>
      </w:r>
      <w:r>
        <w:rPr>
          <w:spacing w:val="21"/>
          <w:sz w:val="24"/>
        </w:rPr>
        <w:t> </w:t>
      </w:r>
      <w:r>
        <w:rPr>
          <w:sz w:val="24"/>
        </w:rPr>
        <w:t>ecosystem</w:t>
      </w:r>
      <w:r>
        <w:rPr>
          <w:spacing w:val="14"/>
          <w:sz w:val="24"/>
        </w:rPr>
        <w:t> </w:t>
      </w:r>
      <w:r>
        <w:rPr>
          <w:sz w:val="24"/>
        </w:rPr>
        <w:t>engineers.</w:t>
      </w:r>
    </w:p>
    <w:p>
      <w:pPr>
        <w:pStyle w:val="BodyText"/>
        <w:spacing w:before="10"/>
        <w:rPr>
          <w:sz w:val="23"/>
        </w:rPr>
      </w:pPr>
    </w:p>
    <w:p>
      <w:pPr>
        <w:spacing w:before="0"/>
        <w:ind w:left="873" w:right="120" w:firstLine="0"/>
        <w:jc w:val="left"/>
        <w:rPr>
          <w:sz w:val="24"/>
        </w:rPr>
      </w:pPr>
      <w:r>
        <w:rPr>
          <w:i/>
          <w:sz w:val="24"/>
        </w:rPr>
        <w:t>Oikos </w:t>
      </w:r>
      <w:r>
        <w:rPr>
          <w:sz w:val="24"/>
        </w:rPr>
        <w:t>69: 373-386.</w:t>
      </w:r>
    </w:p>
    <w:p>
      <w:pPr>
        <w:pStyle w:val="BodyText"/>
        <w:spacing w:before="2"/>
      </w:pPr>
    </w:p>
    <w:p>
      <w:pPr>
        <w:pStyle w:val="ListParagraph"/>
        <w:numPr>
          <w:ilvl w:val="1"/>
          <w:numId w:val="7"/>
        </w:numPr>
        <w:tabs>
          <w:tab w:pos="859" w:val="left" w:leader="none"/>
        </w:tabs>
        <w:spacing w:line="460" w:lineRule="auto" w:before="0" w:after="0"/>
        <w:ind w:left="873" w:right="128" w:hanging="360"/>
        <w:jc w:val="both"/>
        <w:rPr>
          <w:rFonts w:ascii="Symbol"/>
          <w:sz w:val="24"/>
        </w:rPr>
      </w:pPr>
      <w:r>
        <w:rPr>
          <w:sz w:val="24"/>
        </w:rPr>
        <w:t>Jones C.G., Lawton J.H. &amp; Shachk M. (1997) Positive and negative effects </w:t>
      </w:r>
      <w:r>
        <w:rPr>
          <w:spacing w:val="4"/>
          <w:sz w:val="24"/>
        </w:rPr>
        <w:t>of </w:t>
      </w:r>
      <w:r>
        <w:rPr>
          <w:sz w:val="24"/>
        </w:rPr>
        <w:t>organisms as physical ecosystem engineers. </w:t>
      </w:r>
      <w:r>
        <w:rPr>
          <w:i/>
          <w:sz w:val="24"/>
        </w:rPr>
        <w:t>Ecology </w:t>
      </w:r>
      <w:r>
        <w:rPr>
          <w:sz w:val="24"/>
        </w:rPr>
        <w:t>78(7):</w:t>
      </w:r>
      <w:r>
        <w:rPr>
          <w:spacing w:val="-18"/>
          <w:sz w:val="24"/>
        </w:rPr>
        <w:t> </w:t>
      </w:r>
      <w:r>
        <w:rPr>
          <w:sz w:val="24"/>
        </w:rPr>
        <w:t>1946-1957.</w:t>
      </w:r>
    </w:p>
    <w:p>
      <w:pPr>
        <w:spacing w:after="0" w:line="460" w:lineRule="auto"/>
        <w:jc w:val="both"/>
        <w:rPr>
          <w:rFonts w:ascii="Symbol"/>
          <w:sz w:val="24"/>
        </w:rPr>
        <w:sectPr>
          <w:pgSz w:w="12240" w:h="15840"/>
          <w:pgMar w:header="0" w:footer="1304" w:top="1500" w:bottom="1560" w:left="1720" w:right="1400"/>
        </w:sectPr>
      </w:pPr>
    </w:p>
    <w:p>
      <w:pPr>
        <w:pStyle w:val="BodyText"/>
        <w:rPr>
          <w:sz w:val="22"/>
        </w:rPr>
      </w:pPr>
    </w:p>
    <w:p>
      <w:pPr>
        <w:pStyle w:val="ListParagraph"/>
        <w:numPr>
          <w:ilvl w:val="1"/>
          <w:numId w:val="7"/>
        </w:numPr>
        <w:tabs>
          <w:tab w:pos="859" w:val="left" w:leader="none"/>
        </w:tabs>
        <w:spacing w:line="470" w:lineRule="auto" w:before="55" w:after="0"/>
        <w:ind w:left="873" w:right="108" w:hanging="360"/>
        <w:jc w:val="both"/>
        <w:rPr>
          <w:rFonts w:ascii="Symbol"/>
          <w:sz w:val="24"/>
        </w:rPr>
      </w:pPr>
      <w:r>
        <w:rPr>
          <w:sz w:val="24"/>
        </w:rPr>
        <w:t>Kavaliers M., Choleris E. &amp; Pfaff D.W. (2005) Recognition and avoidance of the odors of parasitized conspecifics and predators: Differential genomic correlates. </w:t>
      </w:r>
      <w:r>
        <w:rPr>
          <w:i/>
          <w:sz w:val="24"/>
        </w:rPr>
        <w:t>Neuroscience &amp; Bio behavioral Reviews </w:t>
      </w:r>
      <w:r>
        <w:rPr>
          <w:sz w:val="24"/>
        </w:rPr>
        <w:t>29(8):</w:t>
      </w:r>
      <w:r>
        <w:rPr>
          <w:spacing w:val="-8"/>
          <w:sz w:val="24"/>
        </w:rPr>
        <w:t> </w:t>
      </w:r>
      <w:r>
        <w:rPr>
          <w:sz w:val="24"/>
        </w:rPr>
        <w:t>1357-1359.</w:t>
      </w:r>
    </w:p>
    <w:p>
      <w:pPr>
        <w:pStyle w:val="ListParagraph"/>
        <w:numPr>
          <w:ilvl w:val="1"/>
          <w:numId w:val="7"/>
        </w:numPr>
        <w:tabs>
          <w:tab w:pos="859" w:val="left" w:leader="none"/>
        </w:tabs>
        <w:spacing w:line="475" w:lineRule="auto" w:before="23" w:after="0"/>
        <w:ind w:left="873" w:right="107" w:hanging="360"/>
        <w:jc w:val="both"/>
        <w:rPr>
          <w:rFonts w:ascii="Symbol"/>
          <w:sz w:val="24"/>
        </w:rPr>
      </w:pPr>
      <w:r>
        <w:rPr>
          <w:sz w:val="24"/>
        </w:rPr>
        <w:t>Kennedy C.R. (1990) Helminthes communities </w:t>
      </w:r>
      <w:r>
        <w:rPr>
          <w:spacing w:val="-3"/>
          <w:sz w:val="24"/>
        </w:rPr>
        <w:t>in </w:t>
      </w:r>
      <w:r>
        <w:rPr>
          <w:sz w:val="24"/>
        </w:rPr>
        <w:t>freshwater </w:t>
      </w:r>
      <w:r>
        <w:rPr>
          <w:spacing w:val="-3"/>
          <w:sz w:val="24"/>
        </w:rPr>
        <w:t>fish: </w:t>
      </w:r>
      <w:r>
        <w:rPr>
          <w:sz w:val="24"/>
        </w:rPr>
        <w:t>structured communities or stochastic assemblages. In: Esch G.W., A.O. Bush and J.M. (eds.) </w:t>
      </w:r>
      <w:r>
        <w:rPr>
          <w:i/>
          <w:sz w:val="24"/>
        </w:rPr>
        <w:t>Parasite Communities Patterns and Processes</w:t>
      </w:r>
      <w:r>
        <w:rPr>
          <w:sz w:val="24"/>
        </w:rPr>
        <w:t>. London, NE: Chapman and Hall, pp. 130-156.</w:t>
      </w:r>
    </w:p>
    <w:p>
      <w:pPr>
        <w:pStyle w:val="ListParagraph"/>
        <w:numPr>
          <w:ilvl w:val="1"/>
          <w:numId w:val="7"/>
        </w:numPr>
        <w:tabs>
          <w:tab w:pos="859" w:val="left" w:leader="none"/>
        </w:tabs>
        <w:spacing w:line="472" w:lineRule="auto" w:before="18" w:after="0"/>
        <w:ind w:left="873" w:right="105" w:hanging="360"/>
        <w:jc w:val="both"/>
        <w:rPr>
          <w:rFonts w:ascii="Symbol" w:hAnsi="Symbol"/>
          <w:sz w:val="24"/>
        </w:rPr>
      </w:pPr>
      <w:r>
        <w:rPr>
          <w:sz w:val="24"/>
        </w:rPr>
        <w:t>Kirchner J.W. and </w:t>
      </w:r>
      <w:r>
        <w:rPr>
          <w:spacing w:val="2"/>
          <w:sz w:val="24"/>
        </w:rPr>
        <w:t>Roy </w:t>
      </w:r>
      <w:r>
        <w:rPr>
          <w:sz w:val="24"/>
        </w:rPr>
        <w:t>B.A. (1999) The evolutionary advantages of dying young: epidemiological implications of longevity </w:t>
      </w:r>
      <w:r>
        <w:rPr>
          <w:spacing w:val="-3"/>
          <w:sz w:val="24"/>
        </w:rPr>
        <w:t>in </w:t>
      </w:r>
      <w:r>
        <w:rPr>
          <w:sz w:val="24"/>
        </w:rPr>
        <w:t>metapopulations. </w:t>
      </w:r>
      <w:r>
        <w:rPr>
          <w:i/>
          <w:sz w:val="24"/>
        </w:rPr>
        <w:t>The American </w:t>
      </w:r>
      <w:r>
        <w:rPr>
          <w:i/>
          <w:sz w:val="24"/>
        </w:rPr>
        <w:t>Naturalist </w:t>
      </w:r>
      <w:r>
        <w:rPr>
          <w:sz w:val="24"/>
        </w:rPr>
        <w:t>154:</w:t>
      </w:r>
      <w:r>
        <w:rPr>
          <w:spacing w:val="-3"/>
          <w:sz w:val="24"/>
        </w:rPr>
        <w:t> </w:t>
      </w:r>
      <w:r>
        <w:rPr>
          <w:sz w:val="24"/>
        </w:rPr>
        <w:t>140–159.</w:t>
      </w:r>
    </w:p>
    <w:p>
      <w:pPr>
        <w:pStyle w:val="ListParagraph"/>
        <w:numPr>
          <w:ilvl w:val="1"/>
          <w:numId w:val="7"/>
        </w:numPr>
        <w:tabs>
          <w:tab w:pos="859" w:val="left" w:leader="none"/>
        </w:tabs>
        <w:spacing w:line="470" w:lineRule="auto" w:before="20" w:after="0"/>
        <w:ind w:left="873" w:right="100" w:hanging="360"/>
        <w:jc w:val="both"/>
        <w:rPr>
          <w:rFonts w:ascii="Symbol" w:hAnsi="Symbol"/>
          <w:sz w:val="24"/>
        </w:rPr>
      </w:pPr>
      <w:r>
        <w:rPr>
          <w:sz w:val="24"/>
        </w:rPr>
        <w:t>Krist A.C. (2006) Prevalence of parasites does not predict age </w:t>
      </w:r>
      <w:r>
        <w:rPr>
          <w:spacing w:val="-3"/>
          <w:sz w:val="24"/>
        </w:rPr>
        <w:t>at first </w:t>
      </w:r>
      <w:r>
        <w:rPr>
          <w:sz w:val="24"/>
        </w:rPr>
        <w:t>reproduction  or reproductive output </w:t>
      </w:r>
      <w:r>
        <w:rPr>
          <w:spacing w:val="-5"/>
          <w:sz w:val="24"/>
        </w:rPr>
        <w:t>in </w:t>
      </w:r>
      <w:r>
        <w:rPr>
          <w:sz w:val="24"/>
        </w:rPr>
        <w:t>the freshwater </w:t>
      </w:r>
      <w:r>
        <w:rPr>
          <w:spacing w:val="-3"/>
          <w:sz w:val="24"/>
        </w:rPr>
        <w:t>snail, </w:t>
      </w:r>
      <w:r>
        <w:rPr>
          <w:i/>
          <w:sz w:val="24"/>
        </w:rPr>
        <w:t>Helisoma anceps. Evolutionary </w:t>
      </w:r>
      <w:r>
        <w:rPr>
          <w:i/>
          <w:sz w:val="24"/>
        </w:rPr>
        <w:t>Ecology Research </w:t>
      </w:r>
      <w:r>
        <w:rPr>
          <w:sz w:val="24"/>
        </w:rPr>
        <w:t>8:</w:t>
      </w:r>
      <w:r>
        <w:rPr>
          <w:spacing w:val="-2"/>
          <w:sz w:val="24"/>
        </w:rPr>
        <w:t> </w:t>
      </w:r>
      <w:r>
        <w:rPr>
          <w:sz w:val="24"/>
        </w:rPr>
        <w:t>753–763.</w:t>
      </w:r>
    </w:p>
    <w:p>
      <w:pPr>
        <w:pStyle w:val="ListParagraph"/>
        <w:numPr>
          <w:ilvl w:val="1"/>
          <w:numId w:val="7"/>
        </w:numPr>
        <w:tabs>
          <w:tab w:pos="859" w:val="left" w:leader="none"/>
        </w:tabs>
        <w:spacing w:line="465" w:lineRule="auto" w:before="23" w:after="0"/>
        <w:ind w:left="873" w:right="99" w:hanging="360"/>
        <w:jc w:val="both"/>
        <w:rPr>
          <w:rFonts w:ascii="Symbol"/>
          <w:sz w:val="24"/>
        </w:rPr>
      </w:pPr>
      <w:r>
        <w:rPr>
          <w:sz w:val="24"/>
        </w:rPr>
        <w:t>Kulkarni S. and Heeb P. (2007) Social and sexual behaviors </w:t>
      </w:r>
      <w:r>
        <w:rPr>
          <w:spacing w:val="-3"/>
          <w:sz w:val="24"/>
        </w:rPr>
        <w:t>aid </w:t>
      </w:r>
      <w:r>
        <w:rPr>
          <w:sz w:val="24"/>
        </w:rPr>
        <w:t>transmission </w:t>
      </w:r>
      <w:r>
        <w:rPr>
          <w:spacing w:val="4"/>
          <w:sz w:val="24"/>
        </w:rPr>
        <w:t>of </w:t>
      </w:r>
      <w:r>
        <w:rPr>
          <w:sz w:val="24"/>
        </w:rPr>
        <w:t>bacteria </w:t>
      </w:r>
      <w:r>
        <w:rPr>
          <w:spacing w:val="-3"/>
          <w:sz w:val="24"/>
        </w:rPr>
        <w:t>in </w:t>
      </w:r>
      <w:r>
        <w:rPr>
          <w:sz w:val="24"/>
        </w:rPr>
        <w:t>birds. </w:t>
      </w:r>
      <w:r>
        <w:rPr>
          <w:i/>
          <w:sz w:val="24"/>
        </w:rPr>
        <w:t>Behavioural Processes </w:t>
      </w:r>
      <w:r>
        <w:rPr>
          <w:sz w:val="24"/>
        </w:rPr>
        <w:t>74(1):</w:t>
      </w:r>
      <w:r>
        <w:rPr>
          <w:spacing w:val="3"/>
          <w:sz w:val="24"/>
        </w:rPr>
        <w:t> </w:t>
      </w:r>
      <w:r>
        <w:rPr>
          <w:sz w:val="24"/>
        </w:rPr>
        <w:t>88-92.</w:t>
      </w:r>
    </w:p>
    <w:p>
      <w:pPr>
        <w:pStyle w:val="ListParagraph"/>
        <w:numPr>
          <w:ilvl w:val="1"/>
          <w:numId w:val="7"/>
        </w:numPr>
        <w:tabs>
          <w:tab w:pos="859" w:val="left" w:leader="none"/>
        </w:tabs>
        <w:spacing w:line="470" w:lineRule="auto" w:before="28" w:after="0"/>
        <w:ind w:left="873" w:right="101" w:hanging="360"/>
        <w:jc w:val="both"/>
        <w:rPr>
          <w:rFonts w:ascii="Symbol"/>
          <w:sz w:val="24"/>
        </w:rPr>
      </w:pPr>
      <w:r>
        <w:rPr>
          <w:sz w:val="24"/>
        </w:rPr>
        <w:t>Kulbicki M., Mouthan G., Thollot P. and Wantiez L. (1993) Length-weight relationships </w:t>
      </w:r>
      <w:r>
        <w:rPr>
          <w:spacing w:val="4"/>
          <w:sz w:val="24"/>
        </w:rPr>
        <w:t>of </w:t>
      </w:r>
      <w:r>
        <w:rPr>
          <w:sz w:val="24"/>
        </w:rPr>
        <w:t>fish from the Lagoon of New Caledonia. Naga, </w:t>
      </w:r>
      <w:r>
        <w:rPr>
          <w:i/>
          <w:sz w:val="24"/>
        </w:rPr>
        <w:t>ICLARM </w:t>
      </w:r>
      <w:r>
        <w:rPr>
          <w:i/>
          <w:spacing w:val="-3"/>
          <w:sz w:val="24"/>
        </w:rPr>
        <w:t>Q, </w:t>
      </w:r>
      <w:r>
        <w:rPr>
          <w:sz w:val="24"/>
        </w:rPr>
        <w:t>16 (2/3):</w:t>
      </w:r>
      <w:r>
        <w:rPr>
          <w:spacing w:val="1"/>
          <w:sz w:val="24"/>
        </w:rPr>
        <w:t> </w:t>
      </w:r>
      <w:r>
        <w:rPr>
          <w:sz w:val="24"/>
        </w:rPr>
        <w:t>26-30.</w:t>
      </w:r>
    </w:p>
    <w:p>
      <w:pPr>
        <w:pStyle w:val="ListParagraph"/>
        <w:numPr>
          <w:ilvl w:val="1"/>
          <w:numId w:val="7"/>
        </w:numPr>
        <w:tabs>
          <w:tab w:pos="859" w:val="left" w:leader="none"/>
        </w:tabs>
        <w:spacing w:line="465" w:lineRule="auto" w:before="23" w:after="0"/>
        <w:ind w:left="873" w:right="101" w:hanging="360"/>
        <w:jc w:val="both"/>
        <w:rPr>
          <w:rFonts w:ascii="Symbol" w:hAnsi="Symbol"/>
          <w:sz w:val="24"/>
        </w:rPr>
      </w:pPr>
      <w:r>
        <w:rPr>
          <w:sz w:val="24"/>
        </w:rPr>
        <w:t>Lafferty K.D &amp; Kuris A.M. (2005). Trophic strategies, animal diversity and body size. </w:t>
      </w:r>
      <w:r>
        <w:rPr>
          <w:i/>
          <w:sz w:val="24"/>
        </w:rPr>
        <w:t>Trends in Ecology and Evolution </w:t>
      </w:r>
      <w:r>
        <w:rPr>
          <w:sz w:val="24"/>
        </w:rPr>
        <w:t>17,</w:t>
      </w:r>
      <w:r>
        <w:rPr>
          <w:spacing w:val="-10"/>
          <w:sz w:val="24"/>
        </w:rPr>
        <w:t> </w:t>
      </w:r>
      <w:r>
        <w:rPr>
          <w:sz w:val="24"/>
        </w:rPr>
        <w:t>507–513.</w:t>
      </w:r>
    </w:p>
    <w:p>
      <w:pPr>
        <w:pStyle w:val="ListParagraph"/>
        <w:numPr>
          <w:ilvl w:val="1"/>
          <w:numId w:val="7"/>
        </w:numPr>
        <w:tabs>
          <w:tab w:pos="859" w:val="left" w:leader="none"/>
        </w:tabs>
        <w:spacing w:line="460" w:lineRule="auto" w:before="28" w:after="0"/>
        <w:ind w:left="873" w:right="104" w:hanging="360"/>
        <w:jc w:val="both"/>
        <w:rPr>
          <w:rFonts w:ascii="Symbol"/>
          <w:sz w:val="24"/>
        </w:rPr>
      </w:pPr>
      <w:r>
        <w:rPr>
          <w:sz w:val="24"/>
        </w:rPr>
        <w:t>Leonardos I. &amp; Trilles J.P. (2003) Host-parasite relationships occurrence and effect of the parasitic  isopod Mothocyaepimerica on </w:t>
      </w:r>
      <w:r>
        <w:rPr>
          <w:spacing w:val="-3"/>
          <w:sz w:val="24"/>
        </w:rPr>
        <w:t>sand  </w:t>
      </w:r>
      <w:r>
        <w:rPr>
          <w:sz w:val="24"/>
        </w:rPr>
        <w:t>smelt  </w:t>
      </w:r>
      <w:r>
        <w:rPr>
          <w:i/>
          <w:sz w:val="24"/>
        </w:rPr>
        <w:t>Atherina  boyeri  </w:t>
      </w:r>
      <w:r>
        <w:rPr>
          <w:spacing w:val="-3"/>
          <w:sz w:val="24"/>
        </w:rPr>
        <w:t>in  </w:t>
      </w:r>
      <w:r>
        <w:rPr>
          <w:spacing w:val="48"/>
          <w:sz w:val="24"/>
        </w:rPr>
        <w:t> </w:t>
      </w:r>
      <w:r>
        <w:rPr>
          <w:sz w:val="24"/>
        </w:rPr>
        <w:t>the</w:t>
      </w:r>
    </w:p>
    <w:p>
      <w:pPr>
        <w:spacing w:after="0" w:line="460" w:lineRule="auto"/>
        <w:jc w:val="both"/>
        <w:rPr>
          <w:rFonts w:ascii="Symbol"/>
          <w:sz w:val="24"/>
        </w:rPr>
        <w:sectPr>
          <w:pgSz w:w="12240" w:h="15840"/>
          <w:pgMar w:header="0" w:footer="1304" w:top="1500" w:bottom="1560" w:left="1720" w:right="1420"/>
        </w:sectPr>
      </w:pPr>
    </w:p>
    <w:p>
      <w:pPr>
        <w:pStyle w:val="BodyText"/>
        <w:spacing w:before="7"/>
        <w:rPr>
          <w:sz w:val="20"/>
        </w:rPr>
      </w:pPr>
    </w:p>
    <w:p>
      <w:pPr>
        <w:spacing w:line="480" w:lineRule="auto" w:before="69"/>
        <w:ind w:left="873" w:right="121" w:firstLine="0"/>
        <w:jc w:val="left"/>
        <w:rPr>
          <w:sz w:val="24"/>
        </w:rPr>
      </w:pPr>
      <w:r>
        <w:rPr>
          <w:sz w:val="24"/>
        </w:rPr>
        <w:t>Mesologi and Etolikon Lagoons (W. Greece). </w:t>
      </w:r>
      <w:r>
        <w:rPr>
          <w:i/>
          <w:sz w:val="24"/>
        </w:rPr>
        <w:t>Diseases of Aquatic Organisms </w:t>
      </w:r>
      <w:r>
        <w:rPr>
          <w:sz w:val="24"/>
        </w:rPr>
        <w:t>54(3): 243-251.</w:t>
      </w:r>
    </w:p>
    <w:p>
      <w:pPr>
        <w:pStyle w:val="ListParagraph"/>
        <w:numPr>
          <w:ilvl w:val="1"/>
          <w:numId w:val="7"/>
        </w:numPr>
        <w:tabs>
          <w:tab w:pos="859" w:val="left" w:leader="none"/>
        </w:tabs>
        <w:spacing w:line="470" w:lineRule="auto" w:before="12" w:after="0"/>
        <w:ind w:left="873" w:right="112" w:hanging="360"/>
        <w:jc w:val="both"/>
        <w:rPr>
          <w:rFonts w:ascii="Symbol" w:hAnsi="Symbol"/>
          <w:sz w:val="24"/>
        </w:rPr>
      </w:pPr>
      <w:r>
        <w:rPr>
          <w:sz w:val="24"/>
        </w:rPr>
        <w:t>Lebarbenchon C., Poulin R. &amp; Thomas F. (2009) Parasitism, biodiversity, and conservation biology. In F. Thomas, J.F. Guégan &amp; F. Renaud (eds.) </w:t>
      </w:r>
      <w:r>
        <w:rPr>
          <w:i/>
          <w:sz w:val="24"/>
        </w:rPr>
        <w:t>Ecology &amp; </w:t>
      </w:r>
      <w:r>
        <w:rPr>
          <w:i/>
          <w:sz w:val="24"/>
        </w:rPr>
        <w:t>Evolution </w:t>
      </w:r>
      <w:r>
        <w:rPr>
          <w:i/>
          <w:spacing w:val="-3"/>
          <w:sz w:val="24"/>
        </w:rPr>
        <w:t>of </w:t>
      </w:r>
      <w:r>
        <w:rPr>
          <w:i/>
          <w:sz w:val="24"/>
        </w:rPr>
        <w:t>Parasitism</w:t>
      </w:r>
      <w:r>
        <w:rPr>
          <w:sz w:val="24"/>
        </w:rPr>
        <w:t>. New York, EUA: Oxford University Press, pp.</w:t>
      </w:r>
      <w:r>
        <w:rPr>
          <w:spacing w:val="-9"/>
          <w:sz w:val="24"/>
        </w:rPr>
        <w:t> </w:t>
      </w:r>
      <w:r>
        <w:rPr>
          <w:sz w:val="24"/>
        </w:rPr>
        <w:t>149-158.</w:t>
      </w:r>
    </w:p>
    <w:p>
      <w:pPr>
        <w:pStyle w:val="ListParagraph"/>
        <w:numPr>
          <w:ilvl w:val="1"/>
          <w:numId w:val="7"/>
        </w:numPr>
        <w:tabs>
          <w:tab w:pos="859" w:val="left" w:leader="none"/>
        </w:tabs>
        <w:spacing w:line="472" w:lineRule="auto" w:before="23" w:after="0"/>
        <w:ind w:left="873" w:right="129" w:hanging="360"/>
        <w:jc w:val="both"/>
        <w:rPr>
          <w:rFonts w:ascii="Symbol" w:hAnsi="Symbol"/>
          <w:sz w:val="24"/>
        </w:rPr>
      </w:pPr>
      <w:r>
        <w:rPr>
          <w:sz w:val="24"/>
        </w:rPr>
        <w:t>León-Règagnon V. (1992) Fauna helmintológica de algunos vertebrados acuáticos de </w:t>
      </w:r>
      <w:r>
        <w:rPr>
          <w:spacing w:val="-3"/>
          <w:sz w:val="24"/>
        </w:rPr>
        <w:t>la </w:t>
      </w:r>
      <w:r>
        <w:rPr>
          <w:sz w:val="24"/>
        </w:rPr>
        <w:t>ciénaga de Lerma, México. </w:t>
      </w:r>
      <w:r>
        <w:rPr>
          <w:i/>
          <w:sz w:val="24"/>
        </w:rPr>
        <w:t>Anales del Instituto de Biología, Universidad </w:t>
      </w:r>
      <w:r>
        <w:rPr>
          <w:i/>
          <w:sz w:val="24"/>
        </w:rPr>
        <w:t>Nacional Autónoma de México. Serie zoología</w:t>
      </w:r>
      <w:r>
        <w:rPr>
          <w:i/>
          <w:spacing w:val="-11"/>
          <w:sz w:val="24"/>
        </w:rPr>
        <w:t> </w:t>
      </w:r>
      <w:r>
        <w:rPr>
          <w:sz w:val="24"/>
        </w:rPr>
        <w:t>63:151–153</w:t>
      </w:r>
    </w:p>
    <w:p>
      <w:pPr>
        <w:pStyle w:val="ListParagraph"/>
        <w:numPr>
          <w:ilvl w:val="1"/>
          <w:numId w:val="7"/>
        </w:numPr>
        <w:tabs>
          <w:tab w:pos="859" w:val="left" w:leader="none"/>
        </w:tabs>
        <w:spacing w:line="472" w:lineRule="auto" w:before="20" w:after="0"/>
        <w:ind w:left="873" w:right="129" w:hanging="360"/>
        <w:jc w:val="both"/>
        <w:rPr>
          <w:rFonts w:ascii="Symbol" w:hAnsi="Symbol"/>
          <w:sz w:val="24"/>
        </w:rPr>
      </w:pPr>
      <w:r>
        <w:rPr>
          <w:sz w:val="24"/>
        </w:rPr>
        <w:t>López-Jiménez S. (1981) Cestodos de peces </w:t>
      </w:r>
      <w:r>
        <w:rPr>
          <w:i/>
          <w:sz w:val="24"/>
        </w:rPr>
        <w:t>I. Bothriocephalus (Clestobothrium) </w:t>
      </w:r>
      <w:r>
        <w:rPr>
          <w:i/>
          <w:sz w:val="24"/>
        </w:rPr>
        <w:t>acheilognathi </w:t>
      </w:r>
      <w:r>
        <w:rPr>
          <w:sz w:val="24"/>
        </w:rPr>
        <w:t>(Cestoda: Bothriocephalidae). Anales del Instituto de Biología Universidad Nacional Autónoma de México, </w:t>
      </w:r>
      <w:r>
        <w:rPr>
          <w:spacing w:val="-3"/>
          <w:sz w:val="24"/>
        </w:rPr>
        <w:t>Serie </w:t>
      </w:r>
      <w:r>
        <w:rPr>
          <w:sz w:val="24"/>
        </w:rPr>
        <w:t>Zoología 51:</w:t>
      </w:r>
      <w:r>
        <w:rPr>
          <w:spacing w:val="-3"/>
          <w:sz w:val="24"/>
        </w:rPr>
        <w:t> </w:t>
      </w:r>
      <w:r>
        <w:rPr>
          <w:sz w:val="24"/>
        </w:rPr>
        <w:t>69-84.</w:t>
      </w:r>
    </w:p>
    <w:p>
      <w:pPr>
        <w:pStyle w:val="ListParagraph"/>
        <w:numPr>
          <w:ilvl w:val="1"/>
          <w:numId w:val="7"/>
        </w:numPr>
        <w:tabs>
          <w:tab w:pos="858" w:val="left" w:leader="none"/>
          <w:tab w:pos="859" w:val="left" w:leader="none"/>
        </w:tabs>
        <w:spacing w:line="240" w:lineRule="auto" w:before="20" w:after="0"/>
        <w:ind w:left="858" w:right="0" w:hanging="345"/>
        <w:jc w:val="left"/>
        <w:rPr>
          <w:rFonts w:ascii="Symbol" w:hAnsi="Symbol"/>
          <w:sz w:val="24"/>
        </w:rPr>
      </w:pPr>
      <w:r>
        <w:rPr>
          <w:sz w:val="24"/>
        </w:rPr>
        <w:t>Macías-García  C.,  1991.  Sexual  behavior  and  trade-offs  </w:t>
      </w:r>
      <w:r>
        <w:rPr>
          <w:spacing w:val="-3"/>
          <w:sz w:val="24"/>
        </w:rPr>
        <w:t>in  </w:t>
      </w:r>
      <w:r>
        <w:rPr>
          <w:sz w:val="24"/>
        </w:rPr>
        <w:t>the  viviparous  </w:t>
      </w:r>
      <w:r>
        <w:rPr>
          <w:spacing w:val="5"/>
          <w:sz w:val="24"/>
        </w:rPr>
        <w:t> </w:t>
      </w:r>
      <w:r>
        <w:rPr>
          <w:sz w:val="24"/>
        </w:rPr>
        <w:t>fish</w:t>
      </w:r>
    </w:p>
    <w:p>
      <w:pPr>
        <w:pStyle w:val="BodyText"/>
        <w:spacing w:before="5"/>
        <w:rPr>
          <w:sz w:val="23"/>
        </w:rPr>
      </w:pPr>
    </w:p>
    <w:p>
      <w:pPr>
        <w:spacing w:before="1"/>
        <w:ind w:left="873" w:right="120" w:firstLine="0"/>
        <w:jc w:val="left"/>
        <w:rPr>
          <w:sz w:val="24"/>
        </w:rPr>
      </w:pPr>
      <w:r>
        <w:rPr>
          <w:i/>
          <w:sz w:val="24"/>
        </w:rPr>
        <w:t>Girardinichthys multiradiatus</w:t>
      </w:r>
      <w:r>
        <w:rPr>
          <w:sz w:val="24"/>
        </w:rPr>
        <w:t>. D. Phil. Thesis, University of East Anglia.</w:t>
      </w:r>
    </w:p>
    <w:p>
      <w:pPr>
        <w:pStyle w:val="BodyText"/>
        <w:spacing w:before="2"/>
      </w:pPr>
    </w:p>
    <w:p>
      <w:pPr>
        <w:pStyle w:val="ListParagraph"/>
        <w:numPr>
          <w:ilvl w:val="1"/>
          <w:numId w:val="7"/>
        </w:numPr>
        <w:tabs>
          <w:tab w:pos="859" w:val="left" w:leader="none"/>
        </w:tabs>
        <w:spacing w:line="465" w:lineRule="auto" w:before="0" w:after="0"/>
        <w:ind w:left="873" w:right="132" w:hanging="360"/>
        <w:jc w:val="both"/>
        <w:rPr>
          <w:rFonts w:ascii="Symbol" w:hAnsi="Symbol"/>
          <w:sz w:val="24"/>
        </w:rPr>
      </w:pPr>
      <w:r>
        <w:rPr>
          <w:sz w:val="24"/>
        </w:rPr>
        <w:t>Macías-Garcia C. &amp; Burt de Perera T. (2002) Ultraviolet based female preferences </w:t>
      </w:r>
      <w:r>
        <w:rPr>
          <w:spacing w:val="-3"/>
          <w:sz w:val="24"/>
        </w:rPr>
        <w:t>in </w:t>
      </w:r>
      <w:r>
        <w:rPr>
          <w:sz w:val="24"/>
        </w:rPr>
        <w:t>viviparous </w:t>
      </w:r>
      <w:r>
        <w:rPr>
          <w:spacing w:val="-3"/>
          <w:sz w:val="24"/>
        </w:rPr>
        <w:t>fish. </w:t>
      </w:r>
      <w:r>
        <w:rPr>
          <w:i/>
          <w:sz w:val="24"/>
        </w:rPr>
        <w:t>Behav. Ecol. Sociobiology </w:t>
      </w:r>
      <w:r>
        <w:rPr>
          <w:sz w:val="24"/>
        </w:rPr>
        <w:t>52,</w:t>
      </w:r>
      <w:r>
        <w:rPr>
          <w:spacing w:val="15"/>
          <w:sz w:val="24"/>
        </w:rPr>
        <w:t> </w:t>
      </w:r>
      <w:r>
        <w:rPr>
          <w:sz w:val="24"/>
        </w:rPr>
        <w:t>1-6.</w:t>
      </w:r>
    </w:p>
    <w:p>
      <w:pPr>
        <w:pStyle w:val="ListParagraph"/>
        <w:numPr>
          <w:ilvl w:val="1"/>
          <w:numId w:val="7"/>
        </w:numPr>
        <w:tabs>
          <w:tab w:pos="859" w:val="left" w:leader="none"/>
        </w:tabs>
        <w:spacing w:line="460" w:lineRule="auto" w:before="28" w:after="0"/>
        <w:ind w:left="873" w:right="123" w:hanging="360"/>
        <w:jc w:val="both"/>
        <w:rPr>
          <w:rFonts w:ascii="Symbol"/>
          <w:sz w:val="24"/>
        </w:rPr>
      </w:pPr>
      <w:r>
        <w:rPr>
          <w:sz w:val="24"/>
        </w:rPr>
        <w:t>Markusson E. &amp; Folstad I. (1997) Reindeer antlers: visual indicators of individual quality?. </w:t>
      </w:r>
      <w:r>
        <w:rPr>
          <w:i/>
          <w:sz w:val="24"/>
        </w:rPr>
        <w:t>Oecologia </w:t>
      </w:r>
      <w:r>
        <w:rPr>
          <w:sz w:val="24"/>
        </w:rPr>
        <w:t>110:</w:t>
      </w:r>
      <w:r>
        <w:rPr>
          <w:spacing w:val="-7"/>
          <w:sz w:val="24"/>
        </w:rPr>
        <w:t> </w:t>
      </w:r>
      <w:r>
        <w:rPr>
          <w:sz w:val="24"/>
        </w:rPr>
        <w:t>501-507.</w:t>
      </w:r>
    </w:p>
    <w:p>
      <w:pPr>
        <w:pStyle w:val="ListParagraph"/>
        <w:numPr>
          <w:ilvl w:val="1"/>
          <w:numId w:val="7"/>
        </w:numPr>
        <w:tabs>
          <w:tab w:pos="859" w:val="left" w:leader="none"/>
        </w:tabs>
        <w:spacing w:line="475" w:lineRule="auto" w:before="33" w:after="0"/>
        <w:ind w:left="873" w:right="125" w:hanging="360"/>
        <w:jc w:val="both"/>
        <w:rPr>
          <w:rFonts w:ascii="Symbol" w:hAnsi="Symbol"/>
          <w:sz w:val="24"/>
        </w:rPr>
      </w:pPr>
      <w:r>
        <w:rPr>
          <w:sz w:val="24"/>
        </w:rPr>
        <w:t>Martínez- Fernández y Cordero del Campillo M. (1999) El parasitismo y otras asociaciones biológicas. Parásitos y hospedadores En: Cordero M., </w:t>
      </w:r>
      <w:r>
        <w:rPr>
          <w:spacing w:val="-4"/>
          <w:sz w:val="24"/>
        </w:rPr>
        <w:t>Rojo</w:t>
      </w:r>
      <w:r>
        <w:rPr>
          <w:spacing w:val="52"/>
          <w:sz w:val="24"/>
        </w:rPr>
        <w:t> </w:t>
      </w:r>
      <w:r>
        <w:rPr>
          <w:sz w:val="24"/>
        </w:rPr>
        <w:t>F., Martínez A.R. (edit.) </w:t>
      </w:r>
      <w:r>
        <w:rPr>
          <w:i/>
          <w:sz w:val="24"/>
        </w:rPr>
        <w:t>Parasitología Veterinaria</w:t>
      </w:r>
      <w:r>
        <w:rPr>
          <w:sz w:val="24"/>
        </w:rPr>
        <w:t>. España: Editorial McGraw-Hill. Interamericana, 22-38</w:t>
      </w:r>
      <w:r>
        <w:rPr>
          <w:spacing w:val="-7"/>
          <w:sz w:val="24"/>
        </w:rPr>
        <w:t> </w:t>
      </w:r>
      <w:r>
        <w:rPr>
          <w:sz w:val="24"/>
        </w:rPr>
        <w:t>pp.</w:t>
      </w:r>
    </w:p>
    <w:p>
      <w:pPr>
        <w:pStyle w:val="ListParagraph"/>
        <w:numPr>
          <w:ilvl w:val="1"/>
          <w:numId w:val="7"/>
        </w:numPr>
        <w:tabs>
          <w:tab w:pos="858" w:val="left" w:leader="none"/>
          <w:tab w:pos="859" w:val="left" w:leader="none"/>
        </w:tabs>
        <w:spacing w:line="240" w:lineRule="auto" w:before="17" w:after="0"/>
        <w:ind w:left="858" w:right="0" w:hanging="345"/>
        <w:jc w:val="left"/>
        <w:rPr>
          <w:rFonts w:ascii="Symbol"/>
          <w:sz w:val="24"/>
        </w:rPr>
      </w:pPr>
      <w:r>
        <w:rPr>
          <w:sz w:val="24"/>
        </w:rPr>
        <w:t>Maynard- Smith J. (1999) </w:t>
      </w:r>
      <w:r>
        <w:rPr>
          <w:i/>
          <w:sz w:val="24"/>
        </w:rPr>
        <w:t>Evolutionary genetics</w:t>
      </w:r>
      <w:r>
        <w:rPr>
          <w:sz w:val="24"/>
        </w:rPr>
        <w:t>. EUA: Oxford, 330</w:t>
      </w:r>
      <w:r>
        <w:rPr>
          <w:spacing w:val="-20"/>
          <w:sz w:val="24"/>
        </w:rPr>
        <w:t> </w:t>
      </w:r>
      <w:r>
        <w:rPr>
          <w:sz w:val="24"/>
        </w:rPr>
        <w:t>pp.</w:t>
      </w:r>
    </w:p>
    <w:p>
      <w:pPr>
        <w:spacing w:after="0" w:line="240" w:lineRule="auto"/>
        <w:jc w:val="left"/>
        <w:rPr>
          <w:rFonts w:ascii="Symbol"/>
          <w:sz w:val="24"/>
        </w:rPr>
        <w:sectPr>
          <w:pgSz w:w="12240" w:h="15840"/>
          <w:pgMar w:header="0" w:footer="1304" w:top="1500" w:bottom="1560" w:left="1720" w:right="1400"/>
        </w:sectPr>
      </w:pPr>
    </w:p>
    <w:p>
      <w:pPr>
        <w:pStyle w:val="BodyText"/>
        <w:rPr>
          <w:sz w:val="22"/>
        </w:rPr>
      </w:pPr>
    </w:p>
    <w:p>
      <w:pPr>
        <w:pStyle w:val="ListParagraph"/>
        <w:numPr>
          <w:ilvl w:val="1"/>
          <w:numId w:val="7"/>
        </w:numPr>
        <w:tabs>
          <w:tab w:pos="859" w:val="left" w:leader="none"/>
        </w:tabs>
        <w:spacing w:line="460" w:lineRule="auto" w:before="55" w:after="0"/>
        <w:ind w:left="873" w:right="133" w:hanging="360"/>
        <w:jc w:val="both"/>
        <w:rPr>
          <w:rFonts w:ascii="Symbol"/>
          <w:sz w:val="24"/>
        </w:rPr>
      </w:pPr>
      <w:r>
        <w:rPr>
          <w:sz w:val="24"/>
        </w:rPr>
        <w:t>McCallum H. &amp; Dobson </w:t>
      </w:r>
      <w:r>
        <w:rPr>
          <w:spacing w:val="-3"/>
          <w:sz w:val="24"/>
        </w:rPr>
        <w:t>A. </w:t>
      </w:r>
      <w:r>
        <w:rPr>
          <w:sz w:val="24"/>
        </w:rPr>
        <w:t>(1995) Detecting diseases and parasites threats to endangered species and ecosystems. </w:t>
      </w:r>
      <w:r>
        <w:rPr>
          <w:i/>
          <w:sz w:val="24"/>
        </w:rPr>
        <w:t>Trends in Ecology and Evolution </w:t>
      </w:r>
      <w:r>
        <w:rPr>
          <w:sz w:val="24"/>
        </w:rPr>
        <w:t>10:</w:t>
      </w:r>
      <w:r>
        <w:rPr>
          <w:spacing w:val="-16"/>
          <w:sz w:val="24"/>
        </w:rPr>
        <w:t> </w:t>
      </w:r>
      <w:r>
        <w:rPr>
          <w:sz w:val="24"/>
        </w:rPr>
        <w:t>190-193.</w:t>
      </w:r>
    </w:p>
    <w:p>
      <w:pPr>
        <w:pStyle w:val="ListParagraph"/>
        <w:numPr>
          <w:ilvl w:val="1"/>
          <w:numId w:val="7"/>
        </w:numPr>
        <w:tabs>
          <w:tab w:pos="859" w:val="left" w:leader="none"/>
        </w:tabs>
        <w:spacing w:line="472" w:lineRule="auto" w:before="33" w:after="0"/>
        <w:ind w:left="873" w:right="124" w:hanging="360"/>
        <w:jc w:val="both"/>
        <w:rPr>
          <w:rFonts w:ascii="Symbol" w:hAnsi="Symbol"/>
          <w:sz w:val="24"/>
        </w:rPr>
      </w:pPr>
      <w:r>
        <w:rPr>
          <w:sz w:val="24"/>
        </w:rPr>
        <w:t>Michalakis Y. (2009). Parasitism and the evolution of life-history traits. In: F. Thomas, J.F. Guégan &amp; F. Renaud (eds.) </w:t>
      </w:r>
      <w:r>
        <w:rPr>
          <w:i/>
          <w:sz w:val="24"/>
        </w:rPr>
        <w:t>Ecology &amp; Evolution of Parasitism</w:t>
      </w:r>
      <w:r>
        <w:rPr>
          <w:sz w:val="24"/>
        </w:rPr>
        <w:t>. New York, EUA: Oxford University Press, pp.</w:t>
      </w:r>
      <w:r>
        <w:rPr>
          <w:spacing w:val="-10"/>
          <w:sz w:val="24"/>
        </w:rPr>
        <w:t> </w:t>
      </w:r>
      <w:r>
        <w:rPr>
          <w:sz w:val="24"/>
        </w:rPr>
        <w:t>19-28.</w:t>
      </w:r>
    </w:p>
    <w:p>
      <w:pPr>
        <w:pStyle w:val="ListParagraph"/>
        <w:numPr>
          <w:ilvl w:val="1"/>
          <w:numId w:val="7"/>
        </w:numPr>
        <w:tabs>
          <w:tab w:pos="858" w:val="left" w:leader="none"/>
          <w:tab w:pos="859" w:val="left" w:leader="none"/>
        </w:tabs>
        <w:spacing w:line="240" w:lineRule="auto" w:before="20" w:after="0"/>
        <w:ind w:left="858" w:right="0" w:hanging="345"/>
        <w:jc w:val="left"/>
        <w:rPr>
          <w:rFonts w:ascii="Symbol"/>
          <w:sz w:val="24"/>
        </w:rPr>
      </w:pPr>
      <w:r>
        <w:rPr>
          <w:sz w:val="24"/>
        </w:rPr>
        <w:t>Miller</w:t>
      </w:r>
      <w:r>
        <w:rPr>
          <w:spacing w:val="19"/>
          <w:sz w:val="24"/>
        </w:rPr>
        <w:t> </w:t>
      </w:r>
      <w:r>
        <w:rPr>
          <w:sz w:val="24"/>
        </w:rPr>
        <w:t>R.</w:t>
      </w:r>
      <w:r>
        <w:rPr>
          <w:spacing w:val="19"/>
          <w:sz w:val="24"/>
        </w:rPr>
        <w:t> </w:t>
      </w:r>
      <w:r>
        <w:rPr>
          <w:sz w:val="24"/>
        </w:rPr>
        <w:t>R.,</w:t>
      </w:r>
      <w:r>
        <w:rPr>
          <w:spacing w:val="15"/>
          <w:sz w:val="24"/>
        </w:rPr>
        <w:t> </w:t>
      </w:r>
      <w:r>
        <w:rPr>
          <w:sz w:val="24"/>
        </w:rPr>
        <w:t>Minckley</w:t>
      </w:r>
      <w:r>
        <w:rPr>
          <w:spacing w:val="18"/>
          <w:sz w:val="24"/>
        </w:rPr>
        <w:t> </w:t>
      </w:r>
      <w:r>
        <w:rPr>
          <w:spacing w:val="-3"/>
          <w:sz w:val="24"/>
        </w:rPr>
        <w:t>W.</w:t>
      </w:r>
      <w:r>
        <w:rPr>
          <w:spacing w:val="19"/>
          <w:sz w:val="24"/>
        </w:rPr>
        <w:t> </w:t>
      </w:r>
      <w:r>
        <w:rPr>
          <w:sz w:val="24"/>
        </w:rPr>
        <w:t>L.</w:t>
      </w:r>
      <w:r>
        <w:rPr>
          <w:spacing w:val="19"/>
          <w:sz w:val="24"/>
        </w:rPr>
        <w:t> </w:t>
      </w:r>
      <w:r>
        <w:rPr>
          <w:sz w:val="24"/>
        </w:rPr>
        <w:t>&amp;</w:t>
      </w:r>
      <w:r>
        <w:rPr>
          <w:spacing w:val="14"/>
          <w:sz w:val="24"/>
        </w:rPr>
        <w:t> </w:t>
      </w:r>
      <w:r>
        <w:rPr>
          <w:sz w:val="24"/>
        </w:rPr>
        <w:t>Norris</w:t>
      </w:r>
      <w:r>
        <w:rPr>
          <w:spacing w:val="16"/>
          <w:sz w:val="24"/>
        </w:rPr>
        <w:t> </w:t>
      </w:r>
      <w:r>
        <w:rPr>
          <w:sz w:val="24"/>
        </w:rPr>
        <w:t>S.</w:t>
      </w:r>
      <w:r>
        <w:rPr>
          <w:spacing w:val="19"/>
          <w:sz w:val="24"/>
        </w:rPr>
        <w:t> </w:t>
      </w:r>
      <w:r>
        <w:rPr>
          <w:sz w:val="24"/>
        </w:rPr>
        <w:t>M.</w:t>
      </w:r>
      <w:r>
        <w:rPr>
          <w:spacing w:val="15"/>
          <w:sz w:val="24"/>
        </w:rPr>
        <w:t> </w:t>
      </w:r>
      <w:r>
        <w:rPr>
          <w:sz w:val="24"/>
        </w:rPr>
        <w:t>(2005)</w:t>
      </w:r>
      <w:r>
        <w:rPr>
          <w:spacing w:val="27"/>
          <w:sz w:val="24"/>
        </w:rPr>
        <w:t> </w:t>
      </w:r>
      <w:r>
        <w:rPr>
          <w:i/>
          <w:sz w:val="24"/>
        </w:rPr>
        <w:t>Freshwater</w:t>
      </w:r>
      <w:r>
        <w:rPr>
          <w:i/>
          <w:spacing w:val="16"/>
          <w:sz w:val="24"/>
        </w:rPr>
        <w:t> </w:t>
      </w:r>
      <w:r>
        <w:rPr>
          <w:i/>
          <w:sz w:val="24"/>
        </w:rPr>
        <w:t>fishes</w:t>
      </w:r>
      <w:r>
        <w:rPr>
          <w:i/>
          <w:spacing w:val="16"/>
          <w:sz w:val="24"/>
        </w:rPr>
        <w:t> </w:t>
      </w:r>
      <w:r>
        <w:rPr>
          <w:i/>
          <w:spacing w:val="-3"/>
          <w:sz w:val="24"/>
        </w:rPr>
        <w:t>of</w:t>
      </w:r>
      <w:r>
        <w:rPr>
          <w:i/>
          <w:spacing w:val="18"/>
          <w:sz w:val="24"/>
        </w:rPr>
        <w:t> </w:t>
      </w:r>
      <w:r>
        <w:rPr>
          <w:i/>
          <w:sz w:val="24"/>
        </w:rPr>
        <w:t>Mexico</w:t>
      </w:r>
      <w:r>
        <w:rPr>
          <w:sz w:val="24"/>
        </w:rPr>
        <w:t>.</w:t>
      </w:r>
    </w:p>
    <w:p>
      <w:pPr>
        <w:pStyle w:val="BodyText"/>
        <w:spacing w:before="10"/>
        <w:rPr>
          <w:sz w:val="23"/>
        </w:rPr>
      </w:pPr>
    </w:p>
    <w:p>
      <w:pPr>
        <w:pStyle w:val="BodyText"/>
        <w:ind w:left="873" w:right="120"/>
      </w:pPr>
      <w:r>
        <w:rPr/>
        <w:t>EUA: The University of Chicago Press, 490 pp.</w:t>
      </w:r>
    </w:p>
    <w:p>
      <w:pPr>
        <w:pStyle w:val="BodyText"/>
        <w:spacing w:before="2"/>
      </w:pPr>
    </w:p>
    <w:p>
      <w:pPr>
        <w:pStyle w:val="ListParagraph"/>
        <w:numPr>
          <w:ilvl w:val="1"/>
          <w:numId w:val="7"/>
        </w:numPr>
        <w:tabs>
          <w:tab w:pos="858" w:val="left" w:leader="none"/>
          <w:tab w:pos="859" w:val="left" w:leader="none"/>
        </w:tabs>
        <w:spacing w:line="240" w:lineRule="auto" w:before="0" w:after="0"/>
        <w:ind w:left="858" w:right="0" w:hanging="345"/>
        <w:jc w:val="left"/>
        <w:rPr>
          <w:rFonts w:ascii="Symbol" w:hAnsi="Symbol"/>
          <w:color w:val="1A1A1A"/>
          <w:sz w:val="24"/>
        </w:rPr>
      </w:pPr>
      <w:r>
        <w:rPr>
          <w:sz w:val="24"/>
        </w:rPr>
        <w:t>Møller A.P., Sorci G. &amp; Erritzøe J. (1998)  </w:t>
      </w:r>
      <w:r>
        <w:rPr>
          <w:color w:val="1A1A1A"/>
          <w:sz w:val="24"/>
        </w:rPr>
        <w:t>Sexual dimorphism </w:t>
      </w:r>
      <w:r>
        <w:rPr>
          <w:color w:val="1A1A1A"/>
          <w:spacing w:val="-3"/>
          <w:sz w:val="24"/>
        </w:rPr>
        <w:t>in </w:t>
      </w:r>
      <w:r>
        <w:rPr>
          <w:color w:val="1A1A1A"/>
          <w:sz w:val="24"/>
        </w:rPr>
        <w:t>immune   defense.</w:t>
      </w:r>
    </w:p>
    <w:p>
      <w:pPr>
        <w:pStyle w:val="BodyText"/>
        <w:spacing w:before="5"/>
        <w:rPr>
          <w:sz w:val="23"/>
        </w:rPr>
      </w:pPr>
    </w:p>
    <w:p>
      <w:pPr>
        <w:spacing w:before="1"/>
        <w:ind w:left="873" w:right="120" w:firstLine="0"/>
        <w:jc w:val="left"/>
        <w:rPr>
          <w:sz w:val="24"/>
        </w:rPr>
      </w:pPr>
      <w:r>
        <w:rPr>
          <w:i/>
          <w:color w:val="1A1A1A"/>
          <w:sz w:val="24"/>
        </w:rPr>
        <w:t>The American Naturalist. </w:t>
      </w:r>
      <w:r>
        <w:rPr>
          <w:color w:val="1A1A1A"/>
          <w:sz w:val="24"/>
        </w:rPr>
        <w:t>152, 605–619.</w:t>
      </w:r>
    </w:p>
    <w:p>
      <w:pPr>
        <w:pStyle w:val="BodyText"/>
        <w:spacing w:before="2"/>
      </w:pPr>
    </w:p>
    <w:p>
      <w:pPr>
        <w:pStyle w:val="ListParagraph"/>
        <w:numPr>
          <w:ilvl w:val="1"/>
          <w:numId w:val="7"/>
        </w:numPr>
        <w:tabs>
          <w:tab w:pos="859" w:val="left" w:leader="none"/>
        </w:tabs>
        <w:spacing w:line="465" w:lineRule="auto" w:before="0" w:after="0"/>
        <w:ind w:left="873" w:right="127" w:hanging="360"/>
        <w:jc w:val="both"/>
        <w:rPr>
          <w:rFonts w:ascii="Symbol" w:hAnsi="Symbol"/>
          <w:sz w:val="24"/>
        </w:rPr>
      </w:pPr>
      <w:r>
        <w:rPr>
          <w:sz w:val="24"/>
        </w:rPr>
        <w:t>Møller </w:t>
      </w:r>
      <w:r>
        <w:rPr>
          <w:spacing w:val="-3"/>
          <w:sz w:val="24"/>
        </w:rPr>
        <w:t>A. </w:t>
      </w:r>
      <w:r>
        <w:rPr>
          <w:sz w:val="24"/>
        </w:rPr>
        <w:t>P. (1994) </w:t>
      </w:r>
      <w:r>
        <w:rPr>
          <w:i/>
          <w:sz w:val="24"/>
        </w:rPr>
        <w:t>Sexual selection and the barn swallow</w:t>
      </w:r>
      <w:r>
        <w:rPr>
          <w:sz w:val="24"/>
        </w:rPr>
        <w:t>. Oxford NE: Oxford University</w:t>
      </w:r>
      <w:r>
        <w:rPr>
          <w:spacing w:val="-14"/>
          <w:sz w:val="24"/>
        </w:rPr>
        <w:t> </w:t>
      </w:r>
      <w:r>
        <w:rPr>
          <w:sz w:val="24"/>
        </w:rPr>
        <w:t>Press.</w:t>
      </w:r>
    </w:p>
    <w:p>
      <w:pPr>
        <w:pStyle w:val="ListParagraph"/>
        <w:numPr>
          <w:ilvl w:val="1"/>
          <w:numId w:val="7"/>
        </w:numPr>
        <w:tabs>
          <w:tab w:pos="859" w:val="left" w:leader="none"/>
        </w:tabs>
        <w:spacing w:line="460" w:lineRule="auto" w:before="28" w:after="0"/>
        <w:ind w:left="873" w:right="127" w:hanging="360"/>
        <w:jc w:val="both"/>
        <w:rPr>
          <w:rFonts w:ascii="Symbol"/>
          <w:sz w:val="24"/>
        </w:rPr>
      </w:pPr>
      <w:r>
        <w:rPr>
          <w:sz w:val="24"/>
        </w:rPr>
        <w:t>Mougeot F., Redpath S.M. and Piertney S.B. (2005) Elevated spring testosterone increases parasite intensity </w:t>
      </w:r>
      <w:r>
        <w:rPr>
          <w:spacing w:val="-3"/>
          <w:sz w:val="24"/>
        </w:rPr>
        <w:t>in </w:t>
      </w:r>
      <w:r>
        <w:rPr>
          <w:sz w:val="24"/>
        </w:rPr>
        <w:t>male red grouse. </w:t>
      </w:r>
      <w:r>
        <w:rPr>
          <w:i/>
          <w:sz w:val="24"/>
        </w:rPr>
        <w:t>Behavioral Ecology </w:t>
      </w:r>
      <w:r>
        <w:rPr>
          <w:sz w:val="24"/>
        </w:rPr>
        <w:t>17(1):</w:t>
      </w:r>
      <w:r>
        <w:rPr>
          <w:spacing w:val="-10"/>
          <w:sz w:val="24"/>
        </w:rPr>
        <w:t> </w:t>
      </w:r>
      <w:r>
        <w:rPr>
          <w:sz w:val="24"/>
        </w:rPr>
        <w:t>117-125.</w:t>
      </w:r>
    </w:p>
    <w:p>
      <w:pPr>
        <w:pStyle w:val="ListParagraph"/>
        <w:numPr>
          <w:ilvl w:val="1"/>
          <w:numId w:val="7"/>
        </w:numPr>
        <w:tabs>
          <w:tab w:pos="859" w:val="left" w:leader="none"/>
        </w:tabs>
        <w:spacing w:line="465" w:lineRule="auto" w:before="34" w:after="0"/>
        <w:ind w:left="873" w:right="136" w:hanging="360"/>
        <w:jc w:val="both"/>
        <w:rPr>
          <w:rFonts w:ascii="Symbol"/>
          <w:sz w:val="24"/>
        </w:rPr>
      </w:pPr>
      <w:r>
        <w:rPr>
          <w:sz w:val="24"/>
        </w:rPr>
        <w:t>Mouritsen K.N. &amp; Poulin R. (2002) Parasitism, community structure and biodiversity </w:t>
      </w:r>
      <w:r>
        <w:rPr>
          <w:spacing w:val="-3"/>
          <w:sz w:val="24"/>
        </w:rPr>
        <w:t>in </w:t>
      </w:r>
      <w:r>
        <w:rPr>
          <w:sz w:val="24"/>
        </w:rPr>
        <w:t>intertidal ecosystems. </w:t>
      </w:r>
      <w:r>
        <w:rPr>
          <w:i/>
          <w:sz w:val="24"/>
        </w:rPr>
        <w:t>Parasitology</w:t>
      </w:r>
      <w:r>
        <w:rPr>
          <w:i/>
          <w:spacing w:val="-10"/>
          <w:sz w:val="24"/>
        </w:rPr>
        <w:t> </w:t>
      </w:r>
      <w:r>
        <w:rPr>
          <w:sz w:val="24"/>
        </w:rPr>
        <w:t>124:101-117.</w:t>
      </w:r>
    </w:p>
    <w:p>
      <w:pPr>
        <w:pStyle w:val="ListParagraph"/>
        <w:numPr>
          <w:ilvl w:val="1"/>
          <w:numId w:val="7"/>
        </w:numPr>
        <w:tabs>
          <w:tab w:pos="859" w:val="left" w:leader="none"/>
        </w:tabs>
        <w:spacing w:line="472" w:lineRule="auto" w:before="28" w:after="0"/>
        <w:ind w:left="873" w:right="122" w:hanging="360"/>
        <w:jc w:val="both"/>
        <w:rPr>
          <w:rFonts w:ascii="Symbol" w:hAnsi="Symbol"/>
          <w:sz w:val="24"/>
        </w:rPr>
      </w:pPr>
      <w:r>
        <w:rPr>
          <w:sz w:val="24"/>
        </w:rPr>
        <w:t>Pampoulie C., Morand S., Lambert A., Rosecchi E., Bouchereau J.L. &amp; Crivelli A.J. (1999) Influence of the trematode </w:t>
      </w:r>
      <w:r>
        <w:rPr>
          <w:i/>
          <w:sz w:val="24"/>
        </w:rPr>
        <w:t>Aphalloides coelomicola </w:t>
      </w:r>
      <w:r>
        <w:rPr>
          <w:sz w:val="24"/>
        </w:rPr>
        <w:t>Dollfus, Chabaud &amp; Golvan, 1957 on the fecundity and survival of </w:t>
      </w:r>
      <w:r>
        <w:rPr>
          <w:i/>
          <w:sz w:val="24"/>
        </w:rPr>
        <w:t>Pomatoschistus microps </w:t>
      </w:r>
      <w:r>
        <w:rPr>
          <w:sz w:val="24"/>
        </w:rPr>
        <w:t>(Krøyer, 1838) (Teleostei: Gobiidae). </w:t>
      </w:r>
      <w:r>
        <w:rPr>
          <w:i/>
          <w:sz w:val="24"/>
        </w:rPr>
        <w:t>Parasitology, </w:t>
      </w:r>
      <w:r>
        <w:rPr>
          <w:sz w:val="24"/>
        </w:rPr>
        <w:t>119:</w:t>
      </w:r>
      <w:r>
        <w:rPr>
          <w:spacing w:val="-14"/>
          <w:sz w:val="24"/>
        </w:rPr>
        <w:t> </w:t>
      </w:r>
      <w:r>
        <w:rPr>
          <w:sz w:val="24"/>
        </w:rPr>
        <w:t>61-67.</w:t>
      </w:r>
    </w:p>
    <w:p>
      <w:pPr>
        <w:pStyle w:val="ListParagraph"/>
        <w:numPr>
          <w:ilvl w:val="1"/>
          <w:numId w:val="7"/>
        </w:numPr>
        <w:tabs>
          <w:tab w:pos="859" w:val="left" w:leader="none"/>
        </w:tabs>
        <w:spacing w:line="472" w:lineRule="auto" w:before="20" w:after="0"/>
        <w:ind w:left="873" w:right="114" w:hanging="360"/>
        <w:jc w:val="both"/>
        <w:rPr>
          <w:rFonts w:ascii="Symbol" w:hAnsi="Symbol"/>
          <w:sz w:val="24"/>
        </w:rPr>
      </w:pPr>
      <w:r>
        <w:rPr>
          <w:sz w:val="24"/>
        </w:rPr>
        <w:t>Paulo-Maya, J. &amp; Trujillo-Jiménez, P. (2000) Nueva especie de Ilyodon (Cyprinodontiformes: Goodeidae) de </w:t>
      </w:r>
      <w:r>
        <w:rPr>
          <w:spacing w:val="-5"/>
          <w:sz w:val="24"/>
        </w:rPr>
        <w:t>la </w:t>
      </w:r>
      <w:r>
        <w:rPr>
          <w:sz w:val="24"/>
        </w:rPr>
        <w:t>cuenca del río </w:t>
      </w:r>
      <w:r>
        <w:rPr>
          <w:spacing w:val="-3"/>
          <w:sz w:val="24"/>
        </w:rPr>
        <w:t>Balsas, </w:t>
      </w:r>
      <w:r>
        <w:rPr>
          <w:sz w:val="24"/>
        </w:rPr>
        <w:t>México. </w:t>
      </w:r>
      <w:r>
        <w:rPr>
          <w:i/>
          <w:sz w:val="24"/>
        </w:rPr>
        <w:t>Revista de </w:t>
      </w:r>
      <w:r>
        <w:rPr>
          <w:i/>
          <w:sz w:val="24"/>
        </w:rPr>
        <w:t>Biología Tropical</w:t>
      </w:r>
      <w:r>
        <w:rPr>
          <w:sz w:val="24"/>
        </w:rPr>
        <w:t>, 48:</w:t>
      </w:r>
      <w:r>
        <w:rPr>
          <w:spacing w:val="-6"/>
          <w:sz w:val="24"/>
        </w:rPr>
        <w:t> </w:t>
      </w:r>
      <w:r>
        <w:rPr>
          <w:sz w:val="24"/>
        </w:rPr>
        <w:t>465-472.</w:t>
      </w:r>
    </w:p>
    <w:p>
      <w:pPr>
        <w:spacing w:after="0" w:line="472" w:lineRule="auto"/>
        <w:jc w:val="both"/>
        <w:rPr>
          <w:rFonts w:ascii="Symbol" w:hAnsi="Symbol"/>
          <w:sz w:val="24"/>
        </w:rPr>
        <w:sectPr>
          <w:pgSz w:w="12240" w:h="15840"/>
          <w:pgMar w:header="0" w:footer="1304" w:top="1500" w:bottom="1560" w:left="1720" w:right="1400"/>
        </w:sectPr>
      </w:pPr>
    </w:p>
    <w:p>
      <w:pPr>
        <w:pStyle w:val="BodyText"/>
        <w:rPr>
          <w:sz w:val="22"/>
        </w:rPr>
      </w:pPr>
    </w:p>
    <w:p>
      <w:pPr>
        <w:pStyle w:val="ListParagraph"/>
        <w:numPr>
          <w:ilvl w:val="1"/>
          <w:numId w:val="7"/>
        </w:numPr>
        <w:tabs>
          <w:tab w:pos="858" w:val="left" w:leader="none"/>
          <w:tab w:pos="859" w:val="left" w:leader="none"/>
        </w:tabs>
        <w:spacing w:line="240" w:lineRule="auto" w:before="55" w:after="0"/>
        <w:ind w:left="858" w:right="0" w:hanging="345"/>
        <w:jc w:val="left"/>
        <w:rPr>
          <w:rFonts w:ascii="Symbol" w:hAnsi="Symbol"/>
          <w:sz w:val="24"/>
        </w:rPr>
      </w:pPr>
      <w:r>
        <w:rPr>
          <w:sz w:val="24"/>
        </w:rPr>
        <w:t>Pérez-Tris</w:t>
      </w:r>
      <w:r>
        <w:rPr>
          <w:spacing w:val="20"/>
          <w:sz w:val="24"/>
        </w:rPr>
        <w:t> </w:t>
      </w:r>
      <w:r>
        <w:rPr>
          <w:sz w:val="24"/>
        </w:rPr>
        <w:t>J.</w:t>
      </w:r>
      <w:r>
        <w:rPr>
          <w:spacing w:val="24"/>
          <w:sz w:val="24"/>
        </w:rPr>
        <w:t> </w:t>
      </w:r>
      <w:r>
        <w:rPr>
          <w:sz w:val="24"/>
        </w:rPr>
        <w:t>(2009)</w:t>
      </w:r>
      <w:r>
        <w:rPr>
          <w:spacing w:val="24"/>
          <w:sz w:val="24"/>
        </w:rPr>
        <w:t> </w:t>
      </w:r>
      <w:r>
        <w:rPr>
          <w:sz w:val="24"/>
        </w:rPr>
        <w:t>La</w:t>
      </w:r>
      <w:r>
        <w:rPr>
          <w:spacing w:val="21"/>
          <w:sz w:val="24"/>
        </w:rPr>
        <w:t> </w:t>
      </w:r>
      <w:r>
        <w:rPr>
          <w:sz w:val="24"/>
        </w:rPr>
        <w:t>parasitología</w:t>
      </w:r>
      <w:r>
        <w:rPr>
          <w:spacing w:val="21"/>
          <w:sz w:val="24"/>
        </w:rPr>
        <w:t> </w:t>
      </w:r>
      <w:r>
        <w:rPr>
          <w:sz w:val="24"/>
        </w:rPr>
        <w:t>ecológica</w:t>
      </w:r>
      <w:r>
        <w:rPr>
          <w:spacing w:val="21"/>
          <w:sz w:val="24"/>
        </w:rPr>
        <w:t> </w:t>
      </w:r>
      <w:r>
        <w:rPr>
          <w:sz w:val="24"/>
        </w:rPr>
        <w:t>en</w:t>
      </w:r>
      <w:r>
        <w:rPr>
          <w:spacing w:val="22"/>
          <w:sz w:val="24"/>
        </w:rPr>
        <w:t> </w:t>
      </w:r>
      <w:r>
        <w:rPr>
          <w:spacing w:val="-3"/>
          <w:sz w:val="24"/>
        </w:rPr>
        <w:t>la</w:t>
      </w:r>
      <w:r>
        <w:rPr>
          <w:spacing w:val="21"/>
          <w:sz w:val="24"/>
        </w:rPr>
        <w:t> </w:t>
      </w:r>
      <w:r>
        <w:rPr>
          <w:sz w:val="24"/>
        </w:rPr>
        <w:t>era</w:t>
      </w:r>
      <w:r>
        <w:rPr>
          <w:spacing w:val="21"/>
          <w:sz w:val="24"/>
        </w:rPr>
        <w:t> </w:t>
      </w:r>
      <w:r>
        <w:rPr>
          <w:sz w:val="24"/>
        </w:rPr>
        <w:t>de</w:t>
      </w:r>
      <w:r>
        <w:rPr>
          <w:spacing w:val="26"/>
          <w:sz w:val="24"/>
        </w:rPr>
        <w:t> </w:t>
      </w:r>
      <w:r>
        <w:rPr>
          <w:spacing w:val="-5"/>
          <w:sz w:val="24"/>
        </w:rPr>
        <w:t>la</w:t>
      </w:r>
      <w:r>
        <w:rPr>
          <w:spacing w:val="21"/>
          <w:sz w:val="24"/>
        </w:rPr>
        <w:t> </w:t>
      </w:r>
      <w:r>
        <w:rPr>
          <w:sz w:val="24"/>
        </w:rPr>
        <w:t>genética</w:t>
      </w:r>
      <w:r>
        <w:rPr>
          <w:spacing w:val="33"/>
          <w:sz w:val="24"/>
        </w:rPr>
        <w:t> </w:t>
      </w:r>
      <w:r>
        <w:rPr>
          <w:sz w:val="24"/>
        </w:rPr>
        <w:t>molecular.</w:t>
      </w:r>
    </w:p>
    <w:p>
      <w:pPr>
        <w:pStyle w:val="BodyText"/>
        <w:spacing w:before="6"/>
        <w:rPr>
          <w:sz w:val="23"/>
        </w:rPr>
      </w:pPr>
    </w:p>
    <w:p>
      <w:pPr>
        <w:spacing w:before="0"/>
        <w:ind w:left="873" w:right="120" w:firstLine="0"/>
        <w:jc w:val="left"/>
        <w:rPr>
          <w:sz w:val="24"/>
        </w:rPr>
      </w:pPr>
      <w:r>
        <w:rPr>
          <w:i/>
          <w:sz w:val="24"/>
        </w:rPr>
        <w:t>Ecosistemas </w:t>
      </w:r>
      <w:r>
        <w:rPr>
          <w:sz w:val="24"/>
        </w:rPr>
        <w:t>18(1): 52-59.</w:t>
      </w:r>
    </w:p>
    <w:p>
      <w:pPr>
        <w:pStyle w:val="BodyText"/>
        <w:spacing w:before="2"/>
      </w:pPr>
    </w:p>
    <w:p>
      <w:pPr>
        <w:pStyle w:val="ListParagraph"/>
        <w:numPr>
          <w:ilvl w:val="1"/>
          <w:numId w:val="7"/>
        </w:numPr>
        <w:tabs>
          <w:tab w:pos="858" w:val="left" w:leader="none"/>
          <w:tab w:pos="859" w:val="left" w:leader="none"/>
        </w:tabs>
        <w:spacing w:line="240" w:lineRule="auto" w:before="0" w:after="0"/>
        <w:ind w:left="858" w:right="0" w:hanging="345"/>
        <w:jc w:val="left"/>
        <w:rPr>
          <w:rFonts w:ascii="Symbol"/>
          <w:sz w:val="24"/>
        </w:rPr>
      </w:pPr>
      <w:r>
        <w:rPr>
          <w:sz w:val="24"/>
        </w:rPr>
        <w:t>Poulin R. (1998) Large-scale patterns of host use by parasites of freshwater  </w:t>
      </w:r>
      <w:r>
        <w:rPr>
          <w:spacing w:val="59"/>
          <w:sz w:val="24"/>
        </w:rPr>
        <w:t> </w:t>
      </w:r>
      <w:r>
        <w:rPr>
          <w:sz w:val="24"/>
        </w:rPr>
        <w:t>fishes.</w:t>
      </w:r>
    </w:p>
    <w:p>
      <w:pPr>
        <w:pStyle w:val="BodyText"/>
        <w:spacing w:before="10"/>
        <w:rPr>
          <w:sz w:val="23"/>
        </w:rPr>
      </w:pPr>
    </w:p>
    <w:p>
      <w:pPr>
        <w:spacing w:before="0"/>
        <w:ind w:left="873" w:right="120" w:firstLine="0"/>
        <w:jc w:val="left"/>
        <w:rPr>
          <w:sz w:val="24"/>
        </w:rPr>
      </w:pPr>
      <w:r>
        <w:rPr>
          <w:i/>
          <w:sz w:val="24"/>
        </w:rPr>
        <w:t>Ecology Letters, </w:t>
      </w:r>
      <w:r>
        <w:rPr>
          <w:sz w:val="24"/>
        </w:rPr>
        <w:t>1(2): 118–128.</w:t>
      </w:r>
    </w:p>
    <w:p>
      <w:pPr>
        <w:pStyle w:val="BodyText"/>
        <w:spacing w:before="2"/>
      </w:pPr>
    </w:p>
    <w:p>
      <w:pPr>
        <w:pStyle w:val="ListParagraph"/>
        <w:numPr>
          <w:ilvl w:val="1"/>
          <w:numId w:val="7"/>
        </w:numPr>
        <w:tabs>
          <w:tab w:pos="859" w:val="left" w:leader="none"/>
        </w:tabs>
        <w:spacing w:line="465" w:lineRule="auto" w:before="0" w:after="0"/>
        <w:ind w:left="873" w:right="129" w:hanging="360"/>
        <w:jc w:val="both"/>
        <w:rPr>
          <w:rFonts w:ascii="Symbol" w:hAnsi="Symbol"/>
          <w:sz w:val="24"/>
        </w:rPr>
      </w:pPr>
      <w:r>
        <w:rPr>
          <w:sz w:val="24"/>
        </w:rPr>
        <w:t>Poulin R. (1999) The functional importance of parasites </w:t>
      </w:r>
      <w:r>
        <w:rPr>
          <w:spacing w:val="-3"/>
          <w:sz w:val="24"/>
        </w:rPr>
        <w:t>in </w:t>
      </w:r>
      <w:r>
        <w:rPr>
          <w:sz w:val="24"/>
        </w:rPr>
        <w:t>animal communities: many roles at many levels?. </w:t>
      </w:r>
      <w:r>
        <w:rPr>
          <w:i/>
          <w:sz w:val="24"/>
        </w:rPr>
        <w:t>International Journal for Parasitology</w:t>
      </w:r>
      <w:r>
        <w:rPr>
          <w:sz w:val="24"/>
        </w:rPr>
        <w:t>, 29:</w:t>
      </w:r>
      <w:r>
        <w:rPr>
          <w:spacing w:val="-14"/>
          <w:sz w:val="24"/>
        </w:rPr>
        <w:t> </w:t>
      </w:r>
      <w:r>
        <w:rPr>
          <w:sz w:val="24"/>
        </w:rPr>
        <w:t>903–914.</w:t>
      </w:r>
    </w:p>
    <w:p>
      <w:pPr>
        <w:pStyle w:val="ListParagraph"/>
        <w:numPr>
          <w:ilvl w:val="1"/>
          <w:numId w:val="7"/>
        </w:numPr>
        <w:tabs>
          <w:tab w:pos="859" w:val="left" w:leader="none"/>
        </w:tabs>
        <w:spacing w:line="460" w:lineRule="auto" w:before="28" w:after="0"/>
        <w:ind w:left="873" w:right="117" w:hanging="360"/>
        <w:jc w:val="both"/>
        <w:rPr>
          <w:rFonts w:ascii="Symbol"/>
          <w:sz w:val="24"/>
        </w:rPr>
      </w:pPr>
      <w:r>
        <w:rPr>
          <w:sz w:val="24"/>
        </w:rPr>
        <w:t>Poulin R. (2007) </w:t>
      </w:r>
      <w:r>
        <w:rPr>
          <w:i/>
          <w:sz w:val="24"/>
        </w:rPr>
        <w:t>Evolutionary Ecology </w:t>
      </w:r>
      <w:r>
        <w:rPr>
          <w:i/>
          <w:spacing w:val="-3"/>
          <w:sz w:val="24"/>
        </w:rPr>
        <w:t>of </w:t>
      </w:r>
      <w:r>
        <w:rPr>
          <w:i/>
          <w:sz w:val="24"/>
        </w:rPr>
        <w:t>Parasites</w:t>
      </w:r>
      <w:r>
        <w:rPr>
          <w:sz w:val="24"/>
        </w:rPr>
        <w:t>. USA: Princeton University Press, 332</w:t>
      </w:r>
      <w:r>
        <w:rPr>
          <w:spacing w:val="-1"/>
          <w:sz w:val="24"/>
        </w:rPr>
        <w:t> </w:t>
      </w:r>
      <w:r>
        <w:rPr>
          <w:sz w:val="24"/>
        </w:rPr>
        <w:t>pp.</w:t>
      </w:r>
    </w:p>
    <w:p>
      <w:pPr>
        <w:pStyle w:val="ListParagraph"/>
        <w:numPr>
          <w:ilvl w:val="1"/>
          <w:numId w:val="7"/>
        </w:numPr>
        <w:tabs>
          <w:tab w:pos="859" w:val="left" w:leader="none"/>
        </w:tabs>
        <w:spacing w:line="465" w:lineRule="auto" w:before="33" w:after="0"/>
        <w:ind w:left="873" w:right="121" w:hanging="360"/>
        <w:jc w:val="both"/>
        <w:rPr>
          <w:rFonts w:ascii="Symbol"/>
          <w:sz w:val="24"/>
        </w:rPr>
      </w:pPr>
      <w:r>
        <w:rPr>
          <w:sz w:val="24"/>
        </w:rPr>
        <w:t>Poulin, R., Morand, R. &amp; Skorping, </w:t>
      </w:r>
      <w:r>
        <w:rPr>
          <w:spacing w:val="-3"/>
          <w:sz w:val="24"/>
        </w:rPr>
        <w:t>A. </w:t>
      </w:r>
      <w:r>
        <w:rPr>
          <w:sz w:val="24"/>
        </w:rPr>
        <w:t>(eds.) (2001) </w:t>
      </w:r>
      <w:r>
        <w:rPr>
          <w:i/>
          <w:sz w:val="24"/>
        </w:rPr>
        <w:t>Evolutionary biology </w:t>
      </w:r>
      <w:r>
        <w:rPr>
          <w:i/>
          <w:spacing w:val="-3"/>
          <w:sz w:val="24"/>
        </w:rPr>
        <w:t>of </w:t>
      </w:r>
      <w:r>
        <w:rPr>
          <w:i/>
          <w:sz w:val="24"/>
        </w:rPr>
        <w:t>host- </w:t>
      </w:r>
      <w:r>
        <w:rPr>
          <w:i/>
          <w:sz w:val="24"/>
        </w:rPr>
        <w:t>parasite relationships. Theory meets reality</w:t>
      </w:r>
      <w:r>
        <w:rPr>
          <w:sz w:val="24"/>
        </w:rPr>
        <w:t>. London: Elsevier, 185-200</w:t>
      </w:r>
      <w:r>
        <w:rPr>
          <w:spacing w:val="-15"/>
          <w:sz w:val="24"/>
        </w:rPr>
        <w:t> </w:t>
      </w:r>
      <w:r>
        <w:rPr>
          <w:sz w:val="24"/>
        </w:rPr>
        <w:t>pp.</w:t>
      </w:r>
    </w:p>
    <w:p>
      <w:pPr>
        <w:pStyle w:val="ListParagraph"/>
        <w:numPr>
          <w:ilvl w:val="1"/>
          <w:numId w:val="7"/>
        </w:numPr>
        <w:tabs>
          <w:tab w:pos="859" w:val="left" w:leader="none"/>
        </w:tabs>
        <w:spacing w:line="460" w:lineRule="auto" w:before="28" w:after="0"/>
        <w:ind w:left="873" w:right="132" w:hanging="360"/>
        <w:jc w:val="both"/>
        <w:rPr>
          <w:rFonts w:ascii="Symbol"/>
          <w:sz w:val="24"/>
        </w:rPr>
      </w:pPr>
      <w:r>
        <w:rPr>
          <w:sz w:val="24"/>
        </w:rPr>
        <w:t>Poulin, R., Morand, R. (2004) </w:t>
      </w:r>
      <w:r>
        <w:rPr>
          <w:i/>
          <w:sz w:val="24"/>
        </w:rPr>
        <w:t>Parasite biodiversity</w:t>
      </w:r>
      <w:r>
        <w:rPr>
          <w:sz w:val="24"/>
        </w:rPr>
        <w:t>. Smithsonian Institution Press, Washington,</w:t>
      </w:r>
      <w:r>
        <w:rPr>
          <w:spacing w:val="-1"/>
          <w:sz w:val="24"/>
        </w:rPr>
        <w:t> </w:t>
      </w:r>
      <w:r>
        <w:rPr>
          <w:sz w:val="24"/>
        </w:rPr>
        <w:t>DC.</w:t>
      </w:r>
    </w:p>
    <w:p>
      <w:pPr>
        <w:pStyle w:val="ListParagraph"/>
        <w:numPr>
          <w:ilvl w:val="1"/>
          <w:numId w:val="7"/>
        </w:numPr>
        <w:tabs>
          <w:tab w:pos="859" w:val="left" w:leader="none"/>
        </w:tabs>
        <w:spacing w:line="472" w:lineRule="auto" w:before="33" w:after="0"/>
        <w:ind w:left="873" w:right="125" w:hanging="360"/>
        <w:jc w:val="both"/>
        <w:rPr>
          <w:rFonts w:ascii="Symbol"/>
          <w:sz w:val="24"/>
        </w:rPr>
      </w:pPr>
      <w:r>
        <w:rPr>
          <w:sz w:val="24"/>
        </w:rPr>
        <w:t>Pennycuick L. (2009) Differences </w:t>
      </w:r>
      <w:r>
        <w:rPr>
          <w:spacing w:val="-3"/>
          <w:sz w:val="24"/>
        </w:rPr>
        <w:t>in </w:t>
      </w:r>
      <w:r>
        <w:rPr>
          <w:sz w:val="24"/>
        </w:rPr>
        <w:t>the parasite infections </w:t>
      </w:r>
      <w:r>
        <w:rPr>
          <w:spacing w:val="-3"/>
          <w:sz w:val="24"/>
        </w:rPr>
        <w:t>in </w:t>
      </w:r>
      <w:r>
        <w:rPr>
          <w:sz w:val="24"/>
        </w:rPr>
        <w:t>three-spined sticklebacks (</w:t>
      </w:r>
      <w:r>
        <w:rPr>
          <w:i/>
          <w:sz w:val="24"/>
        </w:rPr>
        <w:t>Gasterosteus aculeatus L</w:t>
      </w:r>
      <w:r>
        <w:rPr>
          <w:sz w:val="24"/>
        </w:rPr>
        <w:t>.) of different </w:t>
      </w:r>
      <w:r>
        <w:rPr>
          <w:spacing w:val="-3"/>
          <w:sz w:val="24"/>
        </w:rPr>
        <w:t>sex, </w:t>
      </w:r>
      <w:r>
        <w:rPr>
          <w:sz w:val="24"/>
        </w:rPr>
        <w:t>age and </w:t>
      </w:r>
      <w:r>
        <w:rPr>
          <w:spacing w:val="-3"/>
          <w:sz w:val="24"/>
        </w:rPr>
        <w:t>size. </w:t>
      </w:r>
      <w:r>
        <w:rPr>
          <w:sz w:val="24"/>
        </w:rPr>
        <w:t>Department of</w:t>
      </w:r>
      <w:r>
        <w:rPr>
          <w:spacing w:val="-9"/>
          <w:sz w:val="24"/>
        </w:rPr>
        <w:t> </w:t>
      </w:r>
      <w:r>
        <w:rPr>
          <w:sz w:val="24"/>
        </w:rPr>
        <w:t>Zoology, University</w:t>
      </w:r>
      <w:r>
        <w:rPr>
          <w:spacing w:val="-11"/>
          <w:sz w:val="24"/>
        </w:rPr>
        <w:t> </w:t>
      </w:r>
      <w:r>
        <w:rPr>
          <w:spacing w:val="4"/>
          <w:sz w:val="24"/>
        </w:rPr>
        <w:t>of</w:t>
      </w:r>
      <w:r>
        <w:rPr>
          <w:spacing w:val="-5"/>
          <w:sz w:val="24"/>
        </w:rPr>
        <w:t> </w:t>
      </w:r>
      <w:r>
        <w:rPr>
          <w:i/>
          <w:sz w:val="24"/>
        </w:rPr>
        <w:t>Bristol</w:t>
      </w:r>
      <w:r>
        <w:rPr>
          <w:i/>
          <w:spacing w:val="-2"/>
          <w:sz w:val="24"/>
        </w:rPr>
        <w:t> </w:t>
      </w:r>
      <w:r>
        <w:rPr>
          <w:i/>
          <w:sz w:val="24"/>
        </w:rPr>
        <w:t>Published </w:t>
      </w:r>
      <w:r>
        <w:rPr>
          <w:sz w:val="24"/>
        </w:rPr>
        <w:t>online</w:t>
      </w:r>
      <w:r>
        <w:rPr>
          <w:spacing w:val="1"/>
          <w:sz w:val="24"/>
        </w:rPr>
        <w:t> </w:t>
      </w:r>
      <w:r>
        <w:rPr>
          <w:sz w:val="24"/>
        </w:rPr>
        <w:t>by</w:t>
      </w:r>
      <w:r>
        <w:rPr>
          <w:spacing w:val="-11"/>
          <w:sz w:val="24"/>
        </w:rPr>
        <w:t> </w:t>
      </w:r>
      <w:r>
        <w:rPr>
          <w:sz w:val="24"/>
        </w:rPr>
        <w:t>Cambridge</w:t>
      </w:r>
      <w:r>
        <w:rPr>
          <w:spacing w:val="-2"/>
          <w:sz w:val="24"/>
        </w:rPr>
        <w:t> </w:t>
      </w:r>
      <w:r>
        <w:rPr>
          <w:sz w:val="24"/>
        </w:rPr>
        <w:t>University</w:t>
      </w:r>
      <w:r>
        <w:rPr>
          <w:spacing w:val="-11"/>
          <w:sz w:val="24"/>
        </w:rPr>
        <w:t> </w:t>
      </w:r>
      <w:r>
        <w:rPr>
          <w:sz w:val="24"/>
        </w:rPr>
        <w:t>Press.</w:t>
      </w:r>
    </w:p>
    <w:p>
      <w:pPr>
        <w:pStyle w:val="ListParagraph"/>
        <w:numPr>
          <w:ilvl w:val="1"/>
          <w:numId w:val="7"/>
        </w:numPr>
        <w:tabs>
          <w:tab w:pos="859" w:val="left" w:leader="none"/>
        </w:tabs>
        <w:spacing w:line="470" w:lineRule="auto" w:before="20" w:after="0"/>
        <w:ind w:left="873" w:right="117" w:hanging="360"/>
        <w:jc w:val="both"/>
        <w:rPr>
          <w:rFonts w:ascii="Symbol"/>
          <w:sz w:val="24"/>
        </w:rPr>
      </w:pPr>
      <w:r>
        <w:rPr>
          <w:sz w:val="24"/>
        </w:rPr>
        <w:t>Reavis R.H. and Barrett M.A. (2001) </w:t>
      </w:r>
      <w:r>
        <w:rPr>
          <w:spacing w:val="-3"/>
          <w:sz w:val="24"/>
        </w:rPr>
        <w:t>Do </w:t>
      </w:r>
      <w:r>
        <w:rPr>
          <w:sz w:val="24"/>
        </w:rPr>
        <w:t>parasites affect the behavior of the Hawaiian white-spotted toby </w:t>
      </w:r>
      <w:r>
        <w:rPr>
          <w:i/>
          <w:sz w:val="24"/>
        </w:rPr>
        <w:t>Canthigaster jactator </w:t>
      </w:r>
      <w:r>
        <w:rPr>
          <w:sz w:val="24"/>
        </w:rPr>
        <w:t>(Pisces)? </w:t>
      </w:r>
      <w:r>
        <w:rPr>
          <w:i/>
          <w:sz w:val="24"/>
        </w:rPr>
        <w:t>Acta ethologica</w:t>
      </w:r>
      <w:r>
        <w:rPr>
          <w:sz w:val="24"/>
        </w:rPr>
        <w:t>. 3:151-154</w:t>
      </w:r>
    </w:p>
    <w:p>
      <w:pPr>
        <w:pStyle w:val="ListParagraph"/>
        <w:numPr>
          <w:ilvl w:val="1"/>
          <w:numId w:val="7"/>
        </w:numPr>
        <w:tabs>
          <w:tab w:pos="859" w:val="left" w:leader="none"/>
        </w:tabs>
        <w:spacing w:line="465" w:lineRule="auto" w:before="23" w:after="0"/>
        <w:ind w:left="873" w:right="126" w:hanging="360"/>
        <w:jc w:val="both"/>
        <w:rPr>
          <w:rFonts w:ascii="Symbol"/>
          <w:sz w:val="24"/>
        </w:rPr>
      </w:pPr>
      <w:r>
        <w:rPr>
          <w:sz w:val="24"/>
        </w:rPr>
        <w:t>Ruppert E. E., Fox R. S. &amp; Barnes R. D. (2004) </w:t>
      </w:r>
      <w:r>
        <w:rPr>
          <w:i/>
          <w:sz w:val="24"/>
        </w:rPr>
        <w:t>Invertebrate Zoology. A Functional </w:t>
      </w:r>
      <w:r>
        <w:rPr>
          <w:i/>
          <w:sz w:val="24"/>
        </w:rPr>
        <w:t>Evolutionary Approach</w:t>
      </w:r>
      <w:r>
        <w:rPr>
          <w:sz w:val="24"/>
        </w:rPr>
        <w:t>. USA: Thomson Learning, Inc., 963</w:t>
      </w:r>
      <w:r>
        <w:rPr>
          <w:spacing w:val="-16"/>
          <w:sz w:val="24"/>
        </w:rPr>
        <w:t> </w:t>
      </w:r>
      <w:r>
        <w:rPr>
          <w:sz w:val="24"/>
        </w:rPr>
        <w:t>pp.</w:t>
      </w:r>
    </w:p>
    <w:p>
      <w:pPr>
        <w:pStyle w:val="ListParagraph"/>
        <w:numPr>
          <w:ilvl w:val="1"/>
          <w:numId w:val="7"/>
        </w:numPr>
        <w:tabs>
          <w:tab w:pos="859" w:val="left" w:leader="none"/>
        </w:tabs>
        <w:spacing w:line="465" w:lineRule="auto" w:before="28" w:after="0"/>
        <w:ind w:left="873" w:right="121" w:hanging="360"/>
        <w:jc w:val="both"/>
        <w:rPr>
          <w:rFonts w:ascii="Symbol" w:hAnsi="Symbol"/>
          <w:sz w:val="24"/>
        </w:rPr>
      </w:pPr>
      <w:r>
        <w:rPr>
          <w:sz w:val="24"/>
        </w:rPr>
        <w:t>Salgado-Maldonado G., Cabañas-Carranza G., Caspeta-Mandujano J.M., Soto- Galera  E.,  Mayén-Peña  E.,  Brailovsky  D.  and  Báez-Valé  R.  (2001). </w:t>
      </w:r>
      <w:r>
        <w:rPr>
          <w:spacing w:val="39"/>
          <w:sz w:val="24"/>
        </w:rPr>
        <w:t> </w:t>
      </w:r>
      <w:r>
        <w:rPr>
          <w:sz w:val="24"/>
        </w:rPr>
        <w:t>Helminth</w:t>
      </w:r>
    </w:p>
    <w:p>
      <w:pPr>
        <w:spacing w:after="0" w:line="465" w:lineRule="auto"/>
        <w:jc w:val="both"/>
        <w:rPr>
          <w:rFonts w:ascii="Symbol" w:hAnsi="Symbol"/>
          <w:sz w:val="24"/>
        </w:rPr>
        <w:sectPr>
          <w:pgSz w:w="12240" w:h="15840"/>
          <w:pgMar w:header="0" w:footer="1304" w:top="1500" w:bottom="1560" w:left="1720" w:right="1400"/>
        </w:sectPr>
      </w:pPr>
    </w:p>
    <w:p>
      <w:pPr>
        <w:pStyle w:val="BodyText"/>
        <w:spacing w:before="7"/>
        <w:rPr>
          <w:sz w:val="20"/>
        </w:rPr>
      </w:pPr>
    </w:p>
    <w:p>
      <w:pPr>
        <w:pStyle w:val="BodyText"/>
        <w:spacing w:before="69"/>
        <w:ind w:left="873"/>
      </w:pPr>
      <w:r>
        <w:rPr/>
        <w:t>parasites of freshwater fishes of the Balsas River  drainage,  southwestern   México.</w:t>
      </w:r>
    </w:p>
    <w:p>
      <w:pPr>
        <w:pStyle w:val="BodyText"/>
      </w:pPr>
    </w:p>
    <w:p>
      <w:pPr>
        <w:spacing w:before="0"/>
        <w:ind w:left="873" w:right="0" w:firstLine="0"/>
        <w:jc w:val="left"/>
        <w:rPr>
          <w:sz w:val="24"/>
        </w:rPr>
      </w:pPr>
      <w:r>
        <w:rPr>
          <w:i/>
          <w:sz w:val="24"/>
        </w:rPr>
        <w:t>Comparative Parasitology, </w:t>
      </w:r>
      <w:r>
        <w:rPr>
          <w:sz w:val="24"/>
        </w:rPr>
        <w:t>68: 196-203.</w:t>
      </w:r>
    </w:p>
    <w:p>
      <w:pPr>
        <w:pStyle w:val="BodyText"/>
        <w:spacing w:before="2"/>
      </w:pPr>
    </w:p>
    <w:p>
      <w:pPr>
        <w:pStyle w:val="ListParagraph"/>
        <w:numPr>
          <w:ilvl w:val="1"/>
          <w:numId w:val="7"/>
        </w:numPr>
        <w:tabs>
          <w:tab w:pos="859" w:val="left" w:leader="none"/>
        </w:tabs>
        <w:spacing w:line="472" w:lineRule="auto" w:before="0" w:after="0"/>
        <w:ind w:left="873" w:right="101" w:hanging="360"/>
        <w:jc w:val="both"/>
        <w:rPr>
          <w:rFonts w:ascii="Symbol" w:hAnsi="Symbol"/>
          <w:sz w:val="24"/>
        </w:rPr>
      </w:pPr>
      <w:r>
        <w:rPr>
          <w:sz w:val="24"/>
        </w:rPr>
        <w:t>Sánchez-Nava P., Salgado Maldonado G., Soto-Galera G., Jaimes B. (2004) Helminth parasites of </w:t>
      </w:r>
      <w:r>
        <w:rPr>
          <w:i/>
          <w:sz w:val="24"/>
        </w:rPr>
        <w:t>Girardinichthys multiradiatus </w:t>
      </w:r>
      <w:r>
        <w:rPr>
          <w:sz w:val="24"/>
        </w:rPr>
        <w:t>(Pisces: Goodeidae) </w:t>
      </w:r>
      <w:r>
        <w:rPr>
          <w:spacing w:val="-3"/>
          <w:sz w:val="24"/>
        </w:rPr>
        <w:t>in </w:t>
      </w:r>
      <w:r>
        <w:rPr>
          <w:sz w:val="24"/>
        </w:rPr>
        <w:t>the upper Lerma River sub-basin, México. </w:t>
      </w:r>
      <w:r>
        <w:rPr>
          <w:i/>
          <w:sz w:val="24"/>
        </w:rPr>
        <w:t>Journal of Parasitology Research, </w:t>
      </w:r>
      <w:r>
        <w:rPr>
          <w:sz w:val="24"/>
        </w:rPr>
        <w:t>93(5): 396-402.</w:t>
      </w:r>
    </w:p>
    <w:p>
      <w:pPr>
        <w:pStyle w:val="ListParagraph"/>
        <w:numPr>
          <w:ilvl w:val="1"/>
          <w:numId w:val="7"/>
        </w:numPr>
        <w:tabs>
          <w:tab w:pos="859" w:val="left" w:leader="none"/>
        </w:tabs>
        <w:spacing w:line="465" w:lineRule="auto" w:before="20" w:after="0"/>
        <w:ind w:left="873" w:right="117" w:hanging="360"/>
        <w:jc w:val="both"/>
        <w:rPr>
          <w:rFonts w:ascii="Symbol" w:hAnsi="Symbol"/>
          <w:sz w:val="24"/>
        </w:rPr>
      </w:pPr>
      <w:r>
        <w:rPr>
          <w:sz w:val="24"/>
        </w:rPr>
        <w:t>Schall J. J. and Dearing M. D. (1987) Malarial parasitism and male competition for mates </w:t>
      </w:r>
      <w:r>
        <w:rPr>
          <w:spacing w:val="-3"/>
          <w:sz w:val="24"/>
        </w:rPr>
        <w:t>in </w:t>
      </w:r>
      <w:r>
        <w:rPr>
          <w:sz w:val="24"/>
        </w:rPr>
        <w:t>the western </w:t>
      </w:r>
      <w:r>
        <w:rPr>
          <w:spacing w:val="-3"/>
          <w:sz w:val="24"/>
        </w:rPr>
        <w:t>fence </w:t>
      </w:r>
      <w:r>
        <w:rPr>
          <w:sz w:val="24"/>
        </w:rPr>
        <w:t>lizard, </w:t>
      </w:r>
      <w:r>
        <w:rPr>
          <w:i/>
          <w:sz w:val="24"/>
        </w:rPr>
        <w:t>Sceloporus occidentalis</w:t>
      </w:r>
      <w:r>
        <w:rPr>
          <w:sz w:val="24"/>
        </w:rPr>
        <w:t>. </w:t>
      </w:r>
      <w:r>
        <w:rPr>
          <w:i/>
          <w:sz w:val="24"/>
        </w:rPr>
        <w:t>Oecologia</w:t>
      </w:r>
      <w:r>
        <w:rPr>
          <w:sz w:val="24"/>
        </w:rPr>
        <w:t>, 73:</w:t>
      </w:r>
      <w:r>
        <w:rPr>
          <w:spacing w:val="11"/>
          <w:sz w:val="24"/>
        </w:rPr>
        <w:t> </w:t>
      </w:r>
      <w:r>
        <w:rPr>
          <w:sz w:val="24"/>
        </w:rPr>
        <w:t>389–392.</w:t>
      </w:r>
    </w:p>
    <w:p>
      <w:pPr>
        <w:pStyle w:val="ListParagraph"/>
        <w:numPr>
          <w:ilvl w:val="1"/>
          <w:numId w:val="7"/>
        </w:numPr>
        <w:tabs>
          <w:tab w:pos="859" w:val="left" w:leader="none"/>
        </w:tabs>
        <w:spacing w:line="477" w:lineRule="auto" w:before="28" w:after="0"/>
        <w:ind w:left="873" w:right="100" w:hanging="360"/>
        <w:jc w:val="both"/>
        <w:rPr>
          <w:rFonts w:ascii="Symbol" w:hAnsi="Symbol"/>
          <w:sz w:val="24"/>
        </w:rPr>
      </w:pPr>
      <w:r>
        <w:rPr>
          <w:sz w:val="24"/>
        </w:rPr>
        <w:t>Scholz T., Aguirre-Macedo M. L., Sabas Flores Díaz de León </w:t>
      </w:r>
      <w:r>
        <w:rPr>
          <w:spacing w:val="-3"/>
          <w:sz w:val="24"/>
        </w:rPr>
        <w:t>A. </w:t>
      </w:r>
      <w:r>
        <w:rPr>
          <w:sz w:val="24"/>
        </w:rPr>
        <w:t>T., and Ditrich O. (2000) Larval stages of trematodes </w:t>
      </w:r>
      <w:r>
        <w:rPr>
          <w:spacing w:val="-3"/>
          <w:sz w:val="24"/>
        </w:rPr>
        <w:t>in </w:t>
      </w:r>
      <w:r>
        <w:rPr>
          <w:sz w:val="24"/>
        </w:rPr>
        <w:t>freshwater molluscs of Mexico: a review of present state and methodology for future research. </w:t>
      </w:r>
      <w:r>
        <w:rPr>
          <w:i/>
          <w:sz w:val="24"/>
        </w:rPr>
        <w:t>In: </w:t>
      </w:r>
      <w:r>
        <w:rPr>
          <w:sz w:val="24"/>
        </w:rPr>
        <w:t>García-Aldrete, </w:t>
      </w:r>
      <w:r>
        <w:rPr>
          <w:spacing w:val="-3"/>
          <w:sz w:val="24"/>
        </w:rPr>
        <w:t>A. </w:t>
      </w:r>
      <w:r>
        <w:rPr>
          <w:sz w:val="24"/>
        </w:rPr>
        <w:t>N., G. Salgado-Maldonado and V. M. Vidal-Martínez (eds.). </w:t>
      </w:r>
      <w:r>
        <w:rPr>
          <w:i/>
          <w:sz w:val="24"/>
        </w:rPr>
        <w:t>Metazoan parasites in the </w:t>
      </w:r>
      <w:r>
        <w:rPr>
          <w:i/>
          <w:sz w:val="24"/>
        </w:rPr>
        <w:t>Neotropic: ecological, taxonomic and evolutionary perspectives </w:t>
      </w:r>
      <w:r>
        <w:rPr>
          <w:sz w:val="24"/>
        </w:rPr>
        <w:t>México: Universidad Nacional Autónoma de México, Mexico, </w:t>
      </w:r>
      <w:r>
        <w:rPr>
          <w:spacing w:val="-3"/>
          <w:sz w:val="24"/>
        </w:rPr>
        <w:t>in</w:t>
      </w:r>
      <w:r>
        <w:rPr>
          <w:spacing w:val="-27"/>
          <w:sz w:val="24"/>
        </w:rPr>
        <w:t> </w:t>
      </w:r>
      <w:r>
        <w:rPr>
          <w:sz w:val="24"/>
        </w:rPr>
        <w:t>press.</w:t>
      </w:r>
    </w:p>
    <w:p>
      <w:pPr>
        <w:pStyle w:val="ListParagraph"/>
        <w:numPr>
          <w:ilvl w:val="1"/>
          <w:numId w:val="7"/>
        </w:numPr>
        <w:tabs>
          <w:tab w:pos="859" w:val="left" w:leader="none"/>
        </w:tabs>
        <w:spacing w:line="470" w:lineRule="auto" w:before="15" w:after="0"/>
        <w:ind w:left="873" w:right="105" w:hanging="360"/>
        <w:jc w:val="both"/>
        <w:rPr>
          <w:rFonts w:ascii="Symbol"/>
          <w:sz w:val="24"/>
        </w:rPr>
      </w:pPr>
      <w:r>
        <w:rPr>
          <w:sz w:val="24"/>
        </w:rPr>
        <w:t>Sheldon B. C. and Verhulst S. (1996) Ecological immunology: costly parasite defenses and trade-offs </w:t>
      </w:r>
      <w:r>
        <w:rPr>
          <w:spacing w:val="-3"/>
          <w:sz w:val="24"/>
        </w:rPr>
        <w:t>in </w:t>
      </w:r>
      <w:r>
        <w:rPr>
          <w:sz w:val="24"/>
        </w:rPr>
        <w:t>evolutionary ecology. </w:t>
      </w:r>
      <w:r>
        <w:rPr>
          <w:i/>
          <w:sz w:val="24"/>
        </w:rPr>
        <w:t>Trends in Ecology &amp; Evolution </w:t>
      </w:r>
      <w:r>
        <w:rPr>
          <w:sz w:val="24"/>
        </w:rPr>
        <w:t>11: 317-321.</w:t>
      </w:r>
    </w:p>
    <w:p>
      <w:pPr>
        <w:pStyle w:val="ListParagraph"/>
        <w:numPr>
          <w:ilvl w:val="1"/>
          <w:numId w:val="7"/>
        </w:numPr>
        <w:tabs>
          <w:tab w:pos="859" w:val="left" w:leader="none"/>
        </w:tabs>
        <w:spacing w:line="472" w:lineRule="auto" w:before="23" w:after="0"/>
        <w:ind w:left="873" w:right="98" w:hanging="360"/>
        <w:jc w:val="both"/>
        <w:rPr>
          <w:rFonts w:ascii="Symbol" w:hAnsi="Symbol"/>
          <w:sz w:val="24"/>
        </w:rPr>
      </w:pPr>
      <w:r>
        <w:rPr>
          <w:sz w:val="24"/>
        </w:rPr>
        <w:t>Šimková A., Lafond T., Ondračková M., Jurajda P., Ottová E. and Morand  S.  (2008) Parasitism, life history traits and immune defense </w:t>
      </w:r>
      <w:r>
        <w:rPr>
          <w:spacing w:val="-3"/>
          <w:sz w:val="24"/>
        </w:rPr>
        <w:t>in </w:t>
      </w:r>
      <w:r>
        <w:rPr>
          <w:sz w:val="24"/>
        </w:rPr>
        <w:t>cyprinid fish from Central Europe. </w:t>
      </w:r>
      <w:r>
        <w:rPr>
          <w:i/>
          <w:sz w:val="24"/>
        </w:rPr>
        <w:t>BMC Evolutionary Biology </w:t>
      </w:r>
      <w:r>
        <w:rPr>
          <w:spacing w:val="-3"/>
          <w:sz w:val="24"/>
        </w:rPr>
        <w:t>8:</w:t>
      </w:r>
      <w:r>
        <w:rPr>
          <w:spacing w:val="-4"/>
          <w:sz w:val="24"/>
        </w:rPr>
        <w:t> </w:t>
      </w:r>
      <w:r>
        <w:rPr>
          <w:sz w:val="24"/>
        </w:rPr>
        <w:t>29.</w:t>
      </w:r>
    </w:p>
    <w:p>
      <w:pPr>
        <w:pStyle w:val="ListParagraph"/>
        <w:numPr>
          <w:ilvl w:val="1"/>
          <w:numId w:val="7"/>
        </w:numPr>
        <w:tabs>
          <w:tab w:pos="858" w:val="left" w:leader="none"/>
          <w:tab w:pos="859" w:val="left" w:leader="none"/>
        </w:tabs>
        <w:spacing w:line="240" w:lineRule="auto" w:before="20" w:after="0"/>
        <w:ind w:left="858" w:right="0" w:hanging="345"/>
        <w:jc w:val="left"/>
        <w:rPr>
          <w:rFonts w:ascii="Symbol" w:hAnsi="Symbol"/>
          <w:sz w:val="24"/>
        </w:rPr>
      </w:pPr>
      <w:r>
        <w:rPr>
          <w:sz w:val="24"/>
        </w:rPr>
        <w:t>Soto-Galera  E.  y  Paulo-Maya  J.  (1995)  Peces  dulceacuícolas  Mexicanos.  </w:t>
      </w:r>
      <w:r>
        <w:rPr>
          <w:spacing w:val="56"/>
          <w:sz w:val="24"/>
        </w:rPr>
        <w:t> </w:t>
      </w:r>
      <w:r>
        <w:rPr>
          <w:sz w:val="24"/>
        </w:rPr>
        <w:t>XL.</w:t>
      </w:r>
    </w:p>
    <w:p>
      <w:pPr>
        <w:pStyle w:val="BodyText"/>
        <w:spacing w:before="5"/>
        <w:rPr>
          <w:sz w:val="23"/>
        </w:rPr>
      </w:pPr>
    </w:p>
    <w:p>
      <w:pPr>
        <w:spacing w:before="1"/>
        <w:ind w:left="873" w:right="0" w:firstLine="0"/>
        <w:jc w:val="left"/>
        <w:rPr>
          <w:sz w:val="24"/>
        </w:rPr>
      </w:pPr>
      <w:r>
        <w:rPr>
          <w:i/>
          <w:sz w:val="24"/>
        </w:rPr>
        <w:t>Allotoca dugesii </w:t>
      </w:r>
      <w:r>
        <w:rPr>
          <w:sz w:val="24"/>
        </w:rPr>
        <w:t>(Cyprinodontiformes: Goodeidae). </w:t>
      </w:r>
      <w:r>
        <w:rPr>
          <w:i/>
          <w:sz w:val="24"/>
        </w:rPr>
        <w:t>Zool. Inf. IPN </w:t>
      </w:r>
      <w:r>
        <w:rPr>
          <w:sz w:val="24"/>
        </w:rPr>
        <w:t>31: 5-15.</w:t>
      </w:r>
    </w:p>
    <w:p>
      <w:pPr>
        <w:spacing w:after="0"/>
        <w:jc w:val="left"/>
        <w:rPr>
          <w:sz w:val="24"/>
        </w:rPr>
        <w:sectPr>
          <w:pgSz w:w="12240" w:h="15840"/>
          <w:pgMar w:header="0" w:footer="1304" w:top="1500" w:bottom="1560" w:left="1720" w:right="1420"/>
        </w:sectPr>
      </w:pPr>
    </w:p>
    <w:p>
      <w:pPr>
        <w:pStyle w:val="BodyText"/>
        <w:rPr>
          <w:sz w:val="22"/>
        </w:rPr>
      </w:pPr>
    </w:p>
    <w:p>
      <w:pPr>
        <w:pStyle w:val="ListParagraph"/>
        <w:numPr>
          <w:ilvl w:val="1"/>
          <w:numId w:val="7"/>
        </w:numPr>
        <w:tabs>
          <w:tab w:pos="859" w:val="left" w:leader="none"/>
        </w:tabs>
        <w:spacing w:line="460" w:lineRule="auto" w:before="55" w:after="0"/>
        <w:ind w:left="873" w:right="130" w:hanging="360"/>
        <w:jc w:val="both"/>
        <w:rPr>
          <w:rFonts w:ascii="Symbol"/>
          <w:sz w:val="24"/>
        </w:rPr>
      </w:pPr>
      <w:r>
        <w:rPr>
          <w:sz w:val="24"/>
        </w:rPr>
        <w:t>Stearns S. C. (1992) </w:t>
      </w:r>
      <w:r>
        <w:rPr>
          <w:i/>
          <w:sz w:val="24"/>
        </w:rPr>
        <w:t>The evolution </w:t>
      </w:r>
      <w:r>
        <w:rPr>
          <w:i/>
          <w:spacing w:val="-3"/>
          <w:sz w:val="24"/>
        </w:rPr>
        <w:t>of </w:t>
      </w:r>
      <w:r>
        <w:rPr>
          <w:i/>
          <w:sz w:val="24"/>
        </w:rPr>
        <w:t>life histories</w:t>
      </w:r>
      <w:r>
        <w:rPr>
          <w:sz w:val="24"/>
        </w:rPr>
        <w:t>. Oxford University Press,  Oxford. 247</w:t>
      </w:r>
      <w:r>
        <w:rPr>
          <w:spacing w:val="-4"/>
          <w:sz w:val="24"/>
        </w:rPr>
        <w:t> </w:t>
      </w:r>
      <w:r>
        <w:rPr>
          <w:sz w:val="24"/>
        </w:rPr>
        <w:t>pp.</w:t>
      </w:r>
    </w:p>
    <w:p>
      <w:pPr>
        <w:pStyle w:val="ListParagraph"/>
        <w:numPr>
          <w:ilvl w:val="1"/>
          <w:numId w:val="7"/>
        </w:numPr>
        <w:tabs>
          <w:tab w:pos="859" w:val="left" w:leader="none"/>
        </w:tabs>
        <w:spacing w:line="472" w:lineRule="auto" w:before="33" w:after="0"/>
        <w:ind w:left="873" w:right="121" w:hanging="360"/>
        <w:jc w:val="both"/>
        <w:rPr>
          <w:rFonts w:ascii="Symbol" w:hAnsi="Symbol"/>
          <w:sz w:val="24"/>
        </w:rPr>
      </w:pPr>
      <w:r>
        <w:rPr>
          <w:sz w:val="24"/>
        </w:rPr>
        <w:t>Szidat L. &amp; Nani </w:t>
      </w:r>
      <w:r>
        <w:rPr>
          <w:spacing w:val="-3"/>
          <w:sz w:val="24"/>
        </w:rPr>
        <w:t>A. </w:t>
      </w:r>
      <w:r>
        <w:rPr>
          <w:sz w:val="24"/>
        </w:rPr>
        <w:t>(1951) </w:t>
      </w:r>
      <w:r>
        <w:rPr>
          <w:i/>
          <w:sz w:val="24"/>
        </w:rPr>
        <w:t>Diplostomiasis cerebralis </w:t>
      </w:r>
      <w:r>
        <w:rPr>
          <w:sz w:val="24"/>
        </w:rPr>
        <w:t>del pejerrey. </w:t>
      </w:r>
      <w:r>
        <w:rPr>
          <w:i/>
          <w:sz w:val="24"/>
        </w:rPr>
        <w:t>Revista del </w:t>
      </w:r>
      <w:r>
        <w:rPr>
          <w:i/>
          <w:sz w:val="24"/>
        </w:rPr>
        <w:t>Instituto Nacional de Investigación de las Ciencias Naturales Zoología </w:t>
      </w:r>
      <w:r>
        <w:rPr>
          <w:sz w:val="24"/>
        </w:rPr>
        <w:t>1(8): 323– 384.</w:t>
      </w:r>
    </w:p>
    <w:p>
      <w:pPr>
        <w:pStyle w:val="ListParagraph"/>
        <w:numPr>
          <w:ilvl w:val="1"/>
          <w:numId w:val="7"/>
        </w:numPr>
        <w:tabs>
          <w:tab w:pos="859" w:val="left" w:leader="none"/>
        </w:tabs>
        <w:spacing w:line="475" w:lineRule="auto" w:before="20" w:after="0"/>
        <w:ind w:left="873" w:right="121" w:hanging="360"/>
        <w:jc w:val="both"/>
        <w:rPr>
          <w:rFonts w:ascii="Symbol" w:hAnsi="Symbol"/>
          <w:sz w:val="24"/>
        </w:rPr>
      </w:pPr>
      <w:r>
        <w:rPr>
          <w:sz w:val="24"/>
        </w:rPr>
        <w:t>Szidat L. &amp; Nani </w:t>
      </w:r>
      <w:r>
        <w:rPr>
          <w:spacing w:val="-3"/>
          <w:sz w:val="24"/>
        </w:rPr>
        <w:t>A. </w:t>
      </w:r>
      <w:r>
        <w:rPr>
          <w:sz w:val="24"/>
        </w:rPr>
        <w:t>(1952) Nota preliminar sobre una parasitosis grave de los pejerreyes producida por larvas de tremátodos de </w:t>
      </w:r>
      <w:r>
        <w:rPr>
          <w:spacing w:val="-3"/>
          <w:sz w:val="24"/>
        </w:rPr>
        <w:t>la </w:t>
      </w:r>
      <w:r>
        <w:rPr>
          <w:sz w:val="24"/>
        </w:rPr>
        <w:t>Familia Diplostomidae (Poirier 1886) que destruyen el cerebro de los peces. </w:t>
      </w:r>
      <w:r>
        <w:rPr>
          <w:i/>
          <w:sz w:val="24"/>
        </w:rPr>
        <w:t>Revista de Medicina Veterinaria </w:t>
      </w:r>
      <w:r>
        <w:rPr>
          <w:sz w:val="24"/>
        </w:rPr>
        <w:t>34(1): 9-14.</w:t>
      </w:r>
    </w:p>
    <w:p>
      <w:pPr>
        <w:pStyle w:val="ListParagraph"/>
        <w:numPr>
          <w:ilvl w:val="1"/>
          <w:numId w:val="7"/>
        </w:numPr>
        <w:tabs>
          <w:tab w:pos="859" w:val="left" w:leader="none"/>
        </w:tabs>
        <w:spacing w:line="470" w:lineRule="auto" w:before="17" w:after="0"/>
        <w:ind w:left="873" w:right="120" w:hanging="360"/>
        <w:jc w:val="both"/>
        <w:rPr>
          <w:rFonts w:ascii="Symbol" w:hAnsi="Symbol"/>
          <w:sz w:val="24"/>
        </w:rPr>
      </w:pPr>
      <w:r>
        <w:rPr>
          <w:sz w:val="24"/>
        </w:rPr>
        <w:t>Thomas F., Renaud F., Meeûs T. and Poulin R. (1998) Manipulation </w:t>
      </w:r>
      <w:r>
        <w:rPr>
          <w:spacing w:val="4"/>
          <w:sz w:val="24"/>
        </w:rPr>
        <w:t>of </w:t>
      </w:r>
      <w:r>
        <w:rPr>
          <w:sz w:val="24"/>
        </w:rPr>
        <w:t>host behavior by parasites: ecosystem engineering </w:t>
      </w:r>
      <w:r>
        <w:rPr>
          <w:spacing w:val="-3"/>
          <w:sz w:val="24"/>
        </w:rPr>
        <w:t>in </w:t>
      </w:r>
      <w:r>
        <w:rPr>
          <w:sz w:val="24"/>
        </w:rPr>
        <w:t>the intertidal zone?. </w:t>
      </w:r>
      <w:r>
        <w:rPr>
          <w:i/>
          <w:sz w:val="24"/>
        </w:rPr>
        <w:t>Proceedings of </w:t>
      </w:r>
      <w:r>
        <w:rPr>
          <w:i/>
          <w:sz w:val="24"/>
        </w:rPr>
        <w:t>the Royal Society </w:t>
      </w:r>
      <w:r>
        <w:rPr>
          <w:i/>
          <w:spacing w:val="-3"/>
          <w:sz w:val="24"/>
        </w:rPr>
        <w:t>of </w:t>
      </w:r>
      <w:r>
        <w:rPr>
          <w:i/>
          <w:sz w:val="24"/>
        </w:rPr>
        <w:t>London </w:t>
      </w:r>
      <w:r>
        <w:rPr>
          <w:sz w:val="24"/>
        </w:rPr>
        <w:t>265:</w:t>
      </w:r>
      <w:r>
        <w:rPr>
          <w:spacing w:val="6"/>
          <w:sz w:val="24"/>
        </w:rPr>
        <w:t> </w:t>
      </w:r>
      <w:r>
        <w:rPr>
          <w:sz w:val="24"/>
        </w:rPr>
        <w:t>1091-1096.</w:t>
      </w:r>
    </w:p>
    <w:p>
      <w:pPr>
        <w:pStyle w:val="ListParagraph"/>
        <w:numPr>
          <w:ilvl w:val="1"/>
          <w:numId w:val="7"/>
        </w:numPr>
        <w:tabs>
          <w:tab w:pos="859" w:val="left" w:leader="none"/>
        </w:tabs>
        <w:spacing w:line="465" w:lineRule="auto" w:before="23" w:after="0"/>
        <w:ind w:left="873" w:right="134" w:hanging="360"/>
        <w:jc w:val="both"/>
        <w:rPr>
          <w:rFonts w:ascii="Symbol"/>
          <w:sz w:val="24"/>
        </w:rPr>
      </w:pPr>
      <w:r>
        <w:rPr>
          <w:sz w:val="24"/>
        </w:rPr>
        <w:t>Torchin M. E., Lafferty </w:t>
      </w:r>
      <w:r>
        <w:rPr>
          <w:spacing w:val="-3"/>
          <w:sz w:val="24"/>
        </w:rPr>
        <w:t>K. </w:t>
      </w:r>
      <w:r>
        <w:rPr>
          <w:sz w:val="24"/>
        </w:rPr>
        <w:t>D. and Kuris </w:t>
      </w:r>
      <w:r>
        <w:rPr>
          <w:spacing w:val="-3"/>
          <w:sz w:val="24"/>
        </w:rPr>
        <w:t>A. </w:t>
      </w:r>
      <w:r>
        <w:rPr>
          <w:sz w:val="24"/>
        </w:rPr>
        <w:t>M. (2002) Parasites and marine invasions</w:t>
      </w:r>
      <w:r>
        <w:rPr>
          <w:color w:val="154773"/>
          <w:sz w:val="24"/>
        </w:rPr>
        <w:t>. </w:t>
      </w:r>
      <w:r>
        <w:rPr>
          <w:i/>
          <w:sz w:val="24"/>
        </w:rPr>
        <w:t>Parasitology Cambridge University Press </w:t>
      </w:r>
      <w:r>
        <w:rPr>
          <w:sz w:val="24"/>
        </w:rPr>
        <w:t>124:</w:t>
      </w:r>
      <w:r>
        <w:rPr>
          <w:spacing w:val="-15"/>
          <w:sz w:val="24"/>
        </w:rPr>
        <w:t> </w:t>
      </w:r>
      <w:r>
        <w:rPr>
          <w:sz w:val="24"/>
        </w:rPr>
        <w:t>137-151.</w:t>
      </w:r>
    </w:p>
    <w:p>
      <w:pPr>
        <w:pStyle w:val="ListParagraph"/>
        <w:numPr>
          <w:ilvl w:val="1"/>
          <w:numId w:val="7"/>
        </w:numPr>
        <w:tabs>
          <w:tab w:pos="859" w:val="left" w:leader="none"/>
        </w:tabs>
        <w:spacing w:line="460" w:lineRule="auto" w:before="28" w:after="0"/>
        <w:ind w:left="873" w:right="129" w:hanging="360"/>
        <w:jc w:val="both"/>
        <w:rPr>
          <w:rFonts w:ascii="Symbol" w:hAnsi="Symbol"/>
          <w:sz w:val="24"/>
        </w:rPr>
      </w:pPr>
      <w:r>
        <w:rPr>
          <w:sz w:val="24"/>
        </w:rPr>
        <w:t>Torres-Orozco R.B. (1991) </w:t>
      </w:r>
      <w:r>
        <w:rPr>
          <w:i/>
          <w:sz w:val="24"/>
        </w:rPr>
        <w:t>Los peces de México. </w:t>
      </w:r>
      <w:r>
        <w:rPr>
          <w:sz w:val="24"/>
        </w:rPr>
        <w:t>México: AGT Editor, S. </w:t>
      </w:r>
      <w:r>
        <w:rPr>
          <w:spacing w:val="-3"/>
          <w:sz w:val="24"/>
        </w:rPr>
        <w:t>A. </w:t>
      </w:r>
      <w:r>
        <w:rPr>
          <w:sz w:val="24"/>
        </w:rPr>
        <w:t>235 pp.</w:t>
      </w:r>
    </w:p>
    <w:p>
      <w:pPr>
        <w:pStyle w:val="ListParagraph"/>
        <w:numPr>
          <w:ilvl w:val="1"/>
          <w:numId w:val="7"/>
        </w:numPr>
        <w:tabs>
          <w:tab w:pos="859" w:val="left" w:leader="none"/>
        </w:tabs>
        <w:spacing w:line="475" w:lineRule="auto" w:before="34" w:after="0"/>
        <w:ind w:left="873" w:right="116" w:hanging="360"/>
        <w:jc w:val="both"/>
        <w:rPr>
          <w:rFonts w:ascii="Symbol"/>
          <w:sz w:val="24"/>
        </w:rPr>
      </w:pPr>
      <w:r>
        <w:rPr>
          <w:sz w:val="24"/>
        </w:rPr>
        <w:t>Tucker C. S., Sommerville C. &amp; Wootten R. (2002) Does </w:t>
      </w:r>
      <w:r>
        <w:rPr>
          <w:spacing w:val="-3"/>
          <w:sz w:val="24"/>
        </w:rPr>
        <w:t>size </w:t>
      </w:r>
      <w:r>
        <w:rPr>
          <w:sz w:val="24"/>
        </w:rPr>
        <w:t>really matter? Effects of fish surface area own the settlement and initial survival </w:t>
      </w:r>
      <w:r>
        <w:rPr>
          <w:spacing w:val="4"/>
          <w:sz w:val="24"/>
        </w:rPr>
        <w:t>of </w:t>
      </w:r>
      <w:r>
        <w:rPr>
          <w:i/>
          <w:sz w:val="24"/>
        </w:rPr>
        <w:t>Lepeophtheirus </w:t>
      </w:r>
      <w:r>
        <w:rPr>
          <w:i/>
          <w:sz w:val="24"/>
        </w:rPr>
        <w:t>salmonis</w:t>
      </w:r>
      <w:r>
        <w:rPr>
          <w:sz w:val="24"/>
        </w:rPr>
        <w:t>, an ectoparasite of Atlantic salmon </w:t>
      </w:r>
      <w:r>
        <w:rPr>
          <w:i/>
          <w:sz w:val="24"/>
        </w:rPr>
        <w:t>Salmo salar</w:t>
      </w:r>
      <w:r>
        <w:rPr>
          <w:sz w:val="24"/>
        </w:rPr>
        <w:t>. </w:t>
      </w:r>
      <w:r>
        <w:rPr>
          <w:i/>
          <w:sz w:val="24"/>
        </w:rPr>
        <w:t>Diseases of Aquatic </w:t>
      </w:r>
      <w:r>
        <w:rPr>
          <w:i/>
          <w:sz w:val="24"/>
        </w:rPr>
        <w:t>Organisms</w:t>
      </w:r>
      <w:r>
        <w:rPr>
          <w:sz w:val="24"/>
        </w:rPr>
        <w:t>, 49(2):</w:t>
      </w:r>
      <w:r>
        <w:rPr>
          <w:spacing w:val="-4"/>
          <w:sz w:val="24"/>
        </w:rPr>
        <w:t> </w:t>
      </w:r>
      <w:r>
        <w:rPr>
          <w:sz w:val="24"/>
        </w:rPr>
        <w:t>145-152.</w:t>
      </w:r>
    </w:p>
    <w:p>
      <w:pPr>
        <w:pStyle w:val="ListParagraph"/>
        <w:numPr>
          <w:ilvl w:val="1"/>
          <w:numId w:val="7"/>
        </w:numPr>
        <w:tabs>
          <w:tab w:pos="859" w:val="left" w:leader="none"/>
        </w:tabs>
        <w:spacing w:line="460" w:lineRule="auto" w:before="17" w:after="0"/>
        <w:ind w:left="873" w:right="120" w:hanging="360"/>
        <w:jc w:val="both"/>
        <w:rPr>
          <w:rFonts w:ascii="Symbol"/>
          <w:sz w:val="24"/>
        </w:rPr>
      </w:pPr>
      <w:r>
        <w:rPr>
          <w:sz w:val="24"/>
        </w:rPr>
        <w:t>Uldal </w:t>
      </w:r>
      <w:r>
        <w:rPr>
          <w:spacing w:val="-3"/>
          <w:sz w:val="24"/>
        </w:rPr>
        <w:t>A. </w:t>
      </w:r>
      <w:r>
        <w:rPr>
          <w:sz w:val="24"/>
        </w:rPr>
        <w:t>and Buchmann </w:t>
      </w:r>
      <w:r>
        <w:rPr>
          <w:spacing w:val="-3"/>
          <w:sz w:val="24"/>
        </w:rPr>
        <w:t>K. </w:t>
      </w:r>
      <w:r>
        <w:rPr>
          <w:sz w:val="24"/>
        </w:rPr>
        <w:t>(1996) Parasite host relations: </w:t>
      </w:r>
      <w:r>
        <w:rPr>
          <w:i/>
          <w:sz w:val="24"/>
        </w:rPr>
        <w:t>Hexamita salmonis </w:t>
      </w:r>
      <w:r>
        <w:rPr>
          <w:sz w:val="24"/>
        </w:rPr>
        <w:t>in rainbow trout </w:t>
      </w:r>
      <w:r>
        <w:rPr>
          <w:i/>
          <w:sz w:val="24"/>
        </w:rPr>
        <w:t>Oncorhynchus mykiss</w:t>
      </w:r>
      <w:r>
        <w:rPr>
          <w:sz w:val="24"/>
        </w:rPr>
        <w:t>. </w:t>
      </w:r>
      <w:r>
        <w:rPr>
          <w:i/>
          <w:sz w:val="24"/>
        </w:rPr>
        <w:t>Diseases of Aquatic Organisms </w:t>
      </w:r>
      <w:r>
        <w:rPr>
          <w:sz w:val="24"/>
        </w:rPr>
        <w:t>25:</w:t>
      </w:r>
      <w:r>
        <w:rPr>
          <w:spacing w:val="-10"/>
          <w:sz w:val="24"/>
        </w:rPr>
        <w:t> </w:t>
      </w:r>
      <w:r>
        <w:rPr>
          <w:sz w:val="24"/>
        </w:rPr>
        <w:t>233-238</w:t>
      </w:r>
    </w:p>
    <w:p>
      <w:pPr>
        <w:spacing w:after="0" w:line="460" w:lineRule="auto"/>
        <w:jc w:val="both"/>
        <w:rPr>
          <w:rFonts w:ascii="Symbol"/>
          <w:sz w:val="24"/>
        </w:rPr>
        <w:sectPr>
          <w:pgSz w:w="12240" w:h="15840"/>
          <w:pgMar w:header="0" w:footer="1304" w:top="1500" w:bottom="1560" w:left="1720" w:right="1400"/>
        </w:sectPr>
      </w:pPr>
    </w:p>
    <w:p>
      <w:pPr>
        <w:pStyle w:val="BodyText"/>
        <w:rPr>
          <w:sz w:val="22"/>
        </w:rPr>
      </w:pPr>
    </w:p>
    <w:p>
      <w:pPr>
        <w:pStyle w:val="ListParagraph"/>
        <w:numPr>
          <w:ilvl w:val="1"/>
          <w:numId w:val="7"/>
        </w:numPr>
        <w:tabs>
          <w:tab w:pos="859" w:val="left" w:leader="none"/>
        </w:tabs>
        <w:spacing w:line="472" w:lineRule="auto" w:before="55" w:after="0"/>
        <w:ind w:left="873" w:right="120" w:hanging="360"/>
        <w:jc w:val="both"/>
        <w:rPr>
          <w:rFonts w:ascii="Symbol"/>
          <w:sz w:val="24"/>
        </w:rPr>
      </w:pPr>
      <w:r>
        <w:rPr>
          <w:sz w:val="24"/>
        </w:rPr>
        <w:t>Viozzi G. P., Flores V. R. (2002) Population dynamics of </w:t>
      </w:r>
      <w:r>
        <w:rPr>
          <w:i/>
          <w:sz w:val="24"/>
        </w:rPr>
        <w:t>Tylodelphys destructor </w:t>
      </w:r>
      <w:r>
        <w:rPr>
          <w:sz w:val="24"/>
        </w:rPr>
        <w:t>and </w:t>
      </w:r>
      <w:r>
        <w:rPr>
          <w:i/>
          <w:sz w:val="24"/>
        </w:rPr>
        <w:t>Diplostomum mordax </w:t>
      </w:r>
      <w:r>
        <w:rPr>
          <w:sz w:val="24"/>
        </w:rPr>
        <w:t>(Digenea: Diplostomidae) co-occurring </w:t>
      </w:r>
      <w:r>
        <w:rPr>
          <w:spacing w:val="-3"/>
          <w:sz w:val="24"/>
        </w:rPr>
        <w:t>in </w:t>
      </w:r>
      <w:r>
        <w:rPr>
          <w:sz w:val="24"/>
        </w:rPr>
        <w:t>the brain of Patagonian silversides from Lake Pellegrini, Patagonia, Argentina. </w:t>
      </w:r>
      <w:r>
        <w:rPr>
          <w:i/>
          <w:sz w:val="24"/>
        </w:rPr>
        <w:t>Journal of </w:t>
      </w:r>
      <w:r>
        <w:rPr>
          <w:i/>
          <w:sz w:val="24"/>
        </w:rPr>
        <w:t>Wildlife Diseases, </w:t>
      </w:r>
      <w:r>
        <w:rPr>
          <w:sz w:val="24"/>
        </w:rPr>
        <w:t>38(4):</w:t>
      </w:r>
      <w:r>
        <w:rPr>
          <w:spacing w:val="-9"/>
          <w:sz w:val="24"/>
        </w:rPr>
        <w:t> </w:t>
      </w:r>
      <w:r>
        <w:rPr>
          <w:sz w:val="24"/>
        </w:rPr>
        <w:t>784-788.</w:t>
      </w:r>
    </w:p>
    <w:p>
      <w:pPr>
        <w:pStyle w:val="ListParagraph"/>
        <w:numPr>
          <w:ilvl w:val="1"/>
          <w:numId w:val="7"/>
        </w:numPr>
        <w:tabs>
          <w:tab w:pos="859" w:val="left" w:leader="none"/>
        </w:tabs>
        <w:spacing w:line="472" w:lineRule="auto" w:before="20" w:after="0"/>
        <w:ind w:left="873" w:right="117" w:hanging="360"/>
        <w:jc w:val="both"/>
        <w:rPr>
          <w:rFonts w:ascii="Symbol" w:hAnsi="Symbol"/>
          <w:sz w:val="24"/>
        </w:rPr>
      </w:pPr>
      <w:r>
        <w:rPr>
          <w:sz w:val="24"/>
        </w:rPr>
        <w:t>Votýpka J., </w:t>
      </w:r>
      <w:r>
        <w:rPr>
          <w:spacing w:val="-3"/>
          <w:sz w:val="24"/>
        </w:rPr>
        <w:t>Simek </w:t>
      </w:r>
      <w:r>
        <w:rPr>
          <w:sz w:val="24"/>
        </w:rPr>
        <w:t>J. And Tryjanowski P. (2003) Blood parasites, reproduction and sexual selection </w:t>
      </w:r>
      <w:r>
        <w:rPr>
          <w:spacing w:val="-3"/>
          <w:sz w:val="24"/>
        </w:rPr>
        <w:t>in </w:t>
      </w:r>
      <w:r>
        <w:rPr>
          <w:sz w:val="24"/>
        </w:rPr>
        <w:t>the red-backed shrike (Laniuscollurio). </w:t>
      </w:r>
      <w:r>
        <w:rPr>
          <w:i/>
          <w:sz w:val="24"/>
        </w:rPr>
        <w:t>Annales Zoologici  </w:t>
      </w:r>
      <w:r>
        <w:rPr>
          <w:i/>
          <w:sz w:val="24"/>
        </w:rPr>
        <w:t>Fennici </w:t>
      </w:r>
      <w:r>
        <w:rPr>
          <w:sz w:val="24"/>
        </w:rPr>
        <w:t>40:</w:t>
      </w:r>
      <w:r>
        <w:rPr>
          <w:spacing w:val="2"/>
          <w:sz w:val="24"/>
        </w:rPr>
        <w:t> </w:t>
      </w:r>
      <w:r>
        <w:rPr>
          <w:sz w:val="24"/>
        </w:rPr>
        <w:t>431-439.</w:t>
      </w:r>
    </w:p>
    <w:p>
      <w:pPr>
        <w:pStyle w:val="ListParagraph"/>
        <w:numPr>
          <w:ilvl w:val="1"/>
          <w:numId w:val="7"/>
        </w:numPr>
        <w:tabs>
          <w:tab w:pos="859" w:val="left" w:leader="none"/>
        </w:tabs>
        <w:spacing w:line="465" w:lineRule="auto" w:before="20" w:after="0"/>
        <w:ind w:left="873" w:right="125" w:hanging="360"/>
        <w:jc w:val="both"/>
        <w:rPr>
          <w:rFonts w:ascii="Symbol"/>
          <w:sz w:val="24"/>
        </w:rPr>
      </w:pPr>
      <w:r>
        <w:rPr>
          <w:sz w:val="24"/>
        </w:rPr>
        <w:t>Wootton J. R. (1998) </w:t>
      </w:r>
      <w:r>
        <w:rPr>
          <w:i/>
          <w:sz w:val="24"/>
        </w:rPr>
        <w:t>Ecology </w:t>
      </w:r>
      <w:r>
        <w:rPr>
          <w:i/>
          <w:spacing w:val="-3"/>
          <w:sz w:val="24"/>
        </w:rPr>
        <w:t>of </w:t>
      </w:r>
      <w:r>
        <w:rPr>
          <w:i/>
          <w:sz w:val="24"/>
        </w:rPr>
        <w:t>Teleost Fishes</w:t>
      </w:r>
      <w:r>
        <w:rPr>
          <w:sz w:val="24"/>
        </w:rPr>
        <w:t>. London: </w:t>
      </w:r>
      <w:r>
        <w:rPr>
          <w:spacing w:val="-2"/>
          <w:sz w:val="24"/>
        </w:rPr>
        <w:t>Klumer </w:t>
      </w:r>
      <w:r>
        <w:rPr>
          <w:sz w:val="24"/>
        </w:rPr>
        <w:t>Academic Publishers, 386</w:t>
      </w:r>
      <w:r>
        <w:rPr>
          <w:spacing w:val="-5"/>
          <w:sz w:val="24"/>
        </w:rPr>
        <w:t> </w:t>
      </w:r>
      <w:r>
        <w:rPr>
          <w:sz w:val="24"/>
        </w:rPr>
        <w:t>pp.</w:t>
      </w:r>
    </w:p>
    <w:p>
      <w:pPr>
        <w:pStyle w:val="ListParagraph"/>
        <w:numPr>
          <w:ilvl w:val="1"/>
          <w:numId w:val="7"/>
        </w:numPr>
        <w:tabs>
          <w:tab w:pos="859" w:val="left" w:leader="none"/>
        </w:tabs>
        <w:spacing w:line="470" w:lineRule="auto" w:before="28" w:after="0"/>
        <w:ind w:left="873" w:right="121" w:hanging="360"/>
        <w:jc w:val="both"/>
        <w:rPr>
          <w:rFonts w:ascii="Symbol"/>
          <w:sz w:val="24"/>
        </w:rPr>
      </w:pPr>
      <w:r>
        <w:rPr>
          <w:sz w:val="24"/>
        </w:rPr>
        <w:t>Wright R. </w:t>
      </w:r>
      <w:r>
        <w:rPr>
          <w:spacing w:val="-3"/>
          <w:sz w:val="24"/>
        </w:rPr>
        <w:t>V. </w:t>
      </w:r>
      <w:r>
        <w:rPr>
          <w:sz w:val="24"/>
        </w:rPr>
        <w:t>Lechanteur </w:t>
      </w:r>
      <w:r>
        <w:rPr>
          <w:spacing w:val="-3"/>
          <w:sz w:val="24"/>
        </w:rPr>
        <w:t>Y. </w:t>
      </w:r>
      <w:r>
        <w:rPr>
          <w:sz w:val="24"/>
        </w:rPr>
        <w:t>A., Prochazka </w:t>
      </w:r>
      <w:r>
        <w:rPr>
          <w:spacing w:val="-3"/>
          <w:sz w:val="24"/>
        </w:rPr>
        <w:t>K. </w:t>
      </w:r>
      <w:r>
        <w:rPr>
          <w:sz w:val="24"/>
        </w:rPr>
        <w:t>&amp; Griffiths C. L., (2001) Infection </w:t>
      </w:r>
      <w:r>
        <w:rPr>
          <w:spacing w:val="4"/>
          <w:sz w:val="24"/>
        </w:rPr>
        <w:t>of </w:t>
      </w:r>
      <w:r>
        <w:rPr>
          <w:sz w:val="24"/>
        </w:rPr>
        <w:t>hottentot </w:t>
      </w:r>
      <w:r>
        <w:rPr>
          <w:i/>
          <w:sz w:val="24"/>
        </w:rPr>
        <w:t>Pachymetopon blochii </w:t>
      </w:r>
      <w:r>
        <w:rPr>
          <w:sz w:val="24"/>
        </w:rPr>
        <w:t>by the fish louse </w:t>
      </w:r>
      <w:r>
        <w:rPr>
          <w:i/>
          <w:sz w:val="24"/>
        </w:rPr>
        <w:t>Anilocra capensis </w:t>
      </w:r>
      <w:r>
        <w:rPr>
          <w:sz w:val="24"/>
        </w:rPr>
        <w:t>(Crustacea: Isopoda) </w:t>
      </w:r>
      <w:r>
        <w:rPr>
          <w:spacing w:val="-3"/>
          <w:sz w:val="24"/>
        </w:rPr>
        <w:t>in </w:t>
      </w:r>
      <w:r>
        <w:rPr>
          <w:sz w:val="24"/>
        </w:rPr>
        <w:t>False Bay, South Africa. </w:t>
      </w:r>
      <w:r>
        <w:rPr>
          <w:i/>
          <w:sz w:val="24"/>
        </w:rPr>
        <w:t>African Zoology</w:t>
      </w:r>
      <w:r>
        <w:rPr>
          <w:sz w:val="24"/>
        </w:rPr>
        <w:t>, 36(2): 177-</w:t>
      </w:r>
      <w:r>
        <w:rPr>
          <w:spacing w:val="-11"/>
          <w:sz w:val="24"/>
        </w:rPr>
        <w:t> </w:t>
      </w:r>
      <w:r>
        <w:rPr>
          <w:sz w:val="24"/>
        </w:rPr>
        <w:t>183.</w:t>
      </w:r>
    </w:p>
    <w:p>
      <w:pPr>
        <w:pStyle w:val="ListParagraph"/>
        <w:numPr>
          <w:ilvl w:val="1"/>
          <w:numId w:val="7"/>
        </w:numPr>
        <w:tabs>
          <w:tab w:pos="859" w:val="left" w:leader="none"/>
        </w:tabs>
        <w:spacing w:line="465" w:lineRule="auto" w:before="23" w:after="0"/>
        <w:ind w:left="873" w:right="126" w:hanging="360"/>
        <w:jc w:val="both"/>
        <w:rPr>
          <w:rFonts w:ascii="Symbol" w:hAnsi="Symbol"/>
          <w:i/>
          <w:sz w:val="24"/>
        </w:rPr>
      </w:pPr>
      <w:r>
        <w:rPr>
          <w:sz w:val="24"/>
        </w:rPr>
        <w:t>Zuk M. (1990) Reproductive Strategies and Disease Susceptibility: an Evolutionary Viewpoint. </w:t>
      </w:r>
      <w:r>
        <w:rPr>
          <w:i/>
          <w:sz w:val="24"/>
        </w:rPr>
        <w:t>Parasitol. Today </w:t>
      </w:r>
      <w:r>
        <w:rPr>
          <w:i/>
          <w:spacing w:val="-3"/>
          <w:sz w:val="24"/>
        </w:rPr>
        <w:t>6:</w:t>
      </w:r>
      <w:r>
        <w:rPr>
          <w:i/>
          <w:spacing w:val="-21"/>
          <w:sz w:val="24"/>
        </w:rPr>
        <w:t> </w:t>
      </w:r>
      <w:r>
        <w:rPr>
          <w:i/>
          <w:sz w:val="24"/>
        </w:rPr>
        <w:t>231–233.</w:t>
      </w:r>
    </w:p>
    <w:sectPr>
      <w:pgSz w:w="12240" w:h="15840"/>
      <w:pgMar w:header="0" w:footer="1304" w:top="1500" w:bottom="1560" w:left="1720" w:right="1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MS Mincho">
    <w:altName w:val="MS Mincho"/>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type id="_x0000_t202" o:spt="202" coordsize="21600,21600" path="m,l,21600r21600,l21600,xe">
          <v:stroke joinstyle="miter"/>
          <v:path gradientshapeok="t" o:connecttype="rect"/>
        </v:shapetype>
        <v:shape style="position:absolute;margin-left:523.820007pt;margin-top:712.784912pt;width:14.1pt;height:12.1pt;mso-position-horizontal-relative:page;mso-position-vertical-relative:page;z-index:-54520" type="#_x0000_t202" filled="false" stroked="false">
          <v:textbox inset="0,0,0,0">
            <w:txbxContent>
              <w:p>
                <w:pPr>
                  <w:spacing w:line="225" w:lineRule="exact" w:before="0"/>
                  <w:ind w:left="40" w:right="0" w:firstLine="0"/>
                  <w:jc w:val="left"/>
                  <w:rPr>
                    <w:b/>
                    <w:sz w:val="20"/>
                  </w:rPr>
                </w:pPr>
                <w:r>
                  <w:rPr/>
                  <w:fldChar w:fldCharType="begin"/>
                </w:r>
                <w:r>
                  <w:rPr>
                    <w:b/>
                    <w:sz w:val="20"/>
                  </w:rPr>
                  <w:instrText> PAGE </w:instrText>
                </w:r>
                <w:r>
                  <w:rPr/>
                  <w:fldChar w:fldCharType="separate"/>
                </w:r>
                <w:r>
                  <w:rPr/>
                  <w:t>46</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7"/>
      <w:numFmt w:val="upperLetter"/>
      <w:lvlText w:val="%1."/>
      <w:lvlJc w:val="left"/>
      <w:pPr>
        <w:ind w:left="152" w:hanging="346"/>
        <w:jc w:val="left"/>
      </w:pPr>
      <w:rPr>
        <w:rFonts w:hint="default" w:ascii="Times New Roman" w:hAnsi="Times New Roman" w:eastAsia="Times New Roman" w:cs="Times New Roman"/>
        <w:i/>
        <w:w w:val="99"/>
        <w:sz w:val="24"/>
        <w:szCs w:val="24"/>
      </w:rPr>
    </w:lvl>
    <w:lvl w:ilvl="1">
      <w:start w:val="1"/>
      <w:numFmt w:val="bullet"/>
      <w:lvlText w:val=""/>
      <w:lvlJc w:val="left"/>
      <w:pPr>
        <w:ind w:left="873" w:hanging="346"/>
      </w:pPr>
      <w:rPr>
        <w:rFonts w:hint="default"/>
        <w:w w:val="100"/>
      </w:rPr>
    </w:lvl>
    <w:lvl w:ilvl="2">
      <w:start w:val="1"/>
      <w:numFmt w:val="bullet"/>
      <w:lvlText w:val="•"/>
      <w:lvlJc w:val="left"/>
      <w:pPr>
        <w:ind w:left="1795" w:hanging="346"/>
      </w:pPr>
      <w:rPr>
        <w:rFonts w:hint="default"/>
      </w:rPr>
    </w:lvl>
    <w:lvl w:ilvl="3">
      <w:start w:val="1"/>
      <w:numFmt w:val="bullet"/>
      <w:lvlText w:val="•"/>
      <w:lvlJc w:val="left"/>
      <w:pPr>
        <w:ind w:left="2711" w:hanging="346"/>
      </w:pPr>
      <w:rPr>
        <w:rFonts w:hint="default"/>
      </w:rPr>
    </w:lvl>
    <w:lvl w:ilvl="4">
      <w:start w:val="1"/>
      <w:numFmt w:val="bullet"/>
      <w:lvlText w:val="•"/>
      <w:lvlJc w:val="left"/>
      <w:pPr>
        <w:ind w:left="3626" w:hanging="346"/>
      </w:pPr>
      <w:rPr>
        <w:rFonts w:hint="default"/>
      </w:rPr>
    </w:lvl>
    <w:lvl w:ilvl="5">
      <w:start w:val="1"/>
      <w:numFmt w:val="bullet"/>
      <w:lvlText w:val="•"/>
      <w:lvlJc w:val="left"/>
      <w:pPr>
        <w:ind w:left="4542" w:hanging="346"/>
      </w:pPr>
      <w:rPr>
        <w:rFonts w:hint="default"/>
      </w:rPr>
    </w:lvl>
    <w:lvl w:ilvl="6">
      <w:start w:val="1"/>
      <w:numFmt w:val="bullet"/>
      <w:lvlText w:val="•"/>
      <w:lvlJc w:val="left"/>
      <w:pPr>
        <w:ind w:left="5457" w:hanging="346"/>
      </w:pPr>
      <w:rPr>
        <w:rFonts w:hint="default"/>
      </w:rPr>
    </w:lvl>
    <w:lvl w:ilvl="7">
      <w:start w:val="1"/>
      <w:numFmt w:val="bullet"/>
      <w:lvlText w:val="•"/>
      <w:lvlJc w:val="left"/>
      <w:pPr>
        <w:ind w:left="6373" w:hanging="346"/>
      </w:pPr>
      <w:rPr>
        <w:rFonts w:hint="default"/>
      </w:rPr>
    </w:lvl>
    <w:lvl w:ilvl="8">
      <w:start w:val="1"/>
      <w:numFmt w:val="bullet"/>
      <w:lvlText w:val="•"/>
      <w:lvlJc w:val="left"/>
      <w:pPr>
        <w:ind w:left="7288" w:hanging="346"/>
      </w:pPr>
      <w:rPr>
        <w:rFonts w:hint="default"/>
      </w:rPr>
    </w:lvl>
  </w:abstractNum>
  <w:abstractNum w:abstractNumId="5">
    <w:multiLevelType w:val="hybridMultilevel"/>
    <w:lvl w:ilvl="0">
      <w:start w:val="1"/>
      <w:numFmt w:val="decimal"/>
      <w:lvlText w:val="%1."/>
      <w:lvlJc w:val="left"/>
      <w:pPr>
        <w:ind w:left="580" w:hanging="428"/>
        <w:jc w:val="left"/>
      </w:pPr>
      <w:rPr>
        <w:rFonts w:hint="default" w:ascii="Times New Roman" w:hAnsi="Times New Roman" w:eastAsia="Times New Roman" w:cs="Times New Roman"/>
        <w:spacing w:val="-10"/>
        <w:w w:val="99"/>
        <w:sz w:val="24"/>
        <w:szCs w:val="24"/>
      </w:rPr>
    </w:lvl>
    <w:lvl w:ilvl="1">
      <w:start w:val="1"/>
      <w:numFmt w:val="bullet"/>
      <w:lvlText w:val="•"/>
      <w:lvlJc w:val="left"/>
      <w:pPr>
        <w:ind w:left="1448" w:hanging="428"/>
      </w:pPr>
      <w:rPr>
        <w:rFonts w:hint="default"/>
      </w:rPr>
    </w:lvl>
    <w:lvl w:ilvl="2">
      <w:start w:val="1"/>
      <w:numFmt w:val="bullet"/>
      <w:lvlText w:val="•"/>
      <w:lvlJc w:val="left"/>
      <w:pPr>
        <w:ind w:left="2316" w:hanging="428"/>
      </w:pPr>
      <w:rPr>
        <w:rFonts w:hint="default"/>
      </w:rPr>
    </w:lvl>
    <w:lvl w:ilvl="3">
      <w:start w:val="1"/>
      <w:numFmt w:val="bullet"/>
      <w:lvlText w:val="•"/>
      <w:lvlJc w:val="left"/>
      <w:pPr>
        <w:ind w:left="3184" w:hanging="428"/>
      </w:pPr>
      <w:rPr>
        <w:rFonts w:hint="default"/>
      </w:rPr>
    </w:lvl>
    <w:lvl w:ilvl="4">
      <w:start w:val="1"/>
      <w:numFmt w:val="bullet"/>
      <w:lvlText w:val="•"/>
      <w:lvlJc w:val="left"/>
      <w:pPr>
        <w:ind w:left="4052" w:hanging="428"/>
      </w:pPr>
      <w:rPr>
        <w:rFonts w:hint="default"/>
      </w:rPr>
    </w:lvl>
    <w:lvl w:ilvl="5">
      <w:start w:val="1"/>
      <w:numFmt w:val="bullet"/>
      <w:lvlText w:val="•"/>
      <w:lvlJc w:val="left"/>
      <w:pPr>
        <w:ind w:left="4920" w:hanging="428"/>
      </w:pPr>
      <w:rPr>
        <w:rFonts w:hint="default"/>
      </w:rPr>
    </w:lvl>
    <w:lvl w:ilvl="6">
      <w:start w:val="1"/>
      <w:numFmt w:val="bullet"/>
      <w:lvlText w:val="•"/>
      <w:lvlJc w:val="left"/>
      <w:pPr>
        <w:ind w:left="5788" w:hanging="428"/>
      </w:pPr>
      <w:rPr>
        <w:rFonts w:hint="default"/>
      </w:rPr>
    </w:lvl>
    <w:lvl w:ilvl="7">
      <w:start w:val="1"/>
      <w:numFmt w:val="bullet"/>
      <w:lvlText w:val="•"/>
      <w:lvlJc w:val="left"/>
      <w:pPr>
        <w:ind w:left="6656" w:hanging="428"/>
      </w:pPr>
      <w:rPr>
        <w:rFonts w:hint="default"/>
      </w:rPr>
    </w:lvl>
    <w:lvl w:ilvl="8">
      <w:start w:val="1"/>
      <w:numFmt w:val="bullet"/>
      <w:lvlText w:val="•"/>
      <w:lvlJc w:val="left"/>
      <w:pPr>
        <w:ind w:left="7524" w:hanging="428"/>
      </w:pPr>
      <w:rPr>
        <w:rFonts w:hint="default"/>
      </w:rPr>
    </w:lvl>
  </w:abstractNum>
  <w:abstractNum w:abstractNumId="4">
    <w:multiLevelType w:val="hybridMultilevel"/>
    <w:lvl w:ilvl="0">
      <w:start w:val="1"/>
      <w:numFmt w:val="decimal"/>
      <w:lvlText w:val="%1."/>
      <w:lvlJc w:val="left"/>
      <w:pPr>
        <w:ind w:left="873" w:hanging="346"/>
        <w:jc w:val="left"/>
      </w:pPr>
      <w:rPr>
        <w:rFonts w:hint="default"/>
        <w:i/>
        <w:spacing w:val="-30"/>
        <w:w w:val="99"/>
      </w:rPr>
    </w:lvl>
    <w:lvl w:ilvl="1">
      <w:start w:val="1"/>
      <w:numFmt w:val="bullet"/>
      <w:lvlText w:val=""/>
      <w:lvlJc w:val="left"/>
      <w:pPr>
        <w:ind w:left="1569" w:hanging="337"/>
      </w:pPr>
      <w:rPr>
        <w:rFonts w:hint="default" w:ascii="Symbol" w:hAnsi="Symbol" w:eastAsia="Symbol" w:cs="Symbol"/>
        <w:w w:val="100"/>
        <w:sz w:val="24"/>
        <w:szCs w:val="24"/>
      </w:rPr>
    </w:lvl>
    <w:lvl w:ilvl="2">
      <w:start w:val="1"/>
      <w:numFmt w:val="bullet"/>
      <w:lvlText w:val="•"/>
      <w:lvlJc w:val="left"/>
      <w:pPr>
        <w:ind w:left="2397" w:hanging="337"/>
      </w:pPr>
      <w:rPr>
        <w:rFonts w:hint="default"/>
      </w:rPr>
    </w:lvl>
    <w:lvl w:ilvl="3">
      <w:start w:val="1"/>
      <w:numFmt w:val="bullet"/>
      <w:lvlText w:val="•"/>
      <w:lvlJc w:val="left"/>
      <w:pPr>
        <w:ind w:left="3235" w:hanging="337"/>
      </w:pPr>
      <w:rPr>
        <w:rFonts w:hint="default"/>
      </w:rPr>
    </w:lvl>
    <w:lvl w:ilvl="4">
      <w:start w:val="1"/>
      <w:numFmt w:val="bullet"/>
      <w:lvlText w:val="•"/>
      <w:lvlJc w:val="left"/>
      <w:pPr>
        <w:ind w:left="4073" w:hanging="337"/>
      </w:pPr>
      <w:rPr>
        <w:rFonts w:hint="default"/>
      </w:rPr>
    </w:lvl>
    <w:lvl w:ilvl="5">
      <w:start w:val="1"/>
      <w:numFmt w:val="bullet"/>
      <w:lvlText w:val="•"/>
      <w:lvlJc w:val="left"/>
      <w:pPr>
        <w:ind w:left="4911" w:hanging="337"/>
      </w:pPr>
      <w:rPr>
        <w:rFonts w:hint="default"/>
      </w:rPr>
    </w:lvl>
    <w:lvl w:ilvl="6">
      <w:start w:val="1"/>
      <w:numFmt w:val="bullet"/>
      <w:lvlText w:val="•"/>
      <w:lvlJc w:val="left"/>
      <w:pPr>
        <w:ind w:left="5748" w:hanging="337"/>
      </w:pPr>
      <w:rPr>
        <w:rFonts w:hint="default"/>
      </w:rPr>
    </w:lvl>
    <w:lvl w:ilvl="7">
      <w:start w:val="1"/>
      <w:numFmt w:val="bullet"/>
      <w:lvlText w:val="•"/>
      <w:lvlJc w:val="left"/>
      <w:pPr>
        <w:ind w:left="6586" w:hanging="337"/>
      </w:pPr>
      <w:rPr>
        <w:rFonts w:hint="default"/>
      </w:rPr>
    </w:lvl>
    <w:lvl w:ilvl="8">
      <w:start w:val="1"/>
      <w:numFmt w:val="bullet"/>
      <w:lvlText w:val="•"/>
      <w:lvlJc w:val="left"/>
      <w:pPr>
        <w:ind w:left="7424" w:hanging="337"/>
      </w:pPr>
      <w:rPr>
        <w:rFonts w:hint="default"/>
      </w:rPr>
    </w:lvl>
  </w:abstractNum>
  <w:abstractNum w:abstractNumId="3">
    <w:multiLevelType w:val="hybridMultilevel"/>
    <w:lvl w:ilvl="0">
      <w:start w:val="3"/>
      <w:numFmt w:val="decimal"/>
      <w:lvlText w:val="%1"/>
      <w:lvlJc w:val="left"/>
      <w:pPr>
        <w:ind w:left="517" w:hanging="365"/>
        <w:jc w:val="left"/>
      </w:pPr>
      <w:rPr>
        <w:rFonts w:hint="default"/>
      </w:rPr>
    </w:lvl>
    <w:lvl w:ilvl="1">
      <w:start w:val="1"/>
      <w:numFmt w:val="decimal"/>
      <w:lvlText w:val="%1.%2"/>
      <w:lvlJc w:val="left"/>
      <w:pPr>
        <w:ind w:left="517" w:hanging="365"/>
        <w:jc w:val="left"/>
      </w:pPr>
      <w:rPr>
        <w:rFonts w:hint="default" w:ascii="Times New Roman" w:hAnsi="Times New Roman" w:eastAsia="Times New Roman" w:cs="Times New Roman"/>
        <w:i/>
        <w:w w:val="100"/>
        <w:sz w:val="24"/>
        <w:szCs w:val="24"/>
      </w:rPr>
    </w:lvl>
    <w:lvl w:ilvl="2">
      <w:start w:val="1"/>
      <w:numFmt w:val="bullet"/>
      <w:lvlText w:val=""/>
      <w:lvlJc w:val="left"/>
      <w:pPr>
        <w:ind w:left="873" w:hanging="346"/>
      </w:pPr>
      <w:rPr>
        <w:rFonts w:hint="default" w:ascii="Symbol" w:hAnsi="Symbol" w:eastAsia="Symbol" w:cs="Symbol"/>
        <w:w w:val="100"/>
        <w:sz w:val="24"/>
        <w:szCs w:val="24"/>
      </w:rPr>
    </w:lvl>
    <w:lvl w:ilvl="3">
      <w:start w:val="1"/>
      <w:numFmt w:val="bullet"/>
      <w:lvlText w:val="•"/>
      <w:lvlJc w:val="left"/>
      <w:pPr>
        <w:ind w:left="2706" w:hanging="346"/>
      </w:pPr>
      <w:rPr>
        <w:rFonts w:hint="default"/>
      </w:rPr>
    </w:lvl>
    <w:lvl w:ilvl="4">
      <w:start w:val="1"/>
      <w:numFmt w:val="bullet"/>
      <w:lvlText w:val="•"/>
      <w:lvlJc w:val="left"/>
      <w:pPr>
        <w:ind w:left="3620" w:hanging="346"/>
      </w:pPr>
      <w:rPr>
        <w:rFonts w:hint="default"/>
      </w:rPr>
    </w:lvl>
    <w:lvl w:ilvl="5">
      <w:start w:val="1"/>
      <w:numFmt w:val="bullet"/>
      <w:lvlText w:val="•"/>
      <w:lvlJc w:val="left"/>
      <w:pPr>
        <w:ind w:left="4533" w:hanging="346"/>
      </w:pPr>
      <w:rPr>
        <w:rFonts w:hint="default"/>
      </w:rPr>
    </w:lvl>
    <w:lvl w:ilvl="6">
      <w:start w:val="1"/>
      <w:numFmt w:val="bullet"/>
      <w:lvlText w:val="•"/>
      <w:lvlJc w:val="left"/>
      <w:pPr>
        <w:ind w:left="5446" w:hanging="346"/>
      </w:pPr>
      <w:rPr>
        <w:rFonts w:hint="default"/>
      </w:rPr>
    </w:lvl>
    <w:lvl w:ilvl="7">
      <w:start w:val="1"/>
      <w:numFmt w:val="bullet"/>
      <w:lvlText w:val="•"/>
      <w:lvlJc w:val="left"/>
      <w:pPr>
        <w:ind w:left="6360" w:hanging="346"/>
      </w:pPr>
      <w:rPr>
        <w:rFonts w:hint="default"/>
      </w:rPr>
    </w:lvl>
    <w:lvl w:ilvl="8">
      <w:start w:val="1"/>
      <w:numFmt w:val="bullet"/>
      <w:lvlText w:val="•"/>
      <w:lvlJc w:val="left"/>
      <w:pPr>
        <w:ind w:left="7273" w:hanging="346"/>
      </w:pPr>
      <w:rPr>
        <w:rFonts w:hint="default"/>
      </w:rPr>
    </w:lvl>
  </w:abstractNum>
  <w:abstractNum w:abstractNumId="2">
    <w:multiLevelType w:val="hybridMultilevel"/>
    <w:lvl w:ilvl="0">
      <w:start w:val="1"/>
      <w:numFmt w:val="decimal"/>
      <w:lvlText w:val="%1"/>
      <w:lvlJc w:val="left"/>
      <w:pPr>
        <w:ind w:left="335" w:hanging="183"/>
        <w:jc w:val="left"/>
      </w:pPr>
      <w:rPr>
        <w:rFonts w:hint="default" w:ascii="Times New Roman" w:hAnsi="Times New Roman" w:eastAsia="Times New Roman" w:cs="Times New Roman"/>
        <w:w w:val="100"/>
        <w:sz w:val="24"/>
        <w:szCs w:val="24"/>
      </w:rPr>
    </w:lvl>
    <w:lvl w:ilvl="1">
      <w:start w:val="1"/>
      <w:numFmt w:val="decimal"/>
      <w:lvlText w:val="%1.%2"/>
      <w:lvlJc w:val="left"/>
      <w:pPr>
        <w:ind w:left="517" w:hanging="365"/>
        <w:jc w:val="left"/>
      </w:pPr>
      <w:rPr>
        <w:rFonts w:hint="default"/>
        <w:i/>
        <w:w w:val="100"/>
      </w:rPr>
    </w:lvl>
    <w:lvl w:ilvl="2">
      <w:start w:val="1"/>
      <w:numFmt w:val="bullet"/>
      <w:lvlText w:val="•"/>
      <w:lvlJc w:val="left"/>
      <w:pPr>
        <w:ind w:left="1475" w:hanging="365"/>
      </w:pPr>
      <w:rPr>
        <w:rFonts w:hint="default"/>
      </w:rPr>
    </w:lvl>
    <w:lvl w:ilvl="3">
      <w:start w:val="1"/>
      <w:numFmt w:val="bullet"/>
      <w:lvlText w:val="•"/>
      <w:lvlJc w:val="left"/>
      <w:pPr>
        <w:ind w:left="2431" w:hanging="365"/>
      </w:pPr>
      <w:rPr>
        <w:rFonts w:hint="default"/>
      </w:rPr>
    </w:lvl>
    <w:lvl w:ilvl="4">
      <w:start w:val="1"/>
      <w:numFmt w:val="bullet"/>
      <w:lvlText w:val="•"/>
      <w:lvlJc w:val="left"/>
      <w:pPr>
        <w:ind w:left="3386" w:hanging="365"/>
      </w:pPr>
      <w:rPr>
        <w:rFonts w:hint="default"/>
      </w:rPr>
    </w:lvl>
    <w:lvl w:ilvl="5">
      <w:start w:val="1"/>
      <w:numFmt w:val="bullet"/>
      <w:lvlText w:val="•"/>
      <w:lvlJc w:val="left"/>
      <w:pPr>
        <w:ind w:left="4342" w:hanging="365"/>
      </w:pPr>
      <w:rPr>
        <w:rFonts w:hint="default"/>
      </w:rPr>
    </w:lvl>
    <w:lvl w:ilvl="6">
      <w:start w:val="1"/>
      <w:numFmt w:val="bullet"/>
      <w:lvlText w:val="•"/>
      <w:lvlJc w:val="left"/>
      <w:pPr>
        <w:ind w:left="5297" w:hanging="365"/>
      </w:pPr>
      <w:rPr>
        <w:rFonts w:hint="default"/>
      </w:rPr>
    </w:lvl>
    <w:lvl w:ilvl="7">
      <w:start w:val="1"/>
      <w:numFmt w:val="bullet"/>
      <w:lvlText w:val="•"/>
      <w:lvlJc w:val="left"/>
      <w:pPr>
        <w:ind w:left="6253" w:hanging="365"/>
      </w:pPr>
      <w:rPr>
        <w:rFonts w:hint="default"/>
      </w:rPr>
    </w:lvl>
    <w:lvl w:ilvl="8">
      <w:start w:val="1"/>
      <w:numFmt w:val="bullet"/>
      <w:lvlText w:val="•"/>
      <w:lvlJc w:val="left"/>
      <w:pPr>
        <w:ind w:left="7208" w:hanging="365"/>
      </w:pPr>
      <w:rPr>
        <w:rFonts w:hint="default"/>
      </w:rPr>
    </w:lvl>
  </w:abstractNum>
  <w:abstractNum w:abstractNumId="1">
    <w:multiLevelType w:val="hybridMultilevel"/>
    <w:lvl w:ilvl="0">
      <w:start w:val="1"/>
      <w:numFmt w:val="decimal"/>
      <w:lvlText w:val="%1."/>
      <w:lvlJc w:val="left"/>
      <w:pPr>
        <w:ind w:left="152" w:hanging="409"/>
        <w:jc w:val="left"/>
      </w:pPr>
      <w:rPr>
        <w:rFonts w:hint="default" w:ascii="Times New Roman" w:hAnsi="Times New Roman" w:eastAsia="Times New Roman" w:cs="Times New Roman"/>
        <w:w w:val="100"/>
        <w:sz w:val="22"/>
        <w:szCs w:val="22"/>
      </w:rPr>
    </w:lvl>
    <w:lvl w:ilvl="1">
      <w:start w:val="1"/>
      <w:numFmt w:val="bullet"/>
      <w:lvlText w:val="•"/>
      <w:lvlJc w:val="left"/>
      <w:pPr>
        <w:ind w:left="1054" w:hanging="409"/>
      </w:pPr>
      <w:rPr>
        <w:rFonts w:hint="default"/>
      </w:rPr>
    </w:lvl>
    <w:lvl w:ilvl="2">
      <w:start w:val="1"/>
      <w:numFmt w:val="bullet"/>
      <w:lvlText w:val="•"/>
      <w:lvlJc w:val="left"/>
      <w:pPr>
        <w:ind w:left="1948" w:hanging="409"/>
      </w:pPr>
      <w:rPr>
        <w:rFonts w:hint="default"/>
      </w:rPr>
    </w:lvl>
    <w:lvl w:ilvl="3">
      <w:start w:val="1"/>
      <w:numFmt w:val="bullet"/>
      <w:lvlText w:val="•"/>
      <w:lvlJc w:val="left"/>
      <w:pPr>
        <w:ind w:left="2842" w:hanging="409"/>
      </w:pPr>
      <w:rPr>
        <w:rFonts w:hint="default"/>
      </w:rPr>
    </w:lvl>
    <w:lvl w:ilvl="4">
      <w:start w:val="1"/>
      <w:numFmt w:val="bullet"/>
      <w:lvlText w:val="•"/>
      <w:lvlJc w:val="left"/>
      <w:pPr>
        <w:ind w:left="3736" w:hanging="409"/>
      </w:pPr>
      <w:rPr>
        <w:rFonts w:hint="default"/>
      </w:rPr>
    </w:lvl>
    <w:lvl w:ilvl="5">
      <w:start w:val="1"/>
      <w:numFmt w:val="bullet"/>
      <w:lvlText w:val="•"/>
      <w:lvlJc w:val="left"/>
      <w:pPr>
        <w:ind w:left="4630" w:hanging="409"/>
      </w:pPr>
      <w:rPr>
        <w:rFonts w:hint="default"/>
      </w:rPr>
    </w:lvl>
    <w:lvl w:ilvl="6">
      <w:start w:val="1"/>
      <w:numFmt w:val="bullet"/>
      <w:lvlText w:val="•"/>
      <w:lvlJc w:val="left"/>
      <w:pPr>
        <w:ind w:left="5524" w:hanging="409"/>
      </w:pPr>
      <w:rPr>
        <w:rFonts w:hint="default"/>
      </w:rPr>
    </w:lvl>
    <w:lvl w:ilvl="7">
      <w:start w:val="1"/>
      <w:numFmt w:val="bullet"/>
      <w:lvlText w:val="•"/>
      <w:lvlJc w:val="left"/>
      <w:pPr>
        <w:ind w:left="6418" w:hanging="409"/>
      </w:pPr>
      <w:rPr>
        <w:rFonts w:hint="default"/>
      </w:rPr>
    </w:lvl>
    <w:lvl w:ilvl="8">
      <w:start w:val="1"/>
      <w:numFmt w:val="bullet"/>
      <w:lvlText w:val="•"/>
      <w:lvlJc w:val="left"/>
      <w:pPr>
        <w:ind w:left="7312" w:hanging="409"/>
      </w:pPr>
      <w:rPr>
        <w:rFonts w:hint="default"/>
      </w:rPr>
    </w:lvl>
  </w:abstractNum>
  <w:abstractNum w:abstractNumId="0">
    <w:multiLevelType w:val="hybridMultilevel"/>
    <w:lvl w:ilvl="0">
      <w:start w:val="1"/>
      <w:numFmt w:val="decimal"/>
      <w:lvlText w:val="%1"/>
      <w:lvlJc w:val="left"/>
      <w:pPr>
        <w:ind w:left="320" w:hanging="168"/>
        <w:jc w:val="left"/>
      </w:pPr>
      <w:rPr>
        <w:rFonts w:hint="default" w:ascii="Times New Roman" w:hAnsi="Times New Roman" w:eastAsia="Times New Roman" w:cs="Times New Roman"/>
        <w:w w:val="100"/>
        <w:sz w:val="22"/>
        <w:szCs w:val="22"/>
      </w:rPr>
    </w:lvl>
    <w:lvl w:ilvl="1">
      <w:start w:val="1"/>
      <w:numFmt w:val="decimal"/>
      <w:lvlText w:val="%1.%2"/>
      <w:lvlJc w:val="left"/>
      <w:pPr>
        <w:ind w:left="728" w:hanging="336"/>
        <w:jc w:val="left"/>
      </w:pPr>
      <w:rPr>
        <w:rFonts w:hint="default" w:ascii="Times New Roman" w:hAnsi="Times New Roman" w:eastAsia="Times New Roman" w:cs="Times New Roman"/>
        <w:i/>
        <w:w w:val="100"/>
        <w:sz w:val="22"/>
        <w:szCs w:val="22"/>
      </w:rPr>
    </w:lvl>
    <w:lvl w:ilvl="2">
      <w:start w:val="1"/>
      <w:numFmt w:val="bullet"/>
      <w:lvlText w:val="•"/>
      <w:lvlJc w:val="left"/>
      <w:pPr>
        <w:ind w:left="1651" w:hanging="336"/>
      </w:pPr>
      <w:rPr>
        <w:rFonts w:hint="default"/>
      </w:rPr>
    </w:lvl>
    <w:lvl w:ilvl="3">
      <w:start w:val="1"/>
      <w:numFmt w:val="bullet"/>
      <w:lvlText w:val="•"/>
      <w:lvlJc w:val="left"/>
      <w:pPr>
        <w:ind w:left="2582" w:hanging="336"/>
      </w:pPr>
      <w:rPr>
        <w:rFonts w:hint="default"/>
      </w:rPr>
    </w:lvl>
    <w:lvl w:ilvl="4">
      <w:start w:val="1"/>
      <w:numFmt w:val="bullet"/>
      <w:lvlText w:val="•"/>
      <w:lvlJc w:val="left"/>
      <w:pPr>
        <w:ind w:left="3513" w:hanging="336"/>
      </w:pPr>
      <w:rPr>
        <w:rFonts w:hint="default"/>
      </w:rPr>
    </w:lvl>
    <w:lvl w:ilvl="5">
      <w:start w:val="1"/>
      <w:numFmt w:val="bullet"/>
      <w:lvlText w:val="•"/>
      <w:lvlJc w:val="left"/>
      <w:pPr>
        <w:ind w:left="4444" w:hanging="336"/>
      </w:pPr>
      <w:rPr>
        <w:rFonts w:hint="default"/>
      </w:rPr>
    </w:lvl>
    <w:lvl w:ilvl="6">
      <w:start w:val="1"/>
      <w:numFmt w:val="bullet"/>
      <w:lvlText w:val="•"/>
      <w:lvlJc w:val="left"/>
      <w:pPr>
        <w:ind w:left="5375" w:hanging="336"/>
      </w:pPr>
      <w:rPr>
        <w:rFonts w:hint="default"/>
      </w:rPr>
    </w:lvl>
    <w:lvl w:ilvl="7">
      <w:start w:val="1"/>
      <w:numFmt w:val="bullet"/>
      <w:lvlText w:val="•"/>
      <w:lvlJc w:val="left"/>
      <w:pPr>
        <w:ind w:left="6306" w:hanging="336"/>
      </w:pPr>
      <w:rPr>
        <w:rFonts w:hint="default"/>
      </w:rPr>
    </w:lvl>
    <w:lvl w:ilvl="8">
      <w:start w:val="1"/>
      <w:numFmt w:val="bullet"/>
      <w:lvlText w:val="•"/>
      <w:lvlJc w:val="left"/>
      <w:pPr>
        <w:ind w:left="7237" w:hanging="336"/>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17"/>
      <w:ind w:left="152"/>
    </w:pPr>
    <w:rPr>
      <w:rFonts w:ascii="Times New Roman" w:hAnsi="Times New Roman" w:eastAsia="Times New Roman" w:cs="Times New Roman"/>
      <w:b/>
      <w:bCs/>
      <w:sz w:val="24"/>
      <w:szCs w:val="24"/>
    </w:rPr>
  </w:style>
  <w:style w:styleId="TOC2" w:type="paragraph">
    <w:name w:val="TOC 2"/>
    <w:basedOn w:val="Normal"/>
    <w:uiPriority w:val="1"/>
    <w:qFormat/>
    <w:pPr>
      <w:ind w:left="320" w:hanging="168"/>
    </w:pPr>
    <w:rPr>
      <w:rFonts w:ascii="Times New Roman" w:hAnsi="Times New Roman" w:eastAsia="Times New Roman" w:cs="Times New Roman"/>
      <w:sz w:val="22"/>
      <w:szCs w:val="22"/>
    </w:rPr>
  </w:style>
  <w:style w:styleId="TOC3" w:type="paragraph">
    <w:name w:val="TOC 3"/>
    <w:basedOn w:val="Normal"/>
    <w:uiPriority w:val="1"/>
    <w:qFormat/>
    <w:pPr>
      <w:ind w:left="152"/>
    </w:pPr>
    <w:rPr>
      <w:rFonts w:ascii="Times New Roman" w:hAnsi="Times New Roman" w:eastAsia="Times New Roman" w:cs="Times New Roman"/>
      <w:b/>
      <w:bCs/>
      <w:i/>
    </w:rPr>
  </w:style>
  <w:style w:styleId="TOC4" w:type="paragraph">
    <w:name w:val="TOC 4"/>
    <w:basedOn w:val="Normal"/>
    <w:uiPriority w:val="1"/>
    <w:qFormat/>
    <w:pPr>
      <w:spacing w:before="1"/>
      <w:ind w:left="728" w:hanging="335"/>
    </w:pPr>
    <w:rPr>
      <w:rFonts w:ascii="Times New Roman" w:hAnsi="Times New Roman" w:eastAsia="Times New Roman" w:cs="Times New Roman"/>
      <w:i/>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9"/>
      <w:ind w:left="15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73"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jpeg"/><Relationship Id="rId14" Type="http://schemas.openxmlformats.org/officeDocument/2006/relationships/image" Target="media/image9.png"/><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jpeg"/><Relationship Id="rId18" Type="http://schemas.openxmlformats.org/officeDocument/2006/relationships/image" Target="media/image13.jpeg"/><Relationship Id="rId19" Type="http://schemas.openxmlformats.org/officeDocument/2006/relationships/image" Target="media/image14.jpeg"/><Relationship Id="rId20" Type="http://schemas.openxmlformats.org/officeDocument/2006/relationships/image" Target="media/image15.jpeg"/><Relationship Id="rId21" Type="http://schemas.openxmlformats.org/officeDocument/2006/relationships/image" Target="media/image16.jpeg"/><Relationship Id="rId22" Type="http://schemas.openxmlformats.org/officeDocument/2006/relationships/image" Target="media/image17.jpeg"/><Relationship Id="rId23" Type="http://schemas.openxmlformats.org/officeDocument/2006/relationships/image" Target="media/image18.jpeg"/><Relationship Id="rId24" Type="http://schemas.openxmlformats.org/officeDocument/2006/relationships/image" Target="media/image19.jpeg"/><Relationship Id="rId25" Type="http://schemas.openxmlformats.org/officeDocument/2006/relationships/image" Target="media/image20.jpeg"/><Relationship Id="rId26" Type="http://schemas.openxmlformats.org/officeDocument/2006/relationships/image" Target="media/image21.jpeg"/><Relationship Id="rId27" Type="http://schemas.openxmlformats.org/officeDocument/2006/relationships/image" Target="media/image22.jpeg"/><Relationship Id="rId28" Type="http://schemas.openxmlformats.org/officeDocument/2006/relationships/image" Target="media/image23.jpeg"/><Relationship Id="rId29" Type="http://schemas.openxmlformats.org/officeDocument/2006/relationships/image" Target="media/image24.jpeg"/><Relationship Id="rId30" Type="http://schemas.openxmlformats.org/officeDocument/2006/relationships/image" Target="media/image25.jpeg"/><Relationship Id="rId31" Type="http://schemas.openxmlformats.org/officeDocument/2006/relationships/image" Target="media/image26.jpeg"/><Relationship Id="rId32" Type="http://schemas.openxmlformats.org/officeDocument/2006/relationships/image" Target="media/image27.jpeg"/><Relationship Id="rId33" Type="http://schemas.openxmlformats.org/officeDocument/2006/relationships/image" Target="media/image28.jpeg"/><Relationship Id="rId34" Type="http://schemas.openxmlformats.org/officeDocument/2006/relationships/image" Target="media/image29.jpeg"/><Relationship Id="rId35" Type="http://schemas.openxmlformats.org/officeDocument/2006/relationships/image" Target="media/image30.jpeg"/><Relationship Id="rId36" Type="http://schemas.openxmlformats.org/officeDocument/2006/relationships/image" Target="media/image31.jpeg"/><Relationship Id="rId37" Type="http://schemas.openxmlformats.org/officeDocument/2006/relationships/image" Target="media/image32.jpeg"/><Relationship Id="rId38" Type="http://schemas.openxmlformats.org/officeDocument/2006/relationships/image" Target="media/image33.jpeg"/><Relationship Id="rId39" Type="http://schemas.openxmlformats.org/officeDocument/2006/relationships/image" Target="media/image34.jpeg"/><Relationship Id="rId40" Type="http://schemas.openxmlformats.org/officeDocument/2006/relationships/hyperlink" Target="http://www.iucnredlist.org/" TargetMode="External"/><Relationship Id="rId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AZUCENA GOMEZ NAVARRETE</dc:creator>
  <dcterms:created xsi:type="dcterms:W3CDTF">2017-05-19T18:05:23Z</dcterms:created>
  <dcterms:modified xsi:type="dcterms:W3CDTF">2017-05-19T18:05:23Z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2013-10-16T00:00:00Z</vt:filetime>
  </property>
  <property fmtid="{D5CDD505-2E9C-101B-9397-08002B2CF9AE}" pid="3" name="Creator">
    <vt:lpwstr>Microsoft® Word 2010</vt:lpwstr>
  </property>
  <property fmtid="{D5CDD505-2E9C-101B-9397-08002B2CF9AE}" pid="4" name="LastSaved">
    <vt:filetime>2017-05-19T00:00:00Z</vt:filetime>
  </property>
</Properties>
</file>