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0"/>
        <w:rPr>
          <w:rFonts w:ascii="Times New Roman"/>
          <w:sz w:val="15"/>
        </w:rPr>
      </w:pPr>
    </w:p>
    <w:p>
      <w:pPr>
        <w:pStyle w:val="Heading1"/>
        <w:spacing w:line="360" w:lineRule="auto"/>
        <w:ind w:left="4633" w:hanging="2451"/>
        <w:rPr>
          <w:rFonts w:ascii="Arial" w:hAnsi="Arial"/>
        </w:rPr>
      </w:pPr>
      <w:r>
        <w:rPr/>
        <w:drawing>
          <wp:anchor distT="0" distB="0" distL="0" distR="0" allowOverlap="1" layoutInCell="1" locked="0" behindDoc="0" simplePos="0" relativeHeight="0">
            <wp:simplePos x="0" y="0"/>
            <wp:positionH relativeFrom="page">
              <wp:posOffset>975360</wp:posOffset>
            </wp:positionH>
            <wp:positionV relativeFrom="paragraph">
              <wp:posOffset>-264644</wp:posOffset>
            </wp:positionV>
            <wp:extent cx="1022604" cy="109880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22604" cy="1098803"/>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6384035</wp:posOffset>
            </wp:positionH>
            <wp:positionV relativeFrom="paragraph">
              <wp:posOffset>6627</wp:posOffset>
            </wp:positionV>
            <wp:extent cx="871728" cy="79247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71728" cy="792479"/>
                    </a:xfrm>
                    <a:prstGeom prst="rect">
                      <a:avLst/>
                    </a:prstGeom>
                  </pic:spPr>
                </pic:pic>
              </a:graphicData>
            </a:graphic>
          </wp:anchor>
        </w:drawing>
      </w:r>
      <w:r>
        <w:rPr>
          <w:rFonts w:ascii="Arial" w:hAnsi="Arial"/>
        </w:rPr>
        <w:t>UNIVERSIDAD AUTÓNOMA DEL ESTADO DE MÉXICO</w:t>
      </w:r>
    </w:p>
    <w:p>
      <w:pPr>
        <w:spacing w:line="360" w:lineRule="auto" w:before="4"/>
        <w:ind w:left="3875" w:right="1913" w:hanging="1537"/>
        <w:jc w:val="left"/>
        <w:rPr>
          <w:b/>
          <w:sz w:val="28"/>
        </w:rPr>
      </w:pPr>
      <w:r>
        <w:rPr>
          <w:b/>
          <w:sz w:val="28"/>
        </w:rPr>
        <w:t>FACULTAD DE MEDICINA VETERINARIA Y ZOOTECNIA</w:t>
      </w:r>
    </w:p>
    <w:p>
      <w:pPr>
        <w:pStyle w:val="BodyText"/>
        <w:rPr>
          <w:b/>
          <w:sz w:val="28"/>
        </w:rPr>
      </w:pPr>
    </w:p>
    <w:p>
      <w:pPr>
        <w:spacing w:line="360" w:lineRule="auto" w:before="167"/>
        <w:ind w:left="3837" w:right="1481" w:hanging="3059"/>
        <w:jc w:val="left"/>
        <w:rPr>
          <w:b/>
          <w:sz w:val="28"/>
        </w:rPr>
      </w:pPr>
      <w:r>
        <w:rPr>
          <w:b/>
          <w:sz w:val="28"/>
        </w:rPr>
        <w:t>MAESTRÍA EN CIENCIAS AGROPECUARIAS Y RECURSOS NATURALES</w:t>
      </w:r>
    </w:p>
    <w:p>
      <w:pPr>
        <w:pStyle w:val="BodyText"/>
        <w:rPr>
          <w:b/>
          <w:sz w:val="20"/>
        </w:rPr>
      </w:pPr>
    </w:p>
    <w:p>
      <w:pPr>
        <w:pStyle w:val="BodyText"/>
        <w:rPr>
          <w:b/>
          <w:sz w:val="20"/>
        </w:rPr>
      </w:pPr>
    </w:p>
    <w:p>
      <w:pPr>
        <w:pStyle w:val="BodyText"/>
        <w:rPr>
          <w:b/>
          <w:sz w:val="20"/>
        </w:rPr>
      </w:pPr>
    </w:p>
    <w:p>
      <w:pPr>
        <w:pStyle w:val="BodyText"/>
        <w:spacing w:before="3"/>
        <w:rPr>
          <w:b/>
          <w:sz w:val="18"/>
        </w:rPr>
      </w:pPr>
    </w:p>
    <w:p>
      <w:pPr>
        <w:spacing w:line="360" w:lineRule="auto" w:before="0"/>
        <w:ind w:left="397" w:right="1117" w:firstLine="5"/>
        <w:jc w:val="center"/>
        <w:rPr>
          <w:b/>
          <w:sz w:val="22"/>
        </w:rPr>
      </w:pPr>
      <w:r>
        <w:rPr>
          <w:b/>
          <w:sz w:val="22"/>
        </w:rPr>
        <w:t>CARACTERIZACIÓN CLÍNICA Y PATÓLOGICA DE LA ENCEFALITIS EQUINA VENEZOLANA SUBTIPO IE EN UNA REGIÓN ENDÉMICA EN EL SUR DEL ESTADO DE VERACRUZ EN MODELOS EQUINOS.</w:t>
      </w:r>
    </w:p>
    <w:p>
      <w:pPr>
        <w:pStyle w:val="BodyText"/>
        <w:rPr>
          <w:b/>
          <w:sz w:val="22"/>
        </w:rPr>
      </w:pPr>
    </w:p>
    <w:p>
      <w:pPr>
        <w:pStyle w:val="BodyText"/>
        <w:spacing w:before="2"/>
        <w:rPr>
          <w:b/>
          <w:sz w:val="32"/>
        </w:rPr>
      </w:pPr>
    </w:p>
    <w:p>
      <w:pPr>
        <w:spacing w:before="0"/>
        <w:ind w:left="309" w:right="1028" w:firstLine="0"/>
        <w:jc w:val="center"/>
        <w:rPr>
          <w:b/>
          <w:sz w:val="36"/>
        </w:rPr>
      </w:pPr>
      <w:r>
        <w:rPr>
          <w:b/>
          <w:sz w:val="36"/>
        </w:rPr>
        <w:t>T E S I S</w:t>
      </w:r>
    </w:p>
    <w:p>
      <w:pPr>
        <w:pStyle w:val="BodyText"/>
        <w:rPr>
          <w:b/>
          <w:sz w:val="36"/>
        </w:rPr>
      </w:pPr>
    </w:p>
    <w:p>
      <w:pPr>
        <w:spacing w:line="360" w:lineRule="auto" w:before="278"/>
        <w:ind w:left="309" w:right="1033" w:firstLine="0"/>
        <w:jc w:val="center"/>
        <w:rPr>
          <w:b/>
          <w:sz w:val="22"/>
        </w:rPr>
      </w:pPr>
      <w:r>
        <w:rPr>
          <w:b/>
          <w:sz w:val="22"/>
        </w:rPr>
        <w:t>QUE PARA OBTENER EL GRADO DE MAESTRA EN CIENCIAS AGROPECUARIAS Y RECURSOS NATURALES</w:t>
      </w:r>
    </w:p>
    <w:p>
      <w:pPr>
        <w:pStyle w:val="BodyText"/>
        <w:rPr>
          <w:b/>
          <w:sz w:val="22"/>
        </w:rPr>
      </w:pPr>
    </w:p>
    <w:p>
      <w:pPr>
        <w:pStyle w:val="BodyText"/>
        <w:spacing w:before="5"/>
        <w:rPr>
          <w:b/>
          <w:sz w:val="20"/>
        </w:rPr>
      </w:pPr>
    </w:p>
    <w:p>
      <w:pPr>
        <w:pStyle w:val="Heading4"/>
        <w:spacing w:before="0"/>
        <w:ind w:left="309" w:right="1030"/>
        <w:jc w:val="center"/>
      </w:pPr>
      <w:r>
        <w:rPr/>
        <w:t>PRESENTA:</w:t>
      </w:r>
    </w:p>
    <w:p>
      <w:pPr>
        <w:spacing w:before="139"/>
        <w:ind w:left="309" w:right="1032" w:firstLine="0"/>
        <w:jc w:val="center"/>
        <w:rPr>
          <w:b/>
          <w:sz w:val="24"/>
        </w:rPr>
      </w:pPr>
      <w:r>
        <w:rPr>
          <w:b/>
          <w:sz w:val="24"/>
        </w:rPr>
        <w:t>VERÓNICA ALEJANDRINA FABELA BECERRIL.</w:t>
      </w:r>
    </w:p>
    <w:p>
      <w:pPr>
        <w:pStyle w:val="BodyText"/>
        <w:rPr>
          <w:b/>
        </w:rPr>
      </w:pPr>
    </w:p>
    <w:p>
      <w:pPr>
        <w:pStyle w:val="BodyText"/>
        <w:spacing w:before="9"/>
        <w:rPr>
          <w:b/>
          <w:sz w:val="29"/>
        </w:rPr>
      </w:pPr>
    </w:p>
    <w:p>
      <w:pPr>
        <w:spacing w:before="0"/>
        <w:ind w:left="309" w:right="1025" w:firstLine="0"/>
        <w:jc w:val="center"/>
        <w:rPr>
          <w:b/>
          <w:sz w:val="20"/>
        </w:rPr>
      </w:pPr>
      <w:r>
        <w:rPr>
          <w:b/>
          <w:sz w:val="20"/>
        </w:rPr>
        <w:t>COMITÉ DE TUTORES:</w:t>
      </w:r>
    </w:p>
    <w:p>
      <w:pPr>
        <w:spacing w:line="360" w:lineRule="auto" w:before="113"/>
        <w:ind w:left="2618" w:right="3339" w:firstLine="0"/>
        <w:jc w:val="center"/>
        <w:rPr>
          <w:b/>
          <w:sz w:val="20"/>
        </w:rPr>
      </w:pPr>
      <w:r>
        <w:rPr>
          <w:b/>
          <w:sz w:val="20"/>
        </w:rPr>
        <w:t>DR. JOSÉ GUILLERMO ESTRADA FRANCO DR. JUAN CARLOS VÁZQUEZ CHAGOYÁN DR. ALBERTO BARBABOSA PLIEGO</w:t>
      </w:r>
    </w:p>
    <w:p>
      <w:pPr>
        <w:pStyle w:val="BodyText"/>
        <w:rPr>
          <w:b/>
          <w:sz w:val="20"/>
        </w:rPr>
      </w:pPr>
    </w:p>
    <w:p>
      <w:pPr>
        <w:pStyle w:val="BodyText"/>
        <w:rPr>
          <w:b/>
          <w:sz w:val="20"/>
        </w:rPr>
      </w:pPr>
    </w:p>
    <w:p>
      <w:pPr>
        <w:pStyle w:val="BodyText"/>
        <w:rPr>
          <w:b/>
          <w:sz w:val="20"/>
        </w:rPr>
      </w:pPr>
    </w:p>
    <w:p>
      <w:pPr>
        <w:pStyle w:val="BodyText"/>
        <w:spacing w:before="2"/>
        <w:rPr>
          <w:b/>
        </w:rPr>
      </w:pPr>
    </w:p>
    <w:p>
      <w:pPr>
        <w:spacing w:before="0"/>
        <w:ind w:left="309" w:right="1026" w:firstLine="0"/>
        <w:jc w:val="center"/>
        <w:rPr>
          <w:b/>
          <w:sz w:val="20"/>
        </w:rPr>
      </w:pPr>
      <w:r>
        <w:rPr>
          <w:b/>
          <w:sz w:val="18"/>
        </w:rPr>
        <w:t>El Cerrillo </w:t>
      </w:r>
      <w:r>
        <w:rPr>
          <w:b/>
          <w:sz w:val="20"/>
        </w:rPr>
        <w:t>Piedras Blancas, Toluca, Estado de México, Abril 2016.</w:t>
      </w:r>
    </w:p>
    <w:p>
      <w:pPr>
        <w:spacing w:after="0"/>
        <w:jc w:val="center"/>
        <w:rPr>
          <w:sz w:val="20"/>
        </w:rPr>
        <w:sectPr>
          <w:type w:val="continuous"/>
          <w:pgSz w:w="12240" w:h="15840"/>
          <w:pgMar w:top="1420" w:bottom="280" w:left="1420" w:right="7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10"/>
        <w:rPr>
          <w:rFonts w:ascii="Times New Roman"/>
          <w:sz w:val="28"/>
        </w:rPr>
      </w:pPr>
    </w:p>
    <w:p>
      <w:pPr>
        <w:pStyle w:val="Heading1"/>
        <w:ind w:left="3977" w:right="4113" w:firstLine="0"/>
        <w:jc w:val="center"/>
        <w:rPr>
          <w:rFonts w:ascii="Arial" w:hAnsi="Arial"/>
        </w:rPr>
      </w:pPr>
      <w:r>
        <w:rPr>
          <w:rFonts w:ascii="Arial" w:hAnsi="Arial"/>
        </w:rPr>
        <w:t>Índice</w:t>
      </w:r>
    </w:p>
    <w:p>
      <w:pPr>
        <w:pStyle w:val="BodyText"/>
        <w:spacing w:line="360" w:lineRule="auto" w:before="162"/>
        <w:ind w:left="1061" w:right="6071"/>
      </w:pPr>
      <w:r>
        <w:rPr/>
        <w:t>Resumen Abstract Agradecimientos Índice de figuras</w:t>
      </w:r>
    </w:p>
    <w:p>
      <w:pPr>
        <w:pStyle w:val="ListParagraph"/>
        <w:numPr>
          <w:ilvl w:val="0"/>
          <w:numId w:val="1"/>
        </w:numPr>
        <w:tabs>
          <w:tab w:pos="1061" w:val="left" w:leader="none"/>
          <w:tab w:pos="1062" w:val="left" w:leader="none"/>
          <w:tab w:pos="8503" w:val="left" w:leader="dot"/>
        </w:tabs>
        <w:spacing w:line="240" w:lineRule="auto" w:before="5" w:after="0"/>
        <w:ind w:left="1062" w:right="0" w:hanging="720"/>
        <w:jc w:val="left"/>
        <w:rPr>
          <w:sz w:val="24"/>
        </w:rPr>
      </w:pPr>
      <w:r>
        <w:rPr>
          <w:sz w:val="24"/>
        </w:rPr>
        <w:t>Introducción</w:t>
      </w:r>
      <w:r>
        <w:rPr>
          <w:rFonts w:ascii="Times New Roman" w:hAnsi="Times New Roman"/>
          <w:sz w:val="24"/>
        </w:rPr>
        <w:tab/>
      </w:r>
      <w:r>
        <w:rPr>
          <w:sz w:val="24"/>
        </w:rPr>
        <w:t>1.</w:t>
      </w:r>
    </w:p>
    <w:p>
      <w:pPr>
        <w:pStyle w:val="ListParagraph"/>
        <w:numPr>
          <w:ilvl w:val="0"/>
          <w:numId w:val="1"/>
        </w:numPr>
        <w:tabs>
          <w:tab w:pos="1061" w:val="left" w:leader="none"/>
          <w:tab w:pos="1062" w:val="left" w:leader="none"/>
          <w:tab w:pos="8531" w:val="left" w:leader="dot"/>
        </w:tabs>
        <w:spacing w:line="362" w:lineRule="auto" w:before="137" w:after="0"/>
        <w:ind w:left="1062" w:right="274" w:hanging="720"/>
        <w:jc w:val="left"/>
        <w:rPr>
          <w:sz w:val="24"/>
        </w:rPr>
      </w:pPr>
      <w:r>
        <w:rPr>
          <w:sz w:val="24"/>
        </w:rPr>
        <w:t>Revisión bibliográfica……………………………………………………….. II.1.</w:t>
      </w:r>
      <w:r>
        <w:rPr>
          <w:spacing w:val="-2"/>
          <w:sz w:val="24"/>
        </w:rPr>
        <w:t> </w:t>
      </w:r>
      <w:r>
        <w:rPr>
          <w:sz w:val="24"/>
        </w:rPr>
        <w:t>Clasificación</w:t>
      </w:r>
      <w:r>
        <w:rPr>
          <w:rFonts w:ascii="Times New Roman" w:hAnsi="Times New Roman"/>
          <w:sz w:val="24"/>
        </w:rPr>
        <w:tab/>
      </w:r>
      <w:r>
        <w:rPr>
          <w:sz w:val="24"/>
        </w:rPr>
        <w:t>2</w:t>
      </w:r>
    </w:p>
    <w:p>
      <w:pPr>
        <w:pStyle w:val="ListParagraph"/>
        <w:numPr>
          <w:ilvl w:val="1"/>
          <w:numId w:val="1"/>
        </w:numPr>
        <w:tabs>
          <w:tab w:pos="1530" w:val="left" w:leader="none"/>
          <w:tab w:pos="8530" w:val="left" w:leader="dot"/>
        </w:tabs>
        <w:spacing w:line="240" w:lineRule="auto" w:before="0" w:after="0"/>
        <w:ind w:left="1062" w:right="0" w:firstLine="0"/>
        <w:jc w:val="left"/>
        <w:rPr>
          <w:sz w:val="24"/>
        </w:rPr>
      </w:pPr>
      <w:r>
        <w:rPr>
          <w:sz w:val="24"/>
        </w:rPr>
        <w:t>Genoma y estructura</w:t>
      </w:r>
      <w:r>
        <w:rPr>
          <w:spacing w:val="-6"/>
          <w:sz w:val="24"/>
        </w:rPr>
        <w:t> </w:t>
      </w:r>
      <w:r>
        <w:rPr>
          <w:sz w:val="24"/>
        </w:rPr>
        <w:t>del</w:t>
      </w:r>
      <w:r>
        <w:rPr>
          <w:spacing w:val="-2"/>
          <w:sz w:val="24"/>
        </w:rPr>
        <w:t> </w:t>
      </w:r>
      <w:r>
        <w:rPr>
          <w:sz w:val="24"/>
        </w:rPr>
        <w:t>virión</w:t>
      </w:r>
      <w:r>
        <w:rPr>
          <w:rFonts w:ascii="Times New Roman" w:hAnsi="Times New Roman"/>
          <w:sz w:val="24"/>
        </w:rPr>
        <w:tab/>
      </w:r>
      <w:r>
        <w:rPr>
          <w:sz w:val="24"/>
        </w:rPr>
        <w:t>3</w:t>
      </w:r>
    </w:p>
    <w:p>
      <w:pPr>
        <w:pStyle w:val="ListParagraph"/>
        <w:numPr>
          <w:ilvl w:val="1"/>
          <w:numId w:val="1"/>
        </w:numPr>
        <w:tabs>
          <w:tab w:pos="1533" w:val="left" w:leader="none"/>
          <w:tab w:pos="8531" w:val="left" w:leader="dot"/>
        </w:tabs>
        <w:spacing w:line="240" w:lineRule="auto" w:before="139" w:after="0"/>
        <w:ind w:left="1532" w:right="0" w:hanging="470"/>
        <w:jc w:val="left"/>
        <w:rPr>
          <w:sz w:val="24"/>
        </w:rPr>
      </w:pPr>
      <w:r>
        <w:rPr>
          <w:sz w:val="24"/>
        </w:rPr>
        <w:t>Replicación</w:t>
      </w:r>
      <w:r>
        <w:rPr>
          <w:rFonts w:ascii="Times New Roman" w:hAnsi="Times New Roman"/>
          <w:sz w:val="24"/>
        </w:rPr>
        <w:tab/>
      </w:r>
      <w:r>
        <w:rPr>
          <w:sz w:val="24"/>
        </w:rPr>
        <w:t>5</w:t>
      </w:r>
    </w:p>
    <w:p>
      <w:pPr>
        <w:pStyle w:val="ListParagraph"/>
        <w:numPr>
          <w:ilvl w:val="1"/>
          <w:numId w:val="1"/>
        </w:numPr>
        <w:tabs>
          <w:tab w:pos="1530" w:val="left" w:leader="none"/>
          <w:tab w:pos="8544" w:val="left" w:leader="dot"/>
        </w:tabs>
        <w:spacing w:line="240" w:lineRule="auto" w:before="137" w:after="0"/>
        <w:ind w:left="1530" w:right="0" w:hanging="468"/>
        <w:jc w:val="left"/>
        <w:rPr>
          <w:sz w:val="24"/>
        </w:rPr>
      </w:pPr>
      <w:r>
        <w:rPr>
          <w:sz w:val="24"/>
        </w:rPr>
        <w:t>El complejo de la Encefalitis</w:t>
      </w:r>
      <w:r>
        <w:rPr>
          <w:spacing w:val="-10"/>
          <w:sz w:val="24"/>
        </w:rPr>
        <w:t> </w:t>
      </w:r>
      <w:r>
        <w:rPr>
          <w:sz w:val="24"/>
        </w:rPr>
        <w:t>Equina</w:t>
      </w:r>
      <w:r>
        <w:rPr>
          <w:spacing w:val="-3"/>
          <w:sz w:val="24"/>
        </w:rPr>
        <w:t> </w:t>
      </w:r>
      <w:r>
        <w:rPr>
          <w:sz w:val="24"/>
        </w:rPr>
        <w:t>Venezolana</w:t>
      </w:r>
      <w:r>
        <w:rPr>
          <w:rFonts w:ascii="Times New Roman"/>
          <w:sz w:val="24"/>
        </w:rPr>
        <w:tab/>
      </w:r>
      <w:r>
        <w:rPr>
          <w:sz w:val="24"/>
        </w:rPr>
        <w:t>8</w:t>
      </w:r>
    </w:p>
    <w:p>
      <w:pPr>
        <w:pStyle w:val="ListParagraph"/>
        <w:numPr>
          <w:ilvl w:val="1"/>
          <w:numId w:val="1"/>
        </w:numPr>
        <w:tabs>
          <w:tab w:pos="1533" w:val="left" w:leader="none"/>
          <w:tab w:pos="8461" w:val="left" w:leader="dot"/>
        </w:tabs>
        <w:spacing w:line="240" w:lineRule="auto" w:before="139" w:after="0"/>
        <w:ind w:left="1532" w:right="0" w:hanging="470"/>
        <w:jc w:val="left"/>
        <w:rPr>
          <w:sz w:val="24"/>
        </w:rPr>
      </w:pPr>
      <w:r>
        <w:rPr>
          <w:sz w:val="24"/>
        </w:rPr>
        <w:t>Historia de la Encefalitis</w:t>
      </w:r>
      <w:r>
        <w:rPr>
          <w:spacing w:val="-12"/>
          <w:sz w:val="24"/>
        </w:rPr>
        <w:t> </w:t>
      </w:r>
      <w:r>
        <w:rPr>
          <w:sz w:val="24"/>
        </w:rPr>
        <w:t>Equina</w:t>
      </w:r>
      <w:r>
        <w:rPr>
          <w:spacing w:val="-4"/>
          <w:sz w:val="24"/>
        </w:rPr>
        <w:t> </w:t>
      </w:r>
      <w:r>
        <w:rPr>
          <w:sz w:val="24"/>
        </w:rPr>
        <w:t>Venezolana</w:t>
      </w:r>
      <w:r>
        <w:rPr>
          <w:rFonts w:ascii="Times New Roman"/>
          <w:sz w:val="24"/>
        </w:rPr>
        <w:tab/>
      </w:r>
      <w:r>
        <w:rPr>
          <w:sz w:val="24"/>
        </w:rPr>
        <w:t>11</w:t>
      </w:r>
    </w:p>
    <w:p>
      <w:pPr>
        <w:pStyle w:val="ListParagraph"/>
        <w:numPr>
          <w:ilvl w:val="1"/>
          <w:numId w:val="1"/>
        </w:numPr>
        <w:tabs>
          <w:tab w:pos="1533" w:val="left" w:leader="none"/>
          <w:tab w:pos="8489" w:val="left" w:leader="dot"/>
        </w:tabs>
        <w:spacing w:line="240" w:lineRule="auto" w:before="137" w:after="0"/>
        <w:ind w:left="1532" w:right="0" w:hanging="470"/>
        <w:jc w:val="left"/>
        <w:rPr>
          <w:sz w:val="24"/>
        </w:rPr>
      </w:pPr>
      <w:r>
        <w:rPr>
          <w:sz w:val="24"/>
        </w:rPr>
        <w:t>Reemergencia de la Encefalitis</w:t>
      </w:r>
      <w:r>
        <w:rPr>
          <w:spacing w:val="-13"/>
          <w:sz w:val="24"/>
        </w:rPr>
        <w:t> </w:t>
      </w:r>
      <w:r>
        <w:rPr>
          <w:sz w:val="24"/>
        </w:rPr>
        <w:t>Equina</w:t>
      </w:r>
      <w:r>
        <w:rPr>
          <w:spacing w:val="-4"/>
          <w:sz w:val="24"/>
        </w:rPr>
        <w:t> </w:t>
      </w:r>
      <w:r>
        <w:rPr>
          <w:sz w:val="24"/>
        </w:rPr>
        <w:t>Venezolana</w:t>
      </w:r>
      <w:r>
        <w:rPr>
          <w:rFonts w:ascii="Times New Roman"/>
          <w:sz w:val="24"/>
        </w:rPr>
        <w:tab/>
      </w:r>
      <w:r>
        <w:rPr>
          <w:sz w:val="24"/>
        </w:rPr>
        <w:t>12</w:t>
      </w:r>
    </w:p>
    <w:p>
      <w:pPr>
        <w:pStyle w:val="ListParagraph"/>
        <w:numPr>
          <w:ilvl w:val="1"/>
          <w:numId w:val="1"/>
        </w:numPr>
        <w:tabs>
          <w:tab w:pos="1530" w:val="left" w:leader="none"/>
          <w:tab w:pos="8514" w:val="left" w:leader="dot"/>
        </w:tabs>
        <w:spacing w:line="240" w:lineRule="auto" w:before="139" w:after="0"/>
        <w:ind w:left="1530" w:right="0" w:hanging="468"/>
        <w:jc w:val="left"/>
        <w:rPr>
          <w:sz w:val="24"/>
        </w:rPr>
      </w:pPr>
      <w:r>
        <w:rPr>
          <w:sz w:val="24"/>
        </w:rPr>
        <w:t>La Encefalitis Equina Venezolana</w:t>
      </w:r>
      <w:r>
        <w:rPr>
          <w:spacing w:val="-12"/>
          <w:sz w:val="24"/>
        </w:rPr>
        <w:t> </w:t>
      </w:r>
      <w:r>
        <w:rPr>
          <w:sz w:val="24"/>
        </w:rPr>
        <w:t>en</w:t>
      </w:r>
      <w:r>
        <w:rPr>
          <w:spacing w:val="-3"/>
          <w:sz w:val="24"/>
        </w:rPr>
        <w:t> </w:t>
      </w:r>
      <w:r>
        <w:rPr>
          <w:sz w:val="24"/>
        </w:rPr>
        <w:t>México…</w:t>
      </w:r>
      <w:r>
        <w:rPr>
          <w:rFonts w:ascii="Times New Roman" w:hAnsi="Times New Roman"/>
          <w:sz w:val="24"/>
        </w:rPr>
        <w:tab/>
      </w:r>
      <w:r>
        <w:rPr>
          <w:sz w:val="24"/>
        </w:rPr>
        <w:t>15</w:t>
      </w:r>
    </w:p>
    <w:p>
      <w:pPr>
        <w:pStyle w:val="ListParagraph"/>
        <w:numPr>
          <w:ilvl w:val="1"/>
          <w:numId w:val="1"/>
        </w:numPr>
        <w:tabs>
          <w:tab w:pos="1532" w:val="left" w:leader="none"/>
          <w:tab w:pos="8506" w:val="left" w:leader="dot"/>
        </w:tabs>
        <w:spacing w:line="240" w:lineRule="auto" w:before="137" w:after="0"/>
        <w:ind w:left="1531" w:right="0" w:hanging="469"/>
        <w:jc w:val="left"/>
        <w:rPr>
          <w:sz w:val="24"/>
        </w:rPr>
      </w:pPr>
      <w:r>
        <w:rPr>
          <w:sz w:val="24"/>
        </w:rPr>
        <w:t>Ciclos</w:t>
      </w:r>
      <w:r>
        <w:rPr>
          <w:spacing w:val="-3"/>
          <w:sz w:val="24"/>
        </w:rPr>
        <w:t> </w:t>
      </w:r>
      <w:r>
        <w:rPr>
          <w:sz w:val="24"/>
        </w:rPr>
        <w:t>de</w:t>
      </w:r>
      <w:r>
        <w:rPr>
          <w:spacing w:val="-3"/>
          <w:sz w:val="24"/>
        </w:rPr>
        <w:t> </w:t>
      </w:r>
      <w:r>
        <w:rPr>
          <w:sz w:val="24"/>
        </w:rPr>
        <w:t>transmisión</w:t>
      </w:r>
      <w:r>
        <w:rPr>
          <w:rFonts w:ascii="Times New Roman" w:hAnsi="Times New Roman"/>
          <w:sz w:val="24"/>
        </w:rPr>
        <w:tab/>
      </w:r>
      <w:r>
        <w:rPr>
          <w:sz w:val="24"/>
        </w:rPr>
        <w:t>20</w:t>
      </w:r>
    </w:p>
    <w:p>
      <w:pPr>
        <w:pStyle w:val="ListParagraph"/>
        <w:numPr>
          <w:ilvl w:val="2"/>
          <w:numId w:val="1"/>
        </w:numPr>
        <w:tabs>
          <w:tab w:pos="2197" w:val="left" w:leader="none"/>
          <w:tab w:pos="8515" w:val="left" w:leader="dot"/>
        </w:tabs>
        <w:spacing w:line="240" w:lineRule="auto" w:before="139" w:after="0"/>
        <w:ind w:left="2196" w:right="0" w:hanging="599"/>
        <w:jc w:val="left"/>
        <w:rPr>
          <w:sz w:val="24"/>
        </w:rPr>
      </w:pPr>
      <w:r>
        <w:rPr>
          <w:sz w:val="24"/>
        </w:rPr>
        <w:t>Ciclo de</w:t>
      </w:r>
      <w:r>
        <w:rPr>
          <w:spacing w:val="-4"/>
          <w:sz w:val="24"/>
        </w:rPr>
        <w:t> </w:t>
      </w:r>
      <w:r>
        <w:rPr>
          <w:sz w:val="24"/>
        </w:rPr>
        <w:t>transmisión</w:t>
      </w:r>
      <w:r>
        <w:rPr>
          <w:spacing w:val="-3"/>
          <w:sz w:val="24"/>
        </w:rPr>
        <w:t> </w:t>
      </w:r>
      <w:r>
        <w:rPr>
          <w:sz w:val="24"/>
        </w:rPr>
        <w:t>epizoótica</w:t>
      </w:r>
      <w:r>
        <w:rPr>
          <w:rFonts w:ascii="Times New Roman" w:hAnsi="Times New Roman"/>
          <w:sz w:val="24"/>
        </w:rPr>
        <w:tab/>
      </w:r>
      <w:r>
        <w:rPr>
          <w:sz w:val="24"/>
        </w:rPr>
        <w:t>21</w:t>
      </w:r>
    </w:p>
    <w:p>
      <w:pPr>
        <w:pStyle w:val="ListParagraph"/>
        <w:numPr>
          <w:ilvl w:val="3"/>
          <w:numId w:val="1"/>
        </w:numPr>
        <w:tabs>
          <w:tab w:pos="2398" w:val="left" w:leader="none"/>
          <w:tab w:pos="8513" w:val="left" w:leader="dot"/>
        </w:tabs>
        <w:spacing w:line="240" w:lineRule="auto" w:before="137" w:after="0"/>
        <w:ind w:left="2397" w:right="0" w:hanging="800"/>
        <w:jc w:val="left"/>
        <w:rPr>
          <w:sz w:val="24"/>
        </w:rPr>
      </w:pPr>
      <w:r>
        <w:rPr>
          <w:sz w:val="24"/>
        </w:rPr>
        <w:t>Vectores</w:t>
      </w:r>
      <w:r>
        <w:rPr>
          <w:spacing w:val="-7"/>
          <w:sz w:val="24"/>
        </w:rPr>
        <w:t> </w:t>
      </w:r>
      <w:r>
        <w:rPr>
          <w:sz w:val="24"/>
        </w:rPr>
        <w:t>epizoóticos…</w:t>
      </w:r>
      <w:r>
        <w:rPr>
          <w:rFonts w:ascii="Times New Roman" w:hAnsi="Times New Roman"/>
          <w:sz w:val="24"/>
        </w:rPr>
        <w:tab/>
      </w:r>
      <w:r>
        <w:rPr>
          <w:sz w:val="24"/>
        </w:rPr>
        <w:t>22</w:t>
      </w:r>
    </w:p>
    <w:p>
      <w:pPr>
        <w:pStyle w:val="ListParagraph"/>
        <w:numPr>
          <w:ilvl w:val="2"/>
          <w:numId w:val="1"/>
        </w:numPr>
        <w:tabs>
          <w:tab w:pos="2195" w:val="left" w:leader="none"/>
          <w:tab w:pos="8551" w:val="left" w:leader="dot"/>
        </w:tabs>
        <w:spacing w:line="240" w:lineRule="auto" w:before="139" w:after="0"/>
        <w:ind w:left="2194" w:right="0" w:hanging="597"/>
        <w:jc w:val="left"/>
        <w:rPr>
          <w:sz w:val="24"/>
        </w:rPr>
      </w:pPr>
      <w:r>
        <w:rPr>
          <w:sz w:val="24"/>
        </w:rPr>
        <w:t>Ciclo de</w:t>
      </w:r>
      <w:r>
        <w:rPr>
          <w:spacing w:val="-14"/>
          <w:sz w:val="24"/>
        </w:rPr>
        <w:t> </w:t>
      </w:r>
      <w:r>
        <w:rPr>
          <w:sz w:val="24"/>
        </w:rPr>
        <w:t>transmisión</w:t>
      </w:r>
      <w:r>
        <w:rPr>
          <w:spacing w:val="-8"/>
          <w:sz w:val="24"/>
        </w:rPr>
        <w:t> </w:t>
      </w:r>
      <w:r>
        <w:rPr>
          <w:sz w:val="24"/>
        </w:rPr>
        <w:t>enzoótica</w:t>
      </w:r>
      <w:r>
        <w:rPr>
          <w:rFonts w:ascii="Times New Roman" w:hAnsi="Times New Roman"/>
          <w:sz w:val="24"/>
        </w:rPr>
        <w:tab/>
      </w:r>
      <w:r>
        <w:rPr>
          <w:sz w:val="24"/>
        </w:rPr>
        <w:t>26</w:t>
      </w:r>
    </w:p>
    <w:p>
      <w:pPr>
        <w:pStyle w:val="ListParagraph"/>
        <w:numPr>
          <w:ilvl w:val="3"/>
          <w:numId w:val="1"/>
        </w:numPr>
        <w:tabs>
          <w:tab w:pos="2398" w:val="left" w:leader="none"/>
          <w:tab w:pos="8532" w:val="left" w:leader="dot"/>
        </w:tabs>
        <w:spacing w:line="240" w:lineRule="auto" w:before="137" w:after="0"/>
        <w:ind w:left="2397" w:right="0" w:hanging="800"/>
        <w:jc w:val="left"/>
        <w:rPr>
          <w:sz w:val="24"/>
        </w:rPr>
      </w:pPr>
      <w:r>
        <w:rPr>
          <w:sz w:val="24"/>
        </w:rPr>
        <w:t>Vectores</w:t>
      </w:r>
      <w:r>
        <w:rPr>
          <w:spacing w:val="-7"/>
          <w:sz w:val="24"/>
        </w:rPr>
        <w:t> </w:t>
      </w:r>
      <w:r>
        <w:rPr>
          <w:sz w:val="24"/>
        </w:rPr>
        <w:t>enzoóticos…</w:t>
      </w:r>
      <w:r>
        <w:rPr>
          <w:rFonts w:ascii="Times New Roman" w:hAnsi="Times New Roman"/>
          <w:sz w:val="24"/>
        </w:rPr>
        <w:tab/>
      </w:r>
      <w:r>
        <w:rPr>
          <w:sz w:val="24"/>
        </w:rPr>
        <w:t>28</w:t>
      </w:r>
    </w:p>
    <w:p>
      <w:pPr>
        <w:pStyle w:val="ListParagraph"/>
        <w:numPr>
          <w:ilvl w:val="1"/>
          <w:numId w:val="1"/>
        </w:numPr>
        <w:tabs>
          <w:tab w:pos="1545" w:val="left" w:leader="none"/>
        </w:tabs>
        <w:spacing w:line="360" w:lineRule="auto" w:before="139" w:after="0"/>
        <w:ind w:left="1062" w:right="124" w:firstLine="0"/>
        <w:jc w:val="left"/>
        <w:rPr>
          <w:sz w:val="24"/>
        </w:rPr>
      </w:pPr>
      <w:r>
        <w:rPr>
          <w:sz w:val="24"/>
        </w:rPr>
        <w:t>Origen de las cepas epizoóticas y determinantes de emergencia de la</w:t>
      </w:r>
    </w:p>
    <w:p>
      <w:pPr>
        <w:pStyle w:val="BodyText"/>
        <w:tabs>
          <w:tab w:pos="8553" w:val="left" w:leader="dot"/>
        </w:tabs>
        <w:spacing w:before="5"/>
        <w:ind w:left="1061"/>
      </w:pPr>
      <w:r>
        <w:rPr/>
        <w:t>EEV</w:t>
      </w:r>
      <w:r>
        <w:rPr>
          <w:rFonts w:ascii="Times New Roman"/>
        </w:rPr>
        <w:tab/>
      </w:r>
      <w:r>
        <w:rPr/>
        <w:t>30</w:t>
      </w:r>
    </w:p>
    <w:p>
      <w:pPr>
        <w:pStyle w:val="ListParagraph"/>
        <w:numPr>
          <w:ilvl w:val="2"/>
          <w:numId w:val="1"/>
        </w:numPr>
        <w:tabs>
          <w:tab w:pos="1652" w:val="left" w:leader="none"/>
          <w:tab w:pos="8550" w:val="left" w:leader="dot"/>
        </w:tabs>
        <w:spacing w:line="240" w:lineRule="auto" w:before="137" w:after="0"/>
        <w:ind w:left="1062" w:right="0" w:firstLine="0"/>
        <w:jc w:val="left"/>
        <w:rPr>
          <w:sz w:val="24"/>
        </w:rPr>
      </w:pPr>
      <w:r>
        <w:rPr>
          <w:sz w:val="24"/>
        </w:rPr>
        <w:t>Adaptación</w:t>
      </w:r>
      <w:r>
        <w:rPr>
          <w:spacing w:val="-14"/>
          <w:sz w:val="24"/>
        </w:rPr>
        <w:t> </w:t>
      </w:r>
      <w:r>
        <w:rPr>
          <w:sz w:val="24"/>
        </w:rPr>
        <w:t>de</w:t>
      </w:r>
      <w:r>
        <w:rPr>
          <w:spacing w:val="-14"/>
          <w:sz w:val="24"/>
        </w:rPr>
        <w:t> </w:t>
      </w:r>
      <w:r>
        <w:rPr>
          <w:sz w:val="24"/>
        </w:rPr>
        <w:t>cepas</w:t>
      </w:r>
      <w:r>
        <w:rPr>
          <w:spacing w:val="-15"/>
          <w:sz w:val="24"/>
        </w:rPr>
        <w:t> </w:t>
      </w:r>
      <w:r>
        <w:rPr>
          <w:sz w:val="24"/>
        </w:rPr>
        <w:t>epizoóticas</w:t>
      </w:r>
      <w:r>
        <w:rPr>
          <w:spacing w:val="-15"/>
          <w:sz w:val="24"/>
        </w:rPr>
        <w:t> </w:t>
      </w:r>
      <w:r>
        <w:rPr>
          <w:sz w:val="24"/>
        </w:rPr>
        <w:t>a</w:t>
      </w:r>
      <w:r>
        <w:rPr>
          <w:spacing w:val="-16"/>
          <w:sz w:val="24"/>
        </w:rPr>
        <w:t> </w:t>
      </w:r>
      <w:r>
        <w:rPr>
          <w:sz w:val="24"/>
        </w:rPr>
        <w:t>los</w:t>
      </w:r>
      <w:r>
        <w:rPr>
          <w:spacing w:val="-16"/>
          <w:sz w:val="24"/>
        </w:rPr>
        <w:t> </w:t>
      </w:r>
      <w:r>
        <w:rPr>
          <w:sz w:val="24"/>
        </w:rPr>
        <w:t>equinos…</w:t>
      </w:r>
      <w:r>
        <w:rPr>
          <w:rFonts w:ascii="Times New Roman" w:hAnsi="Times New Roman"/>
          <w:sz w:val="24"/>
        </w:rPr>
        <w:tab/>
      </w:r>
      <w:r>
        <w:rPr>
          <w:sz w:val="24"/>
        </w:rPr>
        <w:t>31</w:t>
      </w:r>
    </w:p>
    <w:p>
      <w:pPr>
        <w:pStyle w:val="ListParagraph"/>
        <w:numPr>
          <w:ilvl w:val="2"/>
          <w:numId w:val="1"/>
        </w:numPr>
        <w:tabs>
          <w:tab w:pos="1827" w:val="left" w:leader="none"/>
          <w:tab w:pos="1828" w:val="left" w:leader="none"/>
          <w:tab w:pos="8495" w:val="left" w:leader="dot"/>
        </w:tabs>
        <w:spacing w:line="360" w:lineRule="auto" w:before="139" w:after="0"/>
        <w:ind w:left="1062" w:right="115" w:firstLine="0"/>
        <w:jc w:val="left"/>
        <w:rPr>
          <w:sz w:val="24"/>
        </w:rPr>
      </w:pPr>
      <w:r>
        <w:rPr>
          <w:sz w:val="24"/>
        </w:rPr>
        <w:t>Adaptación de  las  cepas  epizoóticas  a  los  mosquitos  vectores</w:t>
        <w:tab/>
        <w:t>32</w:t>
      </w:r>
    </w:p>
    <w:p>
      <w:pPr>
        <w:pStyle w:val="ListParagraph"/>
        <w:numPr>
          <w:ilvl w:val="1"/>
          <w:numId w:val="2"/>
        </w:numPr>
        <w:tabs>
          <w:tab w:pos="1590" w:val="left" w:leader="none"/>
          <w:tab w:pos="8548" w:val="left" w:leader="dot"/>
        </w:tabs>
        <w:spacing w:line="240" w:lineRule="auto" w:before="5" w:after="0"/>
        <w:ind w:left="1589" w:right="0" w:hanging="527"/>
        <w:jc w:val="left"/>
        <w:rPr>
          <w:sz w:val="24"/>
        </w:rPr>
      </w:pPr>
      <w:r>
        <w:rPr>
          <w:sz w:val="24"/>
        </w:rPr>
        <w:t>Patogénesis y diseminación en vertebrados</w:t>
      </w:r>
      <w:r>
        <w:rPr>
          <w:spacing w:val="-47"/>
          <w:sz w:val="24"/>
        </w:rPr>
        <w:t> </w:t>
      </w:r>
      <w:r>
        <w:rPr>
          <w:sz w:val="24"/>
        </w:rPr>
        <w:t>del</w:t>
      </w:r>
      <w:r>
        <w:rPr>
          <w:spacing w:val="-10"/>
          <w:sz w:val="24"/>
        </w:rPr>
        <w:t> </w:t>
      </w:r>
      <w:r>
        <w:rPr>
          <w:sz w:val="24"/>
        </w:rPr>
        <w:t>VEEV</w:t>
      </w:r>
      <w:r>
        <w:rPr>
          <w:rFonts w:ascii="Times New Roman" w:hAnsi="Times New Roman"/>
          <w:sz w:val="24"/>
        </w:rPr>
        <w:tab/>
      </w:r>
      <w:r>
        <w:rPr>
          <w:sz w:val="24"/>
        </w:rPr>
        <w:t>34</w:t>
      </w:r>
    </w:p>
    <w:p>
      <w:pPr>
        <w:pStyle w:val="ListParagraph"/>
        <w:numPr>
          <w:ilvl w:val="1"/>
          <w:numId w:val="2"/>
        </w:numPr>
        <w:tabs>
          <w:tab w:pos="1595" w:val="left" w:leader="none"/>
          <w:tab w:pos="8550" w:val="left" w:leader="dot"/>
        </w:tabs>
        <w:spacing w:line="240" w:lineRule="auto" w:before="137" w:after="0"/>
        <w:ind w:left="1594" w:right="0" w:hanging="532"/>
        <w:jc w:val="left"/>
        <w:rPr>
          <w:sz w:val="24"/>
        </w:rPr>
      </w:pPr>
      <w:r>
        <w:rPr>
          <w:sz w:val="24"/>
        </w:rPr>
        <w:t>Diagnostico</w:t>
      </w:r>
      <w:r>
        <w:rPr>
          <w:rFonts w:ascii="Times New Roman"/>
          <w:sz w:val="24"/>
        </w:rPr>
        <w:tab/>
      </w:r>
      <w:r>
        <w:rPr>
          <w:sz w:val="24"/>
        </w:rPr>
        <w:t>38</w:t>
      </w:r>
    </w:p>
    <w:p>
      <w:pPr>
        <w:pStyle w:val="ListParagraph"/>
        <w:numPr>
          <w:ilvl w:val="1"/>
          <w:numId w:val="2"/>
        </w:numPr>
        <w:tabs>
          <w:tab w:pos="1592" w:val="left" w:leader="none"/>
          <w:tab w:pos="8552" w:val="left" w:leader="dot"/>
        </w:tabs>
        <w:spacing w:line="240" w:lineRule="auto" w:before="139" w:after="0"/>
        <w:ind w:left="1591" w:right="0" w:hanging="529"/>
        <w:jc w:val="left"/>
        <w:rPr>
          <w:sz w:val="24"/>
        </w:rPr>
      </w:pPr>
      <w:r>
        <w:rPr>
          <w:sz w:val="24"/>
        </w:rPr>
        <w:t>Prevención</w:t>
      </w:r>
      <w:r>
        <w:rPr>
          <w:spacing w:val="-7"/>
          <w:sz w:val="24"/>
        </w:rPr>
        <w:t> </w:t>
      </w:r>
      <w:r>
        <w:rPr>
          <w:sz w:val="24"/>
        </w:rPr>
        <w:t>y</w:t>
      </w:r>
      <w:r>
        <w:rPr>
          <w:spacing w:val="-10"/>
          <w:sz w:val="24"/>
        </w:rPr>
        <w:t> </w:t>
      </w:r>
      <w:r>
        <w:rPr>
          <w:sz w:val="24"/>
        </w:rPr>
        <w:t>control</w:t>
      </w:r>
      <w:r>
        <w:rPr>
          <w:rFonts w:ascii="Times New Roman" w:hAnsi="Times New Roman"/>
          <w:sz w:val="24"/>
        </w:rPr>
        <w:tab/>
      </w:r>
      <w:r>
        <w:rPr>
          <w:sz w:val="24"/>
        </w:rPr>
        <w:t>43</w:t>
      </w:r>
    </w:p>
    <w:p>
      <w:pPr>
        <w:pStyle w:val="ListParagraph"/>
        <w:numPr>
          <w:ilvl w:val="0"/>
          <w:numId w:val="1"/>
        </w:numPr>
        <w:tabs>
          <w:tab w:pos="1061" w:val="left" w:leader="none"/>
          <w:tab w:pos="1062" w:val="left" w:leader="none"/>
          <w:tab w:pos="8556" w:val="left" w:leader="dot"/>
        </w:tabs>
        <w:spacing w:line="240" w:lineRule="auto" w:before="137" w:after="0"/>
        <w:ind w:left="1062" w:right="0" w:hanging="720"/>
        <w:jc w:val="left"/>
        <w:rPr>
          <w:sz w:val="24"/>
        </w:rPr>
      </w:pPr>
      <w:r>
        <w:rPr>
          <w:sz w:val="24"/>
        </w:rPr>
        <w:t>Justificación</w:t>
      </w:r>
      <w:r>
        <w:rPr>
          <w:rFonts w:ascii="Times New Roman" w:hAnsi="Times New Roman"/>
          <w:sz w:val="24"/>
        </w:rPr>
        <w:tab/>
      </w:r>
      <w:r>
        <w:rPr>
          <w:sz w:val="24"/>
        </w:rPr>
        <w:t>46</w:t>
      </w:r>
    </w:p>
    <w:p>
      <w:pPr>
        <w:pStyle w:val="ListParagraph"/>
        <w:numPr>
          <w:ilvl w:val="0"/>
          <w:numId w:val="1"/>
        </w:numPr>
        <w:tabs>
          <w:tab w:pos="1061" w:val="left" w:leader="none"/>
          <w:tab w:pos="1062" w:val="left" w:leader="none"/>
          <w:tab w:pos="8529" w:val="left" w:leader="dot"/>
        </w:tabs>
        <w:spacing w:line="240" w:lineRule="auto" w:before="136" w:after="0"/>
        <w:ind w:left="1062" w:right="0" w:hanging="720"/>
        <w:jc w:val="left"/>
        <w:rPr>
          <w:sz w:val="24"/>
        </w:rPr>
      </w:pPr>
      <w:r>
        <w:rPr>
          <w:sz w:val="24"/>
        </w:rPr>
        <w:t>Hipótesis</w:t>
      </w:r>
      <w:r>
        <w:rPr>
          <w:rFonts w:ascii="Times New Roman" w:hAnsi="Times New Roman"/>
          <w:sz w:val="24"/>
        </w:rPr>
        <w:tab/>
      </w:r>
      <w:r>
        <w:rPr>
          <w:sz w:val="24"/>
        </w:rPr>
        <w:t>47</w:t>
      </w:r>
    </w:p>
    <w:p>
      <w:pPr>
        <w:spacing w:after="0" w:line="240" w:lineRule="auto"/>
        <w:jc w:val="left"/>
        <w:rPr>
          <w:sz w:val="24"/>
        </w:rPr>
        <w:sectPr>
          <w:pgSz w:w="12240" w:h="15840"/>
          <w:pgMar w:top="1500" w:bottom="280" w:left="1720" w:right="1580"/>
        </w:sectPr>
      </w:pPr>
    </w:p>
    <w:p>
      <w:pPr>
        <w:pStyle w:val="ListParagraph"/>
        <w:numPr>
          <w:ilvl w:val="0"/>
          <w:numId w:val="1"/>
        </w:numPr>
        <w:tabs>
          <w:tab w:pos="1061" w:val="left" w:leader="none"/>
          <w:tab w:pos="1062" w:val="left" w:leader="none"/>
          <w:tab w:pos="8555" w:val="left" w:leader="dot"/>
        </w:tabs>
        <w:spacing w:line="240" w:lineRule="auto" w:before="54" w:after="0"/>
        <w:ind w:left="1062" w:right="0" w:hanging="720"/>
        <w:jc w:val="left"/>
        <w:rPr>
          <w:sz w:val="24"/>
        </w:rPr>
      </w:pPr>
      <w:r>
        <w:rPr>
          <w:sz w:val="24"/>
        </w:rPr>
        <w:t>Objetivos</w:t>
      </w:r>
      <w:r>
        <w:rPr>
          <w:rFonts w:ascii="Times New Roman"/>
          <w:sz w:val="24"/>
        </w:rPr>
        <w:tab/>
      </w:r>
      <w:r>
        <w:rPr>
          <w:sz w:val="24"/>
        </w:rPr>
        <w:t>48</w:t>
      </w:r>
    </w:p>
    <w:p>
      <w:pPr>
        <w:pStyle w:val="BodyText"/>
        <w:spacing w:before="139"/>
        <w:ind w:left="1061"/>
      </w:pPr>
      <w:r>
        <w:rPr/>
        <w:t>V.1 Objetivo general………………………………………………………..</w:t>
      </w:r>
    </w:p>
    <w:p>
      <w:pPr>
        <w:pStyle w:val="BodyText"/>
        <w:spacing w:before="137"/>
        <w:ind w:left="1061"/>
      </w:pPr>
      <w:r>
        <w:rPr/>
        <w:t>V.2 Objetivos específicos…………………………………………………..</w:t>
      </w:r>
    </w:p>
    <w:p>
      <w:pPr>
        <w:pStyle w:val="ListParagraph"/>
        <w:numPr>
          <w:ilvl w:val="0"/>
          <w:numId w:val="1"/>
        </w:numPr>
        <w:tabs>
          <w:tab w:pos="1061" w:val="left" w:leader="none"/>
          <w:tab w:pos="1062" w:val="left" w:leader="none"/>
          <w:tab w:pos="8516" w:val="left" w:leader="dot"/>
        </w:tabs>
        <w:spacing w:line="240" w:lineRule="auto" w:before="552" w:after="0"/>
        <w:ind w:left="1062" w:right="0" w:hanging="720"/>
        <w:jc w:val="left"/>
        <w:rPr>
          <w:sz w:val="24"/>
        </w:rPr>
      </w:pPr>
      <w:r>
        <w:rPr>
          <w:sz w:val="24"/>
        </w:rPr>
        <w:t>Materiales</w:t>
      </w:r>
      <w:r>
        <w:rPr>
          <w:spacing w:val="-1"/>
          <w:sz w:val="24"/>
        </w:rPr>
        <w:t> </w:t>
      </w:r>
      <w:r>
        <w:rPr>
          <w:sz w:val="24"/>
        </w:rPr>
        <w:t>y</w:t>
      </w:r>
      <w:r>
        <w:rPr>
          <w:spacing w:val="-4"/>
          <w:sz w:val="24"/>
        </w:rPr>
        <w:t> </w:t>
      </w:r>
      <w:r>
        <w:rPr>
          <w:sz w:val="24"/>
        </w:rPr>
        <w:t>métodos</w:t>
      </w:r>
      <w:r>
        <w:rPr>
          <w:rFonts w:ascii="Times New Roman" w:hAnsi="Times New Roman"/>
          <w:sz w:val="24"/>
        </w:rPr>
        <w:tab/>
      </w:r>
      <w:r>
        <w:rPr>
          <w:sz w:val="24"/>
        </w:rPr>
        <w:t>49</w:t>
      </w:r>
    </w:p>
    <w:p>
      <w:pPr>
        <w:pStyle w:val="ListParagraph"/>
        <w:numPr>
          <w:ilvl w:val="0"/>
          <w:numId w:val="1"/>
        </w:numPr>
        <w:tabs>
          <w:tab w:pos="1061" w:val="left" w:leader="none"/>
          <w:tab w:pos="1062" w:val="left" w:leader="none"/>
          <w:tab w:pos="8467" w:val="left" w:leader="dot"/>
        </w:tabs>
        <w:spacing w:line="240" w:lineRule="auto" w:before="338" w:after="0"/>
        <w:ind w:left="1062" w:right="0" w:hanging="720"/>
        <w:jc w:val="left"/>
        <w:rPr>
          <w:sz w:val="24"/>
        </w:rPr>
      </w:pPr>
      <w:r>
        <w:rPr>
          <w:sz w:val="24"/>
        </w:rPr>
        <w:t>Análisis</w:t>
      </w:r>
      <w:r>
        <w:rPr>
          <w:spacing w:val="-1"/>
          <w:sz w:val="24"/>
        </w:rPr>
        <w:t> </w:t>
      </w:r>
      <w:r>
        <w:rPr>
          <w:sz w:val="24"/>
        </w:rPr>
        <w:t>de</w:t>
      </w:r>
      <w:r>
        <w:rPr>
          <w:spacing w:val="-3"/>
          <w:sz w:val="24"/>
        </w:rPr>
        <w:t> </w:t>
      </w:r>
      <w:r>
        <w:rPr>
          <w:sz w:val="24"/>
        </w:rPr>
        <w:t>resultados</w:t>
      </w:r>
      <w:r>
        <w:rPr>
          <w:rFonts w:ascii="Times New Roman" w:hAnsi="Times New Roman"/>
          <w:sz w:val="24"/>
        </w:rPr>
        <w:tab/>
      </w:r>
      <w:r>
        <w:rPr>
          <w:sz w:val="24"/>
        </w:rPr>
        <w:t>58</w:t>
      </w:r>
    </w:p>
    <w:p>
      <w:pPr>
        <w:pStyle w:val="ListParagraph"/>
        <w:numPr>
          <w:ilvl w:val="0"/>
          <w:numId w:val="1"/>
        </w:numPr>
        <w:tabs>
          <w:tab w:pos="1061" w:val="left" w:leader="none"/>
          <w:tab w:pos="1062" w:val="left" w:leader="none"/>
          <w:tab w:pos="8477" w:val="left" w:leader="dot"/>
        </w:tabs>
        <w:spacing w:line="240" w:lineRule="auto" w:before="338" w:after="0"/>
        <w:ind w:left="1062" w:right="0" w:hanging="720"/>
        <w:jc w:val="left"/>
        <w:rPr>
          <w:sz w:val="24"/>
        </w:rPr>
      </w:pPr>
      <w:r>
        <w:rPr>
          <w:sz w:val="24"/>
        </w:rPr>
        <w:t>Discusión</w:t>
      </w:r>
      <w:r>
        <w:rPr>
          <w:rFonts w:ascii="Times New Roman" w:hAnsi="Times New Roman"/>
          <w:sz w:val="24"/>
        </w:rPr>
        <w:tab/>
      </w:r>
      <w:r>
        <w:rPr>
          <w:sz w:val="24"/>
        </w:rPr>
        <w:t>66</w:t>
      </w:r>
    </w:p>
    <w:p>
      <w:pPr>
        <w:pStyle w:val="ListParagraph"/>
        <w:numPr>
          <w:ilvl w:val="0"/>
          <w:numId w:val="1"/>
        </w:numPr>
        <w:tabs>
          <w:tab w:pos="1061" w:val="left" w:leader="none"/>
          <w:tab w:pos="1062" w:val="left" w:leader="none"/>
          <w:tab w:pos="8489" w:val="left" w:leader="dot"/>
        </w:tabs>
        <w:spacing w:line="240" w:lineRule="auto" w:before="137" w:after="0"/>
        <w:ind w:left="1062" w:right="0" w:hanging="720"/>
        <w:jc w:val="left"/>
        <w:rPr>
          <w:sz w:val="24"/>
        </w:rPr>
      </w:pPr>
      <w:r>
        <w:rPr>
          <w:sz w:val="24"/>
        </w:rPr>
        <w:t>Conclusión</w:t>
      </w:r>
      <w:r>
        <w:rPr>
          <w:rFonts w:ascii="Times New Roman" w:hAnsi="Times New Roman"/>
          <w:sz w:val="24"/>
        </w:rPr>
        <w:tab/>
      </w:r>
      <w:r>
        <w:rPr>
          <w:sz w:val="24"/>
        </w:rPr>
        <w:t>72</w:t>
      </w:r>
    </w:p>
    <w:p>
      <w:pPr>
        <w:pStyle w:val="ListParagraph"/>
        <w:numPr>
          <w:ilvl w:val="0"/>
          <w:numId w:val="1"/>
        </w:numPr>
        <w:tabs>
          <w:tab w:pos="1061" w:val="left" w:leader="none"/>
          <w:tab w:pos="1062" w:val="left" w:leader="none"/>
          <w:tab w:pos="8476" w:val="left" w:leader="dot"/>
        </w:tabs>
        <w:spacing w:line="240" w:lineRule="auto" w:before="140" w:after="0"/>
        <w:ind w:left="1062" w:right="0" w:hanging="720"/>
        <w:jc w:val="left"/>
        <w:rPr>
          <w:sz w:val="24"/>
        </w:rPr>
      </w:pPr>
      <w:r>
        <w:rPr>
          <w:sz w:val="24"/>
        </w:rPr>
        <w:t>Referencias…</w:t>
      </w:r>
      <w:r>
        <w:rPr>
          <w:rFonts w:ascii="Times New Roman" w:hAnsi="Times New Roman"/>
          <w:sz w:val="24"/>
        </w:rPr>
        <w:tab/>
      </w:r>
      <w:r>
        <w:rPr>
          <w:sz w:val="24"/>
        </w:rPr>
        <w:t>74</w:t>
      </w:r>
    </w:p>
    <w:p>
      <w:pPr>
        <w:pStyle w:val="ListParagraph"/>
        <w:numPr>
          <w:ilvl w:val="0"/>
          <w:numId w:val="1"/>
        </w:numPr>
        <w:tabs>
          <w:tab w:pos="1061" w:val="left" w:leader="none"/>
          <w:tab w:pos="1062" w:val="left" w:leader="none"/>
          <w:tab w:pos="8476" w:val="left" w:leader="dot"/>
        </w:tabs>
        <w:spacing w:line="240" w:lineRule="auto" w:before="137" w:after="0"/>
        <w:ind w:left="1062" w:right="0" w:hanging="720"/>
        <w:jc w:val="left"/>
        <w:rPr>
          <w:sz w:val="24"/>
        </w:rPr>
      </w:pPr>
      <w:r>
        <w:rPr>
          <w:sz w:val="24"/>
        </w:rPr>
        <w:t>Anexos…</w:t>
      </w:r>
      <w:r>
        <w:rPr>
          <w:rFonts w:ascii="Times New Roman" w:hAnsi="Times New Roman"/>
          <w:sz w:val="24"/>
        </w:rPr>
        <w:tab/>
      </w:r>
      <w:r>
        <w:rPr>
          <w:sz w:val="24"/>
        </w:rPr>
        <w:t>81</w:t>
      </w:r>
    </w:p>
    <w:p>
      <w:pPr>
        <w:spacing w:after="0" w:line="240" w:lineRule="auto"/>
        <w:jc w:val="left"/>
        <w:rPr>
          <w:sz w:val="24"/>
        </w:rPr>
        <w:sectPr>
          <w:pgSz w:w="12240" w:h="15840"/>
          <w:pgMar w:top="1360" w:bottom="280" w:left="1720" w:right="1580"/>
        </w:sectPr>
      </w:pPr>
    </w:p>
    <w:p>
      <w:pPr>
        <w:pStyle w:val="Heading4"/>
        <w:ind w:left="330" w:right="347"/>
        <w:jc w:val="center"/>
      </w:pPr>
      <w:r>
        <w:rPr/>
        <w:t>RESUMEN</w:t>
      </w:r>
    </w:p>
    <w:p>
      <w:pPr>
        <w:pStyle w:val="BodyText"/>
        <w:spacing w:before="1"/>
        <w:rPr>
          <w:b/>
          <w:sz w:val="26"/>
        </w:rPr>
      </w:pPr>
    </w:p>
    <w:p>
      <w:pPr>
        <w:pStyle w:val="BodyText"/>
        <w:spacing w:line="357" w:lineRule="auto"/>
        <w:ind w:left="102" w:right="116"/>
        <w:jc w:val="both"/>
        <w:rPr>
          <w:sz w:val="16"/>
        </w:rPr>
      </w:pPr>
      <w:r>
        <w:rPr/>
        <w:t>La Encefalitis Equina Venezolana (EEV) es una enfermedad que se presenta principalmente en equinos y humanos y se caracteriza por un cuadro febril que en ocasiones va seguido de uno neurológico y la muerte. El agente etiológico es un virus clasificado dentro de la familia Togaviridae, género alfavirus </w:t>
      </w:r>
      <w:r>
        <w:rPr>
          <w:position w:val="8"/>
          <w:sz w:val="16"/>
        </w:rPr>
        <w:t>(1) </w:t>
      </w:r>
      <w:r>
        <w:rPr/>
        <w:t>, el cual fue reconocido por primera vez en Venezuela por Beck y Wickoff en 1938 y por Kubes </w:t>
      </w:r>
      <w:r>
        <w:rPr>
          <w:position w:val="-7"/>
        </w:rPr>
        <w:t>y Ríos en 1939 </w:t>
      </w:r>
      <w:r>
        <w:rPr>
          <w:sz w:val="16"/>
        </w:rPr>
        <w:t>(2, 3, 4, 5, 6, 7, 8)</w:t>
      </w:r>
    </w:p>
    <w:p>
      <w:pPr>
        <w:pStyle w:val="BodyText"/>
        <w:spacing w:line="360" w:lineRule="auto" w:before="161"/>
        <w:ind w:left="102" w:right="116"/>
        <w:jc w:val="both"/>
        <w:rPr>
          <w:sz w:val="16"/>
        </w:rPr>
      </w:pPr>
      <w:r>
        <w:rPr/>
        <w:t>La enfermedad se consideró propia del norte de Sudamérica y Panamá hasta el año 1962 en que se detectaron anticuerpos seroneutralizantes contra EEV en humanos en Champotón, Campeche, México. </w:t>
      </w:r>
      <w:r>
        <w:rPr>
          <w:position w:val="8"/>
          <w:sz w:val="16"/>
        </w:rPr>
        <w:t>(9,10) </w:t>
      </w:r>
      <w:r>
        <w:rPr/>
        <w:t>Posteriormente se ha reportado la presencia del virus en otros países de América, donde ha provocado graves epizoodemias siendo de las más notables la ocurrida en los años 1962 a 1972 en Norte,</w:t>
      </w:r>
      <w:r>
        <w:rPr>
          <w:spacing w:val="-13"/>
        </w:rPr>
        <w:t> </w:t>
      </w:r>
      <w:r>
        <w:rPr/>
        <w:t>Centro</w:t>
      </w:r>
      <w:r>
        <w:rPr>
          <w:spacing w:val="36"/>
        </w:rPr>
        <w:t> </w:t>
      </w:r>
      <w:r>
        <w:rPr/>
        <w:t>y</w:t>
      </w:r>
      <w:r>
        <w:rPr>
          <w:spacing w:val="-16"/>
        </w:rPr>
        <w:t> </w:t>
      </w:r>
      <w:r>
        <w:rPr/>
        <w:t>Sudamérica.</w:t>
      </w:r>
      <w:r>
        <w:rPr>
          <w:spacing w:val="-16"/>
        </w:rPr>
        <w:t> </w:t>
      </w:r>
      <w:r>
        <w:rPr>
          <w:position w:val="8"/>
          <w:sz w:val="16"/>
        </w:rPr>
        <w:t>(11)</w:t>
      </w:r>
      <w:r>
        <w:rPr>
          <w:spacing w:val="8"/>
          <w:position w:val="8"/>
          <w:sz w:val="16"/>
        </w:rPr>
        <w:t> </w:t>
      </w:r>
      <w:r>
        <w:rPr/>
        <w:t>No</w:t>
      </w:r>
      <w:r>
        <w:rPr>
          <w:spacing w:val="-16"/>
        </w:rPr>
        <w:t> </w:t>
      </w:r>
      <w:r>
        <w:rPr/>
        <w:t>afecta</w:t>
      </w:r>
      <w:r>
        <w:rPr>
          <w:spacing w:val="-15"/>
        </w:rPr>
        <w:t> </w:t>
      </w:r>
      <w:r>
        <w:rPr/>
        <w:t>a</w:t>
      </w:r>
      <w:r>
        <w:rPr>
          <w:spacing w:val="-18"/>
        </w:rPr>
        <w:t> </w:t>
      </w:r>
      <w:r>
        <w:rPr/>
        <w:t>otros</w:t>
      </w:r>
      <w:r>
        <w:rPr>
          <w:spacing w:val="-16"/>
        </w:rPr>
        <w:t> </w:t>
      </w:r>
      <w:r>
        <w:rPr/>
        <w:t>animales</w:t>
      </w:r>
      <w:r>
        <w:rPr>
          <w:spacing w:val="-16"/>
        </w:rPr>
        <w:t> </w:t>
      </w:r>
      <w:r>
        <w:rPr/>
        <w:t>domésticos</w:t>
      </w:r>
      <w:r>
        <w:rPr>
          <w:spacing w:val="-14"/>
        </w:rPr>
        <w:t> </w:t>
      </w:r>
      <w:r>
        <w:rPr/>
        <w:t>en</w:t>
      </w:r>
      <w:r>
        <w:rPr>
          <w:spacing w:val="-13"/>
        </w:rPr>
        <w:t> </w:t>
      </w:r>
      <w:r>
        <w:rPr/>
        <w:t>la</w:t>
      </w:r>
      <w:r>
        <w:rPr>
          <w:spacing w:val="-16"/>
        </w:rPr>
        <w:t> </w:t>
      </w:r>
      <w:r>
        <w:rPr/>
        <w:t>misma forma que a los equinos, sin embargo pueden intervenir en el ciclo biológico de la enfermedad al igual que algunos animales de fauna silvestre. La transmisión del virus ocurre a través de la picadura de mosquitos hematófagos, en los cuales el virus es capaz de replicarse, por lo que se considera un arbovirus.</w:t>
      </w:r>
      <w:r>
        <w:rPr>
          <w:spacing w:val="-20"/>
        </w:rPr>
        <w:t> </w:t>
      </w:r>
      <w:r>
        <w:rPr>
          <w:position w:val="8"/>
          <w:sz w:val="16"/>
        </w:rPr>
        <w:t>(12)</w:t>
      </w:r>
    </w:p>
    <w:p>
      <w:pPr>
        <w:pStyle w:val="BodyText"/>
        <w:spacing w:line="355" w:lineRule="auto" w:before="159"/>
        <w:ind w:left="102" w:right="123"/>
        <w:jc w:val="both"/>
        <w:rPr>
          <w:sz w:val="16"/>
        </w:rPr>
      </w:pPr>
      <w:r>
        <w:rPr/>
        <w:t>Existen varios serotipos del virus de la EEV con diferencia en patogenicidad, por lo tanto la presentación de signos clínicos y la mortalidad son diferentes. </w:t>
      </w:r>
      <w:r>
        <w:rPr>
          <w:position w:val="8"/>
          <w:sz w:val="16"/>
        </w:rPr>
        <w:t>(13)</w:t>
      </w:r>
    </w:p>
    <w:p>
      <w:pPr>
        <w:pStyle w:val="BodyText"/>
        <w:spacing w:line="360" w:lineRule="auto" w:before="165"/>
        <w:ind w:left="102" w:right="116"/>
        <w:jc w:val="both"/>
        <w:rPr>
          <w:sz w:val="16"/>
        </w:rPr>
      </w:pPr>
      <w:r>
        <w:rPr/>
        <w:t>Dentro de las cepas de baja virulencia se encuentran las que ocasionan brotes enzoóticos y endémicos con baja o nula mortalidad y simplemente desarrollan una enfermedad subclínica con presentación de anticuerpos, en este apartado, encontramos el serogrupo ID que se localiza en Venezuela y Panamá. El subtipo IE o Mena II, se encuentra en algunos países de Centroamérica y estuvo asociado con el diagnostico de personas con anticuerpos en México en 1962, limitado a la costa del Golfo de México. El grupo II o Everglades se ha descrito en la península de Florida en los Estados Unidos. El grupo III o Mucambo circula en el norte de Brasil. El grupo IV o Pixuna también se ha descrito en el norte de Brasil. </w:t>
      </w:r>
      <w:r>
        <w:rPr>
          <w:position w:val="8"/>
          <w:sz w:val="16"/>
        </w:rPr>
        <w:t>(14, 15, 16 )</w:t>
      </w:r>
    </w:p>
    <w:p>
      <w:pPr>
        <w:spacing w:after="0" w:line="360" w:lineRule="auto"/>
        <w:jc w:val="both"/>
        <w:rPr>
          <w:sz w:val="16"/>
        </w:rPr>
        <w:sectPr>
          <w:pgSz w:w="12240" w:h="15840"/>
          <w:pgMar w:top="1360" w:bottom="280" w:left="1600" w:right="1580"/>
        </w:sectPr>
      </w:pPr>
    </w:p>
    <w:p>
      <w:pPr>
        <w:pStyle w:val="BodyText"/>
        <w:spacing w:line="360" w:lineRule="auto" w:before="54"/>
        <w:ind w:left="102" w:right="118"/>
        <w:jc w:val="both"/>
      </w:pPr>
      <w:r>
        <w:rPr/>
        <w:t>Anteriormente se creía que los subtipos enzoóticos no eran patógenos para los equinos</w:t>
      </w:r>
      <w:r>
        <w:rPr>
          <w:spacing w:val="-20"/>
        </w:rPr>
        <w:t> </w:t>
      </w:r>
      <w:r>
        <w:rPr/>
        <w:t>y</w:t>
      </w:r>
      <w:r>
        <w:rPr>
          <w:spacing w:val="-22"/>
        </w:rPr>
        <w:t> </w:t>
      </w:r>
      <w:r>
        <w:rPr/>
        <w:t>solamente</w:t>
      </w:r>
      <w:r>
        <w:rPr>
          <w:spacing w:val="-19"/>
        </w:rPr>
        <w:t> </w:t>
      </w:r>
      <w:r>
        <w:rPr/>
        <w:t>inducían</w:t>
      </w:r>
      <w:r>
        <w:rPr>
          <w:spacing w:val="-19"/>
        </w:rPr>
        <w:t> </w:t>
      </w:r>
      <w:r>
        <w:rPr/>
        <w:t>inmunidad</w:t>
      </w:r>
      <w:r>
        <w:rPr>
          <w:spacing w:val="-19"/>
        </w:rPr>
        <w:t> </w:t>
      </w:r>
      <w:r>
        <w:rPr/>
        <w:t>protectora</w:t>
      </w:r>
      <w:r>
        <w:rPr>
          <w:spacing w:val="-20"/>
        </w:rPr>
        <w:t> </w:t>
      </w:r>
      <w:r>
        <w:rPr/>
        <w:t>contra</w:t>
      </w:r>
      <w:r>
        <w:rPr>
          <w:spacing w:val="-19"/>
        </w:rPr>
        <w:t> </w:t>
      </w:r>
      <w:r>
        <w:rPr/>
        <w:t>las</w:t>
      </w:r>
      <w:r>
        <w:rPr>
          <w:spacing w:val="-19"/>
        </w:rPr>
        <w:t> </w:t>
      </w:r>
      <w:r>
        <w:rPr/>
        <w:t>variantes</w:t>
      </w:r>
      <w:r>
        <w:rPr>
          <w:spacing w:val="-20"/>
        </w:rPr>
        <w:t> </w:t>
      </w:r>
      <w:r>
        <w:rPr/>
        <w:t>epizoóticas. Sin embargo en la década de 1990 se presentaron en México dos brotes epizoóticos, de los cuales se aisló y caracterizo el virus como subtipo IE conocido como enzoótico hasta ese</w:t>
      </w:r>
      <w:r>
        <w:rPr>
          <w:spacing w:val="-12"/>
        </w:rPr>
        <w:t> </w:t>
      </w:r>
      <w:r>
        <w:rPr/>
        <w:t>momento.</w:t>
      </w:r>
    </w:p>
    <w:p>
      <w:pPr>
        <w:pStyle w:val="BodyText"/>
        <w:spacing w:line="357" w:lineRule="auto" w:before="166"/>
        <w:ind w:left="102" w:right="119"/>
        <w:jc w:val="both"/>
        <w:rPr>
          <w:sz w:val="16"/>
        </w:rPr>
      </w:pPr>
      <w:r>
        <w:rPr/>
        <w:t>El ciclo silvestre se observa en las selvas húmedas de América Tropical y en regiones pantanosas, donde la transmisión del virus es enzootica y se desarrolla entre roedores y varias especies de mosquitos del genero Culex. El hombre puede infectarse al introducirse en el ecosistema enzoótico. </w:t>
      </w:r>
      <w:r>
        <w:rPr>
          <w:position w:val="8"/>
          <w:sz w:val="16"/>
        </w:rPr>
        <w:t>(17)</w:t>
      </w:r>
    </w:p>
    <w:p>
      <w:pPr>
        <w:pStyle w:val="BodyText"/>
        <w:spacing w:line="360" w:lineRule="auto" w:before="162"/>
        <w:ind w:left="102" w:right="115"/>
        <w:jc w:val="both"/>
      </w:pPr>
      <w:r>
        <w:rPr/>
        <w:t>En el complejo de alta virulencia se encuentran las cepas que ocasionan brotes epizoóticos y epidémicos, con alta mortalidad encontramos el subtipo IAB diagnosticado en 1938 en Venezuela y Trinidad. El subgrupo IC, diagnosticado en Ecuador en 1969, que pasó de ahí a Guatemala y Salvador en julio del mismo año sin afectar a el resto de los países de Centroamérica y que posiblemente llego por movilización aérea del hombre, equinos, aves o de murciélagos, difundiéndose hacia el resto del país en 1970 y 1971 llegando al sur de los Estados Unidos en agosto de ese año.</w:t>
      </w:r>
    </w:p>
    <w:p>
      <w:pPr>
        <w:pStyle w:val="BodyText"/>
        <w:spacing w:line="360" w:lineRule="auto" w:before="163"/>
        <w:ind w:left="102" w:right="117"/>
        <w:jc w:val="both"/>
      </w:pPr>
      <w:r>
        <w:rPr/>
        <w:t>Los vectores que participan en las epizootias son diversos, entre los cuales destacan: Psorophora confinnis, Psorophora discolor, Mansonia titillans, Mansonia indubitans, Aedes taeniorhynchus, Aedes sollicitans, Aedes scapularis, Aedes thelcter, Deinoceritis pseudes.</w:t>
      </w:r>
    </w:p>
    <w:p>
      <w:pPr>
        <w:pStyle w:val="BodyText"/>
        <w:spacing w:line="360" w:lineRule="auto" w:before="163"/>
        <w:ind w:left="102" w:right="116"/>
        <w:jc w:val="both"/>
        <w:rPr>
          <w:sz w:val="16"/>
        </w:rPr>
      </w:pPr>
      <w:r>
        <w:rPr/>
        <w:t>El virus posee una cápside de simetría icosaédrica, rodeada de una membrana; la superficie</w:t>
      </w:r>
      <w:r>
        <w:rPr>
          <w:spacing w:val="-6"/>
        </w:rPr>
        <w:t> </w:t>
      </w:r>
      <w:r>
        <w:rPr/>
        <w:t>del</w:t>
      </w:r>
      <w:r>
        <w:rPr>
          <w:spacing w:val="-6"/>
        </w:rPr>
        <w:t> </w:t>
      </w:r>
      <w:r>
        <w:rPr/>
        <w:t>virión</w:t>
      </w:r>
      <w:r>
        <w:rPr>
          <w:spacing w:val="-5"/>
        </w:rPr>
        <w:t> </w:t>
      </w:r>
      <w:r>
        <w:rPr/>
        <w:t>al</w:t>
      </w:r>
      <w:r>
        <w:rPr>
          <w:spacing w:val="-11"/>
        </w:rPr>
        <w:t> </w:t>
      </w:r>
      <w:r>
        <w:rPr/>
        <w:t>microscopio</w:t>
      </w:r>
      <w:r>
        <w:rPr>
          <w:spacing w:val="-7"/>
        </w:rPr>
        <w:t> </w:t>
      </w:r>
      <w:r>
        <w:rPr/>
        <w:t>electrónico</w:t>
      </w:r>
      <w:r>
        <w:rPr>
          <w:spacing w:val="-5"/>
        </w:rPr>
        <w:t> </w:t>
      </w:r>
      <w:r>
        <w:rPr/>
        <w:t>presenta</w:t>
      </w:r>
      <w:r>
        <w:rPr>
          <w:spacing w:val="-7"/>
        </w:rPr>
        <w:t> </w:t>
      </w:r>
      <w:r>
        <w:rPr/>
        <w:t>una</w:t>
      </w:r>
      <w:r>
        <w:rPr>
          <w:spacing w:val="-7"/>
        </w:rPr>
        <w:t> </w:t>
      </w:r>
      <w:r>
        <w:rPr/>
        <w:t>apariencia</w:t>
      </w:r>
      <w:r>
        <w:rPr>
          <w:spacing w:val="-5"/>
        </w:rPr>
        <w:t> </w:t>
      </w:r>
      <w:r>
        <w:rPr/>
        <w:t>difusa</w:t>
      </w:r>
      <w:r>
        <w:rPr>
          <w:spacing w:val="-7"/>
        </w:rPr>
        <w:t> </w:t>
      </w:r>
      <w:r>
        <w:rPr/>
        <w:t>y</w:t>
      </w:r>
      <w:r>
        <w:rPr>
          <w:spacing w:val="-1"/>
        </w:rPr>
        <w:t> </w:t>
      </w:r>
      <w:r>
        <w:rPr/>
        <w:t>con proyecciones muy finas; su tamaño es de 65-75 nm, contiene un genoma de ácido ribonucleico (ARN) de cadena sencilla, posee 3 polipéptidos con alto contenido de lisina asociado con el ARN y otros dos que son glicoproteínas, que junto con los lípidos estructurales forman la membrana viral. La hemaglutinina es una componente inmunogénico en la superficie del virión y corresponde a las proyecciones de glicoproteína.</w:t>
      </w:r>
      <w:r>
        <w:rPr>
          <w:spacing w:val="-30"/>
        </w:rPr>
        <w:t> </w:t>
      </w:r>
      <w:r>
        <w:rPr>
          <w:position w:val="8"/>
          <w:sz w:val="16"/>
        </w:rPr>
        <w:t>(18)</w:t>
      </w:r>
    </w:p>
    <w:p>
      <w:pPr>
        <w:spacing w:after="0" w:line="360" w:lineRule="auto"/>
        <w:jc w:val="both"/>
        <w:rPr>
          <w:sz w:val="16"/>
        </w:rPr>
        <w:sectPr>
          <w:pgSz w:w="12240" w:h="15840"/>
          <w:pgMar w:top="1360" w:bottom="280" w:left="1600" w:right="1580"/>
        </w:sectPr>
      </w:pPr>
    </w:p>
    <w:p>
      <w:pPr>
        <w:pStyle w:val="BodyText"/>
        <w:spacing w:line="360" w:lineRule="auto" w:before="54"/>
        <w:ind w:left="102" w:right="116"/>
        <w:jc w:val="both"/>
      </w:pPr>
      <w:r>
        <w:rPr/>
        <w:t>Se puede cultivar en ratón lactante o de 3 semanas de edad, y es capaz de multiplicarse en cobayos, hámsters, pollos de un día, embrión de pollo, monos, perros y algunas aves, al igual que en cultivos celulares como las células de útero humano y canino, renales de hámster (BHK) , renales de mono (Vero), embriones de pollo, pulmones de embrión de ratón y corazón de embrión de cobayo.</w:t>
      </w:r>
    </w:p>
    <w:p>
      <w:pPr>
        <w:pStyle w:val="BodyText"/>
        <w:spacing w:line="360" w:lineRule="auto" w:before="166"/>
        <w:ind w:left="102" w:right="115"/>
        <w:jc w:val="both"/>
        <w:rPr>
          <w:sz w:val="16"/>
        </w:rPr>
      </w:pPr>
      <w:r>
        <w:rPr/>
        <w:t>El diagnostico se puede hacer por pruebas serológicas como seroneutrlización, inhibición</w:t>
      </w:r>
      <w:r>
        <w:rPr>
          <w:spacing w:val="-15"/>
        </w:rPr>
        <w:t> </w:t>
      </w:r>
      <w:r>
        <w:rPr/>
        <w:t>de</w:t>
      </w:r>
      <w:r>
        <w:rPr>
          <w:spacing w:val="-16"/>
        </w:rPr>
        <w:t> </w:t>
      </w:r>
      <w:r>
        <w:rPr/>
        <w:t>la</w:t>
      </w:r>
      <w:r>
        <w:rPr>
          <w:spacing w:val="-16"/>
        </w:rPr>
        <w:t> </w:t>
      </w:r>
      <w:r>
        <w:rPr/>
        <w:t>hemaglutinación</w:t>
      </w:r>
      <w:r>
        <w:rPr>
          <w:spacing w:val="-16"/>
        </w:rPr>
        <w:t> </w:t>
      </w:r>
      <w:r>
        <w:rPr/>
        <w:t>y</w:t>
      </w:r>
      <w:r>
        <w:rPr>
          <w:spacing w:val="-19"/>
        </w:rPr>
        <w:t> </w:t>
      </w:r>
      <w:r>
        <w:rPr/>
        <w:t>fijación</w:t>
      </w:r>
      <w:r>
        <w:rPr>
          <w:spacing w:val="-18"/>
        </w:rPr>
        <w:t> </w:t>
      </w:r>
      <w:r>
        <w:rPr/>
        <w:t>del</w:t>
      </w:r>
      <w:r>
        <w:rPr>
          <w:spacing w:val="-19"/>
        </w:rPr>
        <w:t> </w:t>
      </w:r>
      <w:r>
        <w:rPr/>
        <w:t>complemento</w:t>
      </w:r>
      <w:r>
        <w:rPr>
          <w:spacing w:val="-16"/>
        </w:rPr>
        <w:t> </w:t>
      </w:r>
      <w:r>
        <w:rPr/>
        <w:t>para</w:t>
      </w:r>
      <w:r>
        <w:rPr>
          <w:spacing w:val="-16"/>
        </w:rPr>
        <w:t> </w:t>
      </w:r>
      <w:r>
        <w:rPr/>
        <w:t>lo</w:t>
      </w:r>
      <w:r>
        <w:rPr>
          <w:spacing w:val="-16"/>
        </w:rPr>
        <w:t> </w:t>
      </w:r>
      <w:r>
        <w:rPr/>
        <w:t>cual</w:t>
      </w:r>
      <w:r>
        <w:rPr>
          <w:spacing w:val="-17"/>
        </w:rPr>
        <w:t> </w:t>
      </w:r>
      <w:r>
        <w:rPr/>
        <w:t>se</w:t>
      </w:r>
      <w:r>
        <w:rPr>
          <w:spacing w:val="-16"/>
        </w:rPr>
        <w:t> </w:t>
      </w:r>
      <w:r>
        <w:rPr/>
        <w:t>requieren muestras pares tomadas con un intervalo de cuando menos 14 días y para el aislamiento del virus, se requiere sangre tomada en la fase virémica de la enfermedad, es decir cuando se manifiestan lo signos clínicos, o, a partir de tejido cerebral o por ELISA de IgM de captura. </w:t>
      </w:r>
      <w:r>
        <w:rPr>
          <w:position w:val="8"/>
          <w:sz w:val="16"/>
        </w:rPr>
        <w:t>(19, 20, 21,</w:t>
      </w:r>
      <w:r>
        <w:rPr>
          <w:spacing w:val="-13"/>
          <w:position w:val="8"/>
          <w:sz w:val="16"/>
        </w:rPr>
        <w:t> </w:t>
      </w:r>
      <w:r>
        <w:rPr>
          <w:position w:val="8"/>
          <w:sz w:val="16"/>
        </w:rPr>
        <w:t>22)</w:t>
      </w:r>
    </w:p>
    <w:p>
      <w:pPr>
        <w:pStyle w:val="BodyText"/>
        <w:spacing w:line="360" w:lineRule="auto" w:before="159"/>
        <w:ind w:left="102" w:right="115"/>
        <w:jc w:val="both"/>
        <w:rPr>
          <w:sz w:val="16"/>
        </w:rPr>
      </w:pPr>
      <w:r>
        <w:rPr/>
        <w:t>El</w:t>
      </w:r>
      <w:r>
        <w:rPr>
          <w:spacing w:val="-8"/>
        </w:rPr>
        <w:t> </w:t>
      </w:r>
      <w:r>
        <w:rPr/>
        <w:t>virus</w:t>
      </w:r>
      <w:r>
        <w:rPr>
          <w:spacing w:val="-8"/>
        </w:rPr>
        <w:t> </w:t>
      </w:r>
      <w:r>
        <w:rPr/>
        <w:t>afecta</w:t>
      </w:r>
      <w:r>
        <w:rPr>
          <w:spacing w:val="-9"/>
        </w:rPr>
        <w:t> </w:t>
      </w:r>
      <w:r>
        <w:rPr/>
        <w:t>a</w:t>
      </w:r>
      <w:r>
        <w:rPr>
          <w:spacing w:val="-7"/>
        </w:rPr>
        <w:t> </w:t>
      </w:r>
      <w:r>
        <w:rPr/>
        <w:t>seres</w:t>
      </w:r>
      <w:r>
        <w:rPr>
          <w:spacing w:val="-11"/>
        </w:rPr>
        <w:t> </w:t>
      </w:r>
      <w:r>
        <w:rPr/>
        <w:t>humanos</w:t>
      </w:r>
      <w:r>
        <w:rPr>
          <w:spacing w:val="-10"/>
        </w:rPr>
        <w:t> </w:t>
      </w:r>
      <w:r>
        <w:rPr/>
        <w:t>de</w:t>
      </w:r>
      <w:r>
        <w:rPr>
          <w:spacing w:val="-9"/>
        </w:rPr>
        <w:t> </w:t>
      </w:r>
      <w:r>
        <w:rPr/>
        <w:t>todas</w:t>
      </w:r>
      <w:r>
        <w:rPr>
          <w:spacing w:val="-10"/>
        </w:rPr>
        <w:t> </w:t>
      </w:r>
      <w:r>
        <w:rPr/>
        <w:t>las</w:t>
      </w:r>
      <w:r>
        <w:rPr>
          <w:spacing w:val="-10"/>
        </w:rPr>
        <w:t> </w:t>
      </w:r>
      <w:r>
        <w:rPr/>
        <w:t>edades,</w:t>
      </w:r>
      <w:r>
        <w:rPr>
          <w:spacing w:val="-10"/>
        </w:rPr>
        <w:t> </w:t>
      </w:r>
      <w:r>
        <w:rPr/>
        <w:t>pero</w:t>
      </w:r>
      <w:r>
        <w:rPr>
          <w:spacing w:val="-8"/>
        </w:rPr>
        <w:t> </w:t>
      </w:r>
      <w:r>
        <w:rPr/>
        <w:t>se</w:t>
      </w:r>
      <w:r>
        <w:rPr>
          <w:spacing w:val="-9"/>
        </w:rPr>
        <w:t> </w:t>
      </w:r>
      <w:r>
        <w:rPr/>
        <w:t>ha</w:t>
      </w:r>
      <w:r>
        <w:rPr>
          <w:spacing w:val="-9"/>
        </w:rPr>
        <w:t> </w:t>
      </w:r>
      <w:r>
        <w:rPr/>
        <w:t>observado</w:t>
      </w:r>
      <w:r>
        <w:rPr>
          <w:spacing w:val="-7"/>
        </w:rPr>
        <w:t> </w:t>
      </w:r>
      <w:r>
        <w:rPr/>
        <w:t>que</w:t>
      </w:r>
      <w:r>
        <w:rPr>
          <w:spacing w:val="-9"/>
        </w:rPr>
        <w:t> </w:t>
      </w:r>
      <w:r>
        <w:rPr/>
        <w:t>los individuos menores de 15 años han sido los más afectados. El período de incubación es de 1.5 a 3.5 días, con un cuadro clínico que asemeja a infección de las vías respiratorias, fiebre elevada hasta 40.5 °C, dolor de cabeza, mialgias y vómito, el paciente se recupera generalmente después de 30 días. Algunos pacientes muestran síntomas neurológicos como: rigidez de nuca, convulsiones, estrabismo y en ocasiones la muerte. </w:t>
      </w:r>
      <w:r>
        <w:rPr>
          <w:position w:val="8"/>
          <w:sz w:val="16"/>
        </w:rPr>
        <w:t>(23, 24,</w:t>
      </w:r>
      <w:r>
        <w:rPr>
          <w:spacing w:val="-12"/>
          <w:position w:val="8"/>
          <w:sz w:val="16"/>
        </w:rPr>
        <w:t> </w:t>
      </w:r>
      <w:r>
        <w:rPr>
          <w:position w:val="8"/>
          <w:sz w:val="16"/>
        </w:rPr>
        <w:t>25)</w:t>
      </w:r>
    </w:p>
    <w:p>
      <w:pPr>
        <w:pStyle w:val="BodyText"/>
        <w:spacing w:line="357" w:lineRule="auto" w:before="159"/>
        <w:ind w:left="102" w:right="118"/>
        <w:jc w:val="both"/>
        <w:rPr>
          <w:sz w:val="16"/>
        </w:rPr>
      </w:pPr>
      <w:r>
        <w:rPr/>
        <w:t>Los equinos después de 24 horas de incubación presentan fiebre que puede durar hasta 7 días, disminución del consumo de alimento y agua, depresión del sistema nervioso central, leucopenia, disminución en el valor del hematocrito con viremia alta, con títulos de 10 </w:t>
      </w:r>
      <w:r>
        <w:rPr>
          <w:position w:val="8"/>
          <w:sz w:val="16"/>
        </w:rPr>
        <w:t>5 </w:t>
      </w:r>
      <w:r>
        <w:rPr/>
        <w:t>o más, depresión o excitabilidad, caminata en círculos, pérdida del balance, flacidez de los belfos, ojos semicerrados, orejas caídas y muerte; la morbilidad es elevada con las cepas epizoóticas de hasta un 100% y la mortalidad de 20 % o más. </w:t>
      </w:r>
      <w:r>
        <w:rPr>
          <w:position w:val="8"/>
          <w:sz w:val="16"/>
        </w:rPr>
        <w:t>(26, 27, 28)</w:t>
      </w:r>
    </w:p>
    <w:p>
      <w:pPr>
        <w:spacing w:after="0" w:line="357" w:lineRule="auto"/>
        <w:jc w:val="both"/>
        <w:rPr>
          <w:sz w:val="16"/>
        </w:rPr>
        <w:sectPr>
          <w:pgSz w:w="12240" w:h="15840"/>
          <w:pgMar w:top="1360" w:bottom="280" w:left="1600" w:right="1580"/>
        </w:sectPr>
      </w:pPr>
    </w:p>
    <w:p>
      <w:pPr>
        <w:pStyle w:val="Heading4"/>
        <w:ind w:left="330" w:right="349"/>
        <w:jc w:val="center"/>
      </w:pPr>
      <w:r>
        <w:rPr/>
        <w:t>ABSTRACT</w:t>
      </w:r>
    </w:p>
    <w:p>
      <w:pPr>
        <w:pStyle w:val="BodyText"/>
        <w:spacing w:before="1"/>
        <w:rPr>
          <w:b/>
          <w:sz w:val="26"/>
        </w:rPr>
      </w:pPr>
    </w:p>
    <w:p>
      <w:pPr>
        <w:pStyle w:val="BodyText"/>
        <w:spacing w:line="360" w:lineRule="auto"/>
        <w:ind w:left="102" w:right="121"/>
        <w:jc w:val="both"/>
      </w:pPr>
      <w:r>
        <w:rPr/>
        <w:t>Venezuelan Equine Encephalitis (VEE) is a disease that occurs primarily in horses and</w:t>
      </w:r>
      <w:r>
        <w:rPr>
          <w:spacing w:val="-18"/>
        </w:rPr>
        <w:t> </w:t>
      </w:r>
      <w:r>
        <w:rPr/>
        <w:t>humans</w:t>
      </w:r>
      <w:r>
        <w:rPr>
          <w:spacing w:val="-19"/>
        </w:rPr>
        <w:t> </w:t>
      </w:r>
      <w:r>
        <w:rPr/>
        <w:t>and</w:t>
      </w:r>
      <w:r>
        <w:rPr>
          <w:spacing w:val="-18"/>
        </w:rPr>
        <w:t> </w:t>
      </w:r>
      <w:r>
        <w:rPr/>
        <w:t>is</w:t>
      </w:r>
      <w:r>
        <w:rPr>
          <w:spacing w:val="-17"/>
        </w:rPr>
        <w:t> </w:t>
      </w:r>
      <w:r>
        <w:rPr/>
        <w:t>characterized</w:t>
      </w:r>
      <w:r>
        <w:rPr>
          <w:spacing w:val="-16"/>
        </w:rPr>
        <w:t> </w:t>
      </w:r>
      <w:r>
        <w:rPr/>
        <w:t>by</w:t>
      </w:r>
      <w:r>
        <w:rPr>
          <w:spacing w:val="-19"/>
        </w:rPr>
        <w:t> </w:t>
      </w:r>
      <w:r>
        <w:rPr/>
        <w:t>fever</w:t>
      </w:r>
      <w:r>
        <w:rPr>
          <w:spacing w:val="-17"/>
        </w:rPr>
        <w:t> </w:t>
      </w:r>
      <w:r>
        <w:rPr/>
        <w:t>that</w:t>
      </w:r>
      <w:r>
        <w:rPr>
          <w:spacing w:val="-18"/>
        </w:rPr>
        <w:t> </w:t>
      </w:r>
      <w:r>
        <w:rPr/>
        <w:t>sometimes</w:t>
      </w:r>
      <w:r>
        <w:rPr>
          <w:spacing w:val="-16"/>
        </w:rPr>
        <w:t> </w:t>
      </w:r>
      <w:r>
        <w:rPr/>
        <w:t>is</w:t>
      </w:r>
      <w:r>
        <w:rPr>
          <w:spacing w:val="-19"/>
        </w:rPr>
        <w:t> </w:t>
      </w:r>
      <w:r>
        <w:rPr/>
        <w:t>followed</w:t>
      </w:r>
      <w:r>
        <w:rPr>
          <w:spacing w:val="-18"/>
        </w:rPr>
        <w:t> </w:t>
      </w:r>
      <w:r>
        <w:rPr/>
        <w:t>by</w:t>
      </w:r>
      <w:r>
        <w:rPr>
          <w:spacing w:val="-19"/>
        </w:rPr>
        <w:t> </w:t>
      </w:r>
      <w:r>
        <w:rPr/>
        <w:t>neurological condition and death. The etiologic agent is a classified within the Togaviridae</w:t>
      </w:r>
      <w:r>
        <w:rPr>
          <w:spacing w:val="-40"/>
        </w:rPr>
        <w:t> </w:t>
      </w:r>
      <w:r>
        <w:rPr/>
        <w:t>family</w:t>
      </w:r>
    </w:p>
    <w:p>
      <w:pPr>
        <w:pStyle w:val="BodyText"/>
        <w:spacing w:line="360" w:lineRule="auto"/>
        <w:ind w:left="102" w:right="123"/>
        <w:jc w:val="both"/>
      </w:pPr>
      <w:r>
        <w:rPr/>
        <w:t>,</w:t>
      </w:r>
      <w:r>
        <w:rPr>
          <w:spacing w:val="-10"/>
        </w:rPr>
        <w:t> </w:t>
      </w:r>
      <w:r>
        <w:rPr/>
        <w:t>alphavirus</w:t>
      </w:r>
      <w:r>
        <w:rPr>
          <w:spacing w:val="-10"/>
        </w:rPr>
        <w:t> </w:t>
      </w:r>
      <w:r>
        <w:rPr/>
        <w:t>genus</w:t>
      </w:r>
      <w:r>
        <w:rPr>
          <w:spacing w:val="-9"/>
        </w:rPr>
        <w:t> </w:t>
      </w:r>
      <w:r>
        <w:rPr>
          <w:position w:val="8"/>
          <w:sz w:val="16"/>
        </w:rPr>
        <w:t>(</w:t>
      </w:r>
      <w:r>
        <w:rPr>
          <w:spacing w:val="-9"/>
          <w:position w:val="8"/>
          <w:sz w:val="16"/>
        </w:rPr>
        <w:t> </w:t>
      </w:r>
      <w:r>
        <w:rPr>
          <w:position w:val="8"/>
          <w:sz w:val="16"/>
        </w:rPr>
        <w:t>1)</w:t>
      </w:r>
      <w:r>
        <w:rPr>
          <w:spacing w:val="12"/>
          <w:position w:val="8"/>
          <w:sz w:val="16"/>
        </w:rPr>
        <w:t> </w:t>
      </w:r>
      <w:r>
        <w:rPr/>
        <w:t>,</w:t>
      </w:r>
      <w:r>
        <w:rPr>
          <w:spacing w:val="-12"/>
        </w:rPr>
        <w:t> </w:t>
      </w:r>
      <w:r>
        <w:rPr/>
        <w:t>which</w:t>
      </w:r>
      <w:r>
        <w:rPr>
          <w:spacing w:val="-10"/>
        </w:rPr>
        <w:t> </w:t>
      </w:r>
      <w:r>
        <w:rPr/>
        <w:t>was</w:t>
      </w:r>
      <w:r>
        <w:rPr>
          <w:spacing w:val="-10"/>
        </w:rPr>
        <w:t> </w:t>
      </w:r>
      <w:r>
        <w:rPr/>
        <w:t>first</w:t>
      </w:r>
      <w:r>
        <w:rPr>
          <w:spacing w:val="-10"/>
        </w:rPr>
        <w:t> </w:t>
      </w:r>
      <w:r>
        <w:rPr/>
        <w:t>recognized</w:t>
      </w:r>
      <w:r>
        <w:rPr>
          <w:spacing w:val="-9"/>
        </w:rPr>
        <w:t> </w:t>
      </w:r>
      <w:r>
        <w:rPr/>
        <w:t>in</w:t>
      </w:r>
      <w:r>
        <w:rPr>
          <w:spacing w:val="-10"/>
        </w:rPr>
        <w:t> </w:t>
      </w:r>
      <w:r>
        <w:rPr/>
        <w:t>Venezuela</w:t>
      </w:r>
      <w:r>
        <w:rPr>
          <w:spacing w:val="-12"/>
        </w:rPr>
        <w:t> </w:t>
      </w:r>
      <w:r>
        <w:rPr/>
        <w:t>by</w:t>
      </w:r>
      <w:r>
        <w:rPr>
          <w:spacing w:val="-13"/>
        </w:rPr>
        <w:t> </w:t>
      </w:r>
      <w:r>
        <w:rPr/>
        <w:t>Beck</w:t>
      </w:r>
      <w:r>
        <w:rPr>
          <w:spacing w:val="-10"/>
        </w:rPr>
        <w:t> </w:t>
      </w:r>
      <w:r>
        <w:rPr/>
        <w:t>and</w:t>
      </w:r>
      <w:r>
        <w:rPr>
          <w:spacing w:val="-16"/>
        </w:rPr>
        <w:t> </w:t>
      </w:r>
      <w:r>
        <w:rPr/>
        <w:t>Wickoff in 1938 and in 1939 Kubes and</w:t>
      </w:r>
      <w:r>
        <w:rPr>
          <w:spacing w:val="-14"/>
        </w:rPr>
        <w:t> </w:t>
      </w:r>
      <w:r>
        <w:rPr/>
        <w:t>Rios.</w:t>
      </w:r>
    </w:p>
    <w:p>
      <w:pPr>
        <w:pStyle w:val="BodyText"/>
        <w:spacing w:line="357" w:lineRule="auto" w:before="163"/>
        <w:ind w:left="102" w:right="116"/>
        <w:jc w:val="both"/>
        <w:rPr>
          <w:sz w:val="16"/>
        </w:rPr>
      </w:pPr>
      <w:r>
        <w:rPr/>
        <w:t>The disease was considered typical of northern South America and Panama until 1962 when serum neutralizing antibodies against EEV in humans in Champoton, Campeche, Mexico were detected. </w:t>
      </w:r>
      <w:r>
        <w:rPr>
          <w:position w:val="8"/>
          <w:sz w:val="16"/>
        </w:rPr>
        <w:t>( 9,10 ) </w:t>
      </w:r>
      <w:r>
        <w:rPr/>
        <w:t>It was later reported the presence of the virus in other countries in America, where it has caused serious epizoodemics, one of the most notable was the one that occurred in the years 1962-1972 in North, Central and South America. </w:t>
      </w:r>
      <w:r>
        <w:rPr>
          <w:position w:val="8"/>
          <w:sz w:val="16"/>
        </w:rPr>
        <w:t>(11)</w:t>
      </w:r>
    </w:p>
    <w:p>
      <w:pPr>
        <w:pStyle w:val="BodyText"/>
        <w:spacing w:line="360" w:lineRule="auto" w:before="162"/>
        <w:ind w:left="102" w:right="116"/>
        <w:jc w:val="both"/>
      </w:pPr>
      <w:r>
        <w:rPr/>
        <w:t>It does not affect other domestic animals in the same way as horses, however they can intervene in the life cycle of the disease as well as some wildlife animals. The transmission of the virus occurs through the bite of blood-sucking mosquitoes, in which the virus is able to replicate, so it is considered an arbovirus.</w:t>
      </w:r>
    </w:p>
    <w:p>
      <w:pPr>
        <w:pStyle w:val="BodyText"/>
        <w:spacing w:line="355" w:lineRule="auto" w:before="164"/>
        <w:ind w:left="102" w:right="124"/>
        <w:jc w:val="both"/>
        <w:rPr>
          <w:sz w:val="16"/>
        </w:rPr>
      </w:pPr>
      <w:r>
        <w:rPr/>
        <w:t>There are several serotypes of the EEV that defer in pathogenicity, thus presenting clinical signs and mortality are different. </w:t>
      </w:r>
      <w:r>
        <w:rPr>
          <w:position w:val="8"/>
          <w:sz w:val="16"/>
        </w:rPr>
        <w:t>(13)</w:t>
      </w:r>
    </w:p>
    <w:p>
      <w:pPr>
        <w:pStyle w:val="BodyText"/>
        <w:spacing w:line="360" w:lineRule="auto" w:before="165"/>
        <w:ind w:left="102" w:right="118"/>
        <w:jc w:val="both"/>
        <w:rPr>
          <w:sz w:val="16"/>
        </w:rPr>
      </w:pPr>
      <w:r>
        <w:rPr/>
        <w:t>Among the strains of low virulence are those that cause enzootic and endemic outbreaks</w:t>
      </w:r>
      <w:r>
        <w:rPr>
          <w:spacing w:val="-9"/>
        </w:rPr>
        <w:t> </w:t>
      </w:r>
      <w:r>
        <w:rPr/>
        <w:t>with</w:t>
      </w:r>
      <w:r>
        <w:rPr>
          <w:spacing w:val="-8"/>
        </w:rPr>
        <w:t> </w:t>
      </w:r>
      <w:r>
        <w:rPr/>
        <w:t>low</w:t>
      </w:r>
      <w:r>
        <w:rPr>
          <w:spacing w:val="-12"/>
        </w:rPr>
        <w:t> </w:t>
      </w:r>
      <w:r>
        <w:rPr/>
        <w:t>or</w:t>
      </w:r>
      <w:r>
        <w:rPr>
          <w:spacing w:val="-10"/>
        </w:rPr>
        <w:t> </w:t>
      </w:r>
      <w:r>
        <w:rPr/>
        <w:t>no</w:t>
      </w:r>
      <w:r>
        <w:rPr>
          <w:spacing w:val="-8"/>
        </w:rPr>
        <w:t> </w:t>
      </w:r>
      <w:r>
        <w:rPr/>
        <w:t>mortality</w:t>
      </w:r>
      <w:r>
        <w:rPr>
          <w:spacing w:val="-11"/>
        </w:rPr>
        <w:t> </w:t>
      </w:r>
      <w:r>
        <w:rPr/>
        <w:t>and</w:t>
      </w:r>
      <w:r>
        <w:rPr>
          <w:spacing w:val="-8"/>
        </w:rPr>
        <w:t> </w:t>
      </w:r>
      <w:r>
        <w:rPr/>
        <w:t>simply</w:t>
      </w:r>
      <w:r>
        <w:rPr>
          <w:spacing w:val="-12"/>
        </w:rPr>
        <w:t> </w:t>
      </w:r>
      <w:r>
        <w:rPr/>
        <w:t>develop</w:t>
      </w:r>
      <w:r>
        <w:rPr>
          <w:spacing w:val="-8"/>
        </w:rPr>
        <w:t> </w:t>
      </w:r>
      <w:r>
        <w:rPr/>
        <w:t>a</w:t>
      </w:r>
      <w:r>
        <w:rPr>
          <w:spacing w:val="-11"/>
        </w:rPr>
        <w:t> </w:t>
      </w:r>
      <w:r>
        <w:rPr/>
        <w:t>subclinical</w:t>
      </w:r>
      <w:r>
        <w:rPr>
          <w:spacing w:val="-12"/>
        </w:rPr>
        <w:t> </w:t>
      </w:r>
      <w:r>
        <w:rPr/>
        <w:t>disease</w:t>
      </w:r>
      <w:r>
        <w:rPr>
          <w:spacing w:val="-11"/>
        </w:rPr>
        <w:t> </w:t>
      </w:r>
      <w:r>
        <w:rPr/>
        <w:t>antibody display, in this section , we find the serogroup ID that is located in Venezuela and Panama</w:t>
      </w:r>
      <w:r>
        <w:rPr>
          <w:spacing w:val="-9"/>
        </w:rPr>
        <w:t> </w:t>
      </w:r>
      <w:r>
        <w:rPr/>
        <w:t>.</w:t>
      </w:r>
      <w:r>
        <w:rPr>
          <w:spacing w:val="-10"/>
        </w:rPr>
        <w:t> </w:t>
      </w:r>
      <w:r>
        <w:rPr/>
        <w:t>IE</w:t>
      </w:r>
      <w:r>
        <w:rPr>
          <w:spacing w:val="-10"/>
        </w:rPr>
        <w:t> </w:t>
      </w:r>
      <w:r>
        <w:rPr/>
        <w:t>or</w:t>
      </w:r>
      <w:r>
        <w:rPr>
          <w:spacing w:val="-11"/>
        </w:rPr>
        <w:t> </w:t>
      </w:r>
      <w:r>
        <w:rPr/>
        <w:t>Mena</w:t>
      </w:r>
      <w:r>
        <w:rPr>
          <w:spacing w:val="-9"/>
        </w:rPr>
        <w:t> </w:t>
      </w:r>
      <w:r>
        <w:rPr/>
        <w:t>II</w:t>
      </w:r>
      <w:r>
        <w:rPr>
          <w:spacing w:val="-11"/>
        </w:rPr>
        <w:t> </w:t>
      </w:r>
      <w:r>
        <w:rPr/>
        <w:t>subtype,</w:t>
      </w:r>
      <w:r>
        <w:rPr>
          <w:spacing w:val="-11"/>
        </w:rPr>
        <w:t> </w:t>
      </w:r>
      <w:r>
        <w:rPr/>
        <w:t>found</w:t>
      </w:r>
      <w:r>
        <w:rPr>
          <w:spacing w:val="-9"/>
        </w:rPr>
        <w:t> </w:t>
      </w:r>
      <w:r>
        <w:rPr/>
        <w:t>in</w:t>
      </w:r>
      <w:r>
        <w:rPr>
          <w:spacing w:val="-11"/>
        </w:rPr>
        <w:t> </w:t>
      </w:r>
      <w:r>
        <w:rPr/>
        <w:t>some</w:t>
      </w:r>
      <w:r>
        <w:rPr>
          <w:spacing w:val="-9"/>
        </w:rPr>
        <w:t> </w:t>
      </w:r>
      <w:r>
        <w:rPr/>
        <w:t>Central</w:t>
      </w:r>
      <w:r>
        <w:rPr>
          <w:spacing w:val="-12"/>
        </w:rPr>
        <w:t> </w:t>
      </w:r>
      <w:r>
        <w:rPr/>
        <w:t>American</w:t>
      </w:r>
      <w:r>
        <w:rPr>
          <w:spacing w:val="-9"/>
        </w:rPr>
        <w:t> </w:t>
      </w:r>
      <w:r>
        <w:rPr/>
        <w:t>countries</w:t>
      </w:r>
      <w:r>
        <w:rPr>
          <w:spacing w:val="-10"/>
        </w:rPr>
        <w:t> </w:t>
      </w:r>
      <w:r>
        <w:rPr/>
        <w:t>and</w:t>
      </w:r>
      <w:r>
        <w:rPr>
          <w:spacing w:val="-9"/>
        </w:rPr>
        <w:t> </w:t>
      </w:r>
      <w:r>
        <w:rPr/>
        <w:t>was associated</w:t>
      </w:r>
      <w:r>
        <w:rPr>
          <w:spacing w:val="-4"/>
        </w:rPr>
        <w:t> </w:t>
      </w:r>
      <w:r>
        <w:rPr/>
        <w:t>with</w:t>
      </w:r>
      <w:r>
        <w:rPr>
          <w:spacing w:val="-4"/>
        </w:rPr>
        <w:t> </w:t>
      </w:r>
      <w:r>
        <w:rPr/>
        <w:t>the</w:t>
      </w:r>
      <w:r>
        <w:rPr>
          <w:spacing w:val="-4"/>
        </w:rPr>
        <w:t> </w:t>
      </w:r>
      <w:r>
        <w:rPr/>
        <w:t>diagnosis</w:t>
      </w:r>
      <w:r>
        <w:rPr>
          <w:spacing w:val="-5"/>
        </w:rPr>
        <w:t> </w:t>
      </w:r>
      <w:r>
        <w:rPr/>
        <w:t>of</w:t>
      </w:r>
      <w:r>
        <w:rPr>
          <w:spacing w:val="-4"/>
        </w:rPr>
        <w:t> </w:t>
      </w:r>
      <w:r>
        <w:rPr/>
        <w:t>people</w:t>
      </w:r>
      <w:r>
        <w:rPr>
          <w:spacing w:val="-4"/>
        </w:rPr>
        <w:t> </w:t>
      </w:r>
      <w:r>
        <w:rPr/>
        <w:t>with</w:t>
      </w:r>
      <w:r>
        <w:rPr>
          <w:spacing w:val="-3"/>
        </w:rPr>
        <w:t> </w:t>
      </w:r>
      <w:r>
        <w:rPr/>
        <w:t>antibodies</w:t>
      </w:r>
      <w:r>
        <w:rPr>
          <w:spacing w:val="-4"/>
        </w:rPr>
        <w:t> </w:t>
      </w:r>
      <w:r>
        <w:rPr/>
        <w:t>in</w:t>
      </w:r>
      <w:r>
        <w:rPr>
          <w:spacing w:val="-4"/>
        </w:rPr>
        <w:t> </w:t>
      </w:r>
      <w:r>
        <w:rPr/>
        <w:t>Mexico</w:t>
      </w:r>
      <w:r>
        <w:rPr>
          <w:spacing w:val="-4"/>
        </w:rPr>
        <w:t> </w:t>
      </w:r>
      <w:r>
        <w:rPr/>
        <w:t>in</w:t>
      </w:r>
      <w:r>
        <w:rPr>
          <w:spacing w:val="-4"/>
        </w:rPr>
        <w:t> </w:t>
      </w:r>
      <w:r>
        <w:rPr/>
        <w:t>1962,</w:t>
      </w:r>
      <w:r>
        <w:rPr>
          <w:spacing w:val="-4"/>
        </w:rPr>
        <w:t> </w:t>
      </w:r>
      <w:r>
        <w:rPr/>
        <w:t>limited</w:t>
      </w:r>
      <w:r>
        <w:rPr>
          <w:spacing w:val="-4"/>
        </w:rPr>
        <w:t> </w:t>
      </w:r>
      <w:r>
        <w:rPr/>
        <w:t>to the Gulf of Mexico. The group II or Everglades described in the peninsula of Florida in the United States. The group III or Mucambo circulating in northern Brazil. The group IV or Pixuna has also been reported in northern Brazil. </w:t>
      </w:r>
      <w:r>
        <w:rPr>
          <w:position w:val="8"/>
          <w:sz w:val="16"/>
        </w:rPr>
        <w:t>(14, 15,</w:t>
      </w:r>
      <w:r>
        <w:rPr>
          <w:spacing w:val="-27"/>
          <w:position w:val="8"/>
          <w:sz w:val="16"/>
        </w:rPr>
        <w:t> </w:t>
      </w:r>
      <w:r>
        <w:rPr>
          <w:position w:val="8"/>
          <w:sz w:val="16"/>
        </w:rPr>
        <w:t>16)</w:t>
      </w:r>
    </w:p>
    <w:p>
      <w:pPr>
        <w:pStyle w:val="BodyText"/>
        <w:spacing w:line="360" w:lineRule="auto" w:before="159"/>
        <w:ind w:left="102" w:right="123"/>
        <w:jc w:val="both"/>
      </w:pPr>
      <w:r>
        <w:rPr/>
        <w:t>Previously</w:t>
      </w:r>
      <w:r>
        <w:rPr>
          <w:spacing w:val="-15"/>
        </w:rPr>
        <w:t> </w:t>
      </w:r>
      <w:r>
        <w:rPr/>
        <w:t>it</w:t>
      </w:r>
      <w:r>
        <w:rPr>
          <w:spacing w:val="-15"/>
        </w:rPr>
        <w:t> </w:t>
      </w:r>
      <w:r>
        <w:rPr/>
        <w:t>was</w:t>
      </w:r>
      <w:r>
        <w:rPr>
          <w:spacing w:val="-15"/>
        </w:rPr>
        <w:t> </w:t>
      </w:r>
      <w:r>
        <w:rPr/>
        <w:t>believed</w:t>
      </w:r>
      <w:r>
        <w:rPr>
          <w:spacing w:val="-14"/>
        </w:rPr>
        <w:t> </w:t>
      </w:r>
      <w:r>
        <w:rPr/>
        <w:t>that</w:t>
      </w:r>
      <w:r>
        <w:rPr>
          <w:spacing w:val="-14"/>
        </w:rPr>
        <w:t> </w:t>
      </w:r>
      <w:r>
        <w:rPr/>
        <w:t>the</w:t>
      </w:r>
      <w:r>
        <w:rPr>
          <w:spacing w:val="-14"/>
        </w:rPr>
        <w:t> </w:t>
      </w:r>
      <w:r>
        <w:rPr/>
        <w:t>enzootic</w:t>
      </w:r>
      <w:r>
        <w:rPr>
          <w:spacing w:val="-15"/>
        </w:rPr>
        <w:t> </w:t>
      </w:r>
      <w:r>
        <w:rPr/>
        <w:t>subtypes</w:t>
      </w:r>
      <w:r>
        <w:rPr>
          <w:spacing w:val="-15"/>
        </w:rPr>
        <w:t> </w:t>
      </w:r>
      <w:r>
        <w:rPr/>
        <w:t>were</w:t>
      </w:r>
      <w:r>
        <w:rPr>
          <w:spacing w:val="-15"/>
        </w:rPr>
        <w:t> </w:t>
      </w:r>
      <w:r>
        <w:rPr/>
        <w:t>nonpathogenic</w:t>
      </w:r>
      <w:r>
        <w:rPr>
          <w:spacing w:val="-15"/>
        </w:rPr>
        <w:t> </w:t>
      </w:r>
      <w:r>
        <w:rPr/>
        <w:t>for</w:t>
      </w:r>
      <w:r>
        <w:rPr>
          <w:spacing w:val="-16"/>
        </w:rPr>
        <w:t> </w:t>
      </w:r>
      <w:r>
        <w:rPr/>
        <w:t>horses and</w:t>
      </w:r>
      <w:r>
        <w:rPr>
          <w:spacing w:val="48"/>
        </w:rPr>
        <w:t> </w:t>
      </w:r>
      <w:r>
        <w:rPr/>
        <w:t>only</w:t>
      </w:r>
      <w:r>
        <w:rPr>
          <w:spacing w:val="47"/>
        </w:rPr>
        <w:t> </w:t>
      </w:r>
      <w:r>
        <w:rPr/>
        <w:t>induce</w:t>
      </w:r>
      <w:r>
        <w:rPr>
          <w:spacing w:val="48"/>
        </w:rPr>
        <w:t> </w:t>
      </w:r>
      <w:r>
        <w:rPr/>
        <w:t>protective</w:t>
      </w:r>
      <w:r>
        <w:rPr>
          <w:spacing w:val="51"/>
        </w:rPr>
        <w:t> </w:t>
      </w:r>
      <w:r>
        <w:rPr/>
        <w:t>immunity</w:t>
      </w:r>
      <w:r>
        <w:rPr>
          <w:spacing w:val="48"/>
        </w:rPr>
        <w:t> </w:t>
      </w:r>
      <w:r>
        <w:rPr/>
        <w:t>against</w:t>
      </w:r>
      <w:r>
        <w:rPr>
          <w:spacing w:val="51"/>
        </w:rPr>
        <w:t> </w:t>
      </w:r>
      <w:r>
        <w:rPr/>
        <w:t>epizootic</w:t>
      </w:r>
      <w:r>
        <w:rPr>
          <w:spacing w:val="50"/>
        </w:rPr>
        <w:t> </w:t>
      </w:r>
      <w:r>
        <w:rPr/>
        <w:t>variants.</w:t>
      </w:r>
      <w:r>
        <w:rPr>
          <w:spacing w:val="51"/>
        </w:rPr>
        <w:t> </w:t>
      </w:r>
      <w:r>
        <w:rPr/>
        <w:t>However</w:t>
      </w:r>
      <w:r>
        <w:rPr>
          <w:spacing w:val="49"/>
        </w:rPr>
        <w:t> </w:t>
      </w:r>
      <w:r>
        <w:rPr/>
        <w:t>in</w:t>
      </w:r>
      <w:r>
        <w:rPr>
          <w:spacing w:val="50"/>
        </w:rPr>
        <w:t> </w:t>
      </w:r>
      <w:r>
        <w:rPr/>
        <w:t>the</w:t>
      </w:r>
    </w:p>
    <w:p>
      <w:pPr>
        <w:spacing w:after="0" w:line="360" w:lineRule="auto"/>
        <w:jc w:val="both"/>
        <w:sectPr>
          <w:pgSz w:w="12240" w:h="15840"/>
          <w:pgMar w:top="1360" w:bottom="280" w:left="1600" w:right="1580"/>
        </w:sectPr>
      </w:pPr>
    </w:p>
    <w:p>
      <w:pPr>
        <w:pStyle w:val="BodyText"/>
        <w:spacing w:line="362" w:lineRule="auto" w:before="54"/>
        <w:ind w:left="102" w:right="117"/>
        <w:jc w:val="both"/>
      </w:pPr>
      <w:r>
        <w:rPr/>
        <w:t>1990s appeared in Mexico two epizootic outbreaks, which was isolated and characterized as IE virus subtype known as enzootic so far.</w:t>
      </w:r>
    </w:p>
    <w:p>
      <w:pPr>
        <w:pStyle w:val="BodyText"/>
        <w:spacing w:line="360" w:lineRule="auto" w:before="161"/>
        <w:ind w:left="102" w:right="121"/>
        <w:jc w:val="both"/>
      </w:pPr>
      <w:r>
        <w:rPr/>
        <w:t>The wild cycle is observed in the humid forests of tropical America and in marshlands, where transmission of the virus is enzootic and develops between rodents</w:t>
      </w:r>
      <w:r>
        <w:rPr>
          <w:spacing w:val="-9"/>
        </w:rPr>
        <w:t> </w:t>
      </w:r>
      <w:r>
        <w:rPr/>
        <w:t>and</w:t>
      </w:r>
      <w:r>
        <w:rPr>
          <w:spacing w:val="-6"/>
        </w:rPr>
        <w:t> </w:t>
      </w:r>
      <w:r>
        <w:rPr/>
        <w:t>several</w:t>
      </w:r>
      <w:r>
        <w:rPr>
          <w:spacing w:val="-7"/>
        </w:rPr>
        <w:t> </w:t>
      </w:r>
      <w:r>
        <w:rPr/>
        <w:t>species</w:t>
      </w:r>
      <w:r>
        <w:rPr>
          <w:spacing w:val="-6"/>
        </w:rPr>
        <w:t> </w:t>
      </w:r>
      <w:r>
        <w:rPr/>
        <w:t>of</w:t>
      </w:r>
      <w:r>
        <w:rPr>
          <w:spacing w:val="-7"/>
        </w:rPr>
        <w:t> </w:t>
      </w:r>
      <w:r>
        <w:rPr/>
        <w:t>mosquito,</w:t>
      </w:r>
      <w:r>
        <w:rPr>
          <w:spacing w:val="-6"/>
        </w:rPr>
        <w:t> </w:t>
      </w:r>
      <w:r>
        <w:rPr/>
        <w:t>Culex</w:t>
      </w:r>
      <w:r>
        <w:rPr>
          <w:spacing w:val="-9"/>
        </w:rPr>
        <w:t> </w:t>
      </w:r>
      <w:r>
        <w:rPr/>
        <w:t>sp.</w:t>
      </w:r>
      <w:r>
        <w:rPr>
          <w:spacing w:val="-6"/>
        </w:rPr>
        <w:t> </w:t>
      </w:r>
      <w:r>
        <w:rPr/>
        <w:t>Man</w:t>
      </w:r>
      <w:r>
        <w:rPr>
          <w:spacing w:val="-6"/>
        </w:rPr>
        <w:t> </w:t>
      </w:r>
      <w:r>
        <w:rPr/>
        <w:t>can</w:t>
      </w:r>
      <w:r>
        <w:rPr>
          <w:spacing w:val="-6"/>
        </w:rPr>
        <w:t> </w:t>
      </w:r>
      <w:r>
        <w:rPr/>
        <w:t>become</w:t>
      </w:r>
      <w:r>
        <w:rPr>
          <w:spacing w:val="-6"/>
        </w:rPr>
        <w:t> </w:t>
      </w:r>
      <w:r>
        <w:rPr/>
        <w:t>infected</w:t>
      </w:r>
      <w:r>
        <w:rPr>
          <w:spacing w:val="-6"/>
        </w:rPr>
        <w:t> </w:t>
      </w:r>
      <w:r>
        <w:rPr/>
        <w:t>when introduced into the enzootic ecosystem.</w:t>
      </w:r>
      <w:r>
        <w:rPr>
          <w:spacing w:val="-19"/>
        </w:rPr>
        <w:t> </w:t>
      </w:r>
      <w:r>
        <w:rPr/>
        <w:t>(17)</w:t>
      </w:r>
    </w:p>
    <w:p>
      <w:pPr>
        <w:pStyle w:val="BodyText"/>
        <w:spacing w:line="360" w:lineRule="auto" w:before="163"/>
        <w:ind w:left="102" w:right="117"/>
        <w:jc w:val="both"/>
      </w:pPr>
      <w:r>
        <w:rPr/>
        <w:t>In the complex of high virulence there are the strains that cause epizootic and epidemic</w:t>
      </w:r>
      <w:r>
        <w:rPr>
          <w:spacing w:val="-10"/>
        </w:rPr>
        <w:t> </w:t>
      </w:r>
      <w:r>
        <w:rPr/>
        <w:t>outbreaks</w:t>
      </w:r>
      <w:r>
        <w:rPr>
          <w:spacing w:val="-9"/>
        </w:rPr>
        <w:t> </w:t>
      </w:r>
      <w:r>
        <w:rPr/>
        <w:t>with</w:t>
      </w:r>
      <w:r>
        <w:rPr>
          <w:spacing w:val="-8"/>
        </w:rPr>
        <w:t> </w:t>
      </w:r>
      <w:r>
        <w:rPr/>
        <w:t>high</w:t>
      </w:r>
      <w:r>
        <w:rPr>
          <w:spacing w:val="-8"/>
        </w:rPr>
        <w:t> </w:t>
      </w:r>
      <w:r>
        <w:rPr/>
        <w:t>mortality,</w:t>
      </w:r>
      <w:r>
        <w:rPr>
          <w:spacing w:val="-9"/>
        </w:rPr>
        <w:t> </w:t>
      </w:r>
      <w:r>
        <w:rPr/>
        <w:t>here</w:t>
      </w:r>
      <w:r>
        <w:rPr>
          <w:spacing w:val="-11"/>
        </w:rPr>
        <w:t> </w:t>
      </w:r>
      <w:r>
        <w:rPr/>
        <w:t>we</w:t>
      </w:r>
      <w:r>
        <w:rPr>
          <w:spacing w:val="-8"/>
        </w:rPr>
        <w:t> </w:t>
      </w:r>
      <w:r>
        <w:rPr/>
        <w:t>found</w:t>
      </w:r>
      <w:r>
        <w:rPr>
          <w:spacing w:val="-8"/>
        </w:rPr>
        <w:t> </w:t>
      </w:r>
      <w:r>
        <w:rPr/>
        <w:t>the</w:t>
      </w:r>
      <w:r>
        <w:rPr>
          <w:spacing w:val="-8"/>
        </w:rPr>
        <w:t> </w:t>
      </w:r>
      <w:r>
        <w:rPr/>
        <w:t>IAB</w:t>
      </w:r>
      <w:r>
        <w:rPr>
          <w:spacing w:val="-9"/>
        </w:rPr>
        <w:t> </w:t>
      </w:r>
      <w:r>
        <w:rPr/>
        <w:t>subtype</w:t>
      </w:r>
      <w:r>
        <w:rPr>
          <w:spacing w:val="-8"/>
        </w:rPr>
        <w:t> </w:t>
      </w:r>
      <w:r>
        <w:rPr/>
        <w:t>diagnosed</w:t>
      </w:r>
      <w:r>
        <w:rPr>
          <w:spacing w:val="-8"/>
        </w:rPr>
        <w:t> </w:t>
      </w:r>
      <w:r>
        <w:rPr/>
        <w:t>in 1938 in Venezuela and Trinidad. The IC subgroup diagnosed in Ecuador in 1969, which went from there to Guatemala and Salvador in July of the same year without affecting the rest of the Central American countries and possibly arrive by air mobilization of men, horses, birds or bats, spreading to the rest of the country in 1970 and 1971 reaching the southern United States in August of that</w:t>
      </w:r>
      <w:r>
        <w:rPr>
          <w:spacing w:val="-34"/>
        </w:rPr>
        <w:t> </w:t>
      </w:r>
      <w:r>
        <w:rPr/>
        <w:t>year.</w:t>
      </w:r>
    </w:p>
    <w:p>
      <w:pPr>
        <w:pStyle w:val="BodyText"/>
        <w:spacing w:line="360" w:lineRule="auto" w:before="163"/>
        <w:ind w:left="102" w:right="121"/>
        <w:jc w:val="both"/>
      </w:pPr>
      <w:r>
        <w:rPr/>
        <w:t>Vectors involved in epizootic diseases are diverse, among which are : Psorophora confinnis , Psorophora discolor , Mansonia titillans , indubitans Mansonia , Aedes taeniorhynchus , sollicitans Aedes , Aedes scapularis , Aedes thelcter , Deinoceritis pseudes .</w:t>
      </w:r>
    </w:p>
    <w:p>
      <w:pPr>
        <w:pStyle w:val="BodyText"/>
        <w:spacing w:line="360" w:lineRule="auto" w:before="163"/>
        <w:ind w:left="102" w:right="121"/>
        <w:jc w:val="both"/>
        <w:rPr>
          <w:sz w:val="16"/>
        </w:rPr>
      </w:pPr>
      <w:r>
        <w:rPr/>
        <w:t>The virus has a capsid with icosahedral symmetry, surrounded by a membrane;</w:t>
      </w:r>
      <w:r>
        <w:rPr>
          <w:spacing w:val="-38"/>
        </w:rPr>
        <w:t> </w:t>
      </w:r>
      <w:r>
        <w:rPr/>
        <w:t>the virion surface observed by electron microscope has a diffuse appearance with very fine</w:t>
      </w:r>
      <w:r>
        <w:rPr>
          <w:spacing w:val="-17"/>
        </w:rPr>
        <w:t> </w:t>
      </w:r>
      <w:r>
        <w:rPr/>
        <w:t>projections;</w:t>
      </w:r>
      <w:r>
        <w:rPr>
          <w:spacing w:val="-17"/>
        </w:rPr>
        <w:t> </w:t>
      </w:r>
      <w:r>
        <w:rPr/>
        <w:t>virion</w:t>
      </w:r>
      <w:r>
        <w:rPr>
          <w:spacing w:val="-16"/>
        </w:rPr>
        <w:t> </w:t>
      </w:r>
      <w:r>
        <w:rPr/>
        <w:t>size</w:t>
      </w:r>
      <w:r>
        <w:rPr>
          <w:spacing w:val="-17"/>
        </w:rPr>
        <w:t> </w:t>
      </w:r>
      <w:r>
        <w:rPr/>
        <w:t>is</w:t>
      </w:r>
      <w:r>
        <w:rPr>
          <w:spacing w:val="-18"/>
        </w:rPr>
        <w:t> </w:t>
      </w:r>
      <w:r>
        <w:rPr/>
        <w:t>65-75</w:t>
      </w:r>
      <w:r>
        <w:rPr>
          <w:spacing w:val="-17"/>
        </w:rPr>
        <w:t> </w:t>
      </w:r>
      <w:r>
        <w:rPr/>
        <w:t>nm,</w:t>
      </w:r>
      <w:r>
        <w:rPr>
          <w:spacing w:val="-17"/>
        </w:rPr>
        <w:t> </w:t>
      </w:r>
      <w:r>
        <w:rPr/>
        <w:t>contains</w:t>
      </w:r>
      <w:r>
        <w:rPr>
          <w:spacing w:val="-17"/>
        </w:rPr>
        <w:t> </w:t>
      </w:r>
      <w:r>
        <w:rPr/>
        <w:t>a</w:t>
      </w:r>
      <w:r>
        <w:rPr>
          <w:spacing w:val="-17"/>
        </w:rPr>
        <w:t> </w:t>
      </w:r>
      <w:r>
        <w:rPr/>
        <w:t>genome</w:t>
      </w:r>
      <w:r>
        <w:rPr>
          <w:spacing w:val="-17"/>
        </w:rPr>
        <w:t> </w:t>
      </w:r>
      <w:r>
        <w:rPr/>
        <w:t>of</w:t>
      </w:r>
      <w:r>
        <w:rPr>
          <w:spacing w:val="-17"/>
        </w:rPr>
        <w:t> </w:t>
      </w:r>
      <w:r>
        <w:rPr/>
        <w:t>ribonucleic</w:t>
      </w:r>
      <w:r>
        <w:rPr>
          <w:spacing w:val="-17"/>
        </w:rPr>
        <w:t> </w:t>
      </w:r>
      <w:r>
        <w:rPr/>
        <w:t>acid</w:t>
      </w:r>
      <w:r>
        <w:rPr>
          <w:spacing w:val="-17"/>
        </w:rPr>
        <w:t> </w:t>
      </w:r>
      <w:r>
        <w:rPr/>
        <w:t>(RNA) single chain polypeptides has 3 high lysine content associated with RNA and two others that are glycoproteins, which together with the structural lipids form the membrane viral. The hemagglutinin is an immunogenic component in the virion surface and corresponds to the glycoprotein projections.</w:t>
      </w:r>
      <w:r>
        <w:rPr>
          <w:spacing w:val="-18"/>
        </w:rPr>
        <w:t> </w:t>
      </w:r>
      <w:r>
        <w:rPr>
          <w:position w:val="8"/>
          <w:sz w:val="16"/>
        </w:rPr>
        <w:t>(18)</w:t>
      </w:r>
    </w:p>
    <w:p>
      <w:pPr>
        <w:pStyle w:val="BodyText"/>
        <w:spacing w:line="360" w:lineRule="auto" w:before="159"/>
        <w:ind w:left="102" w:right="116"/>
        <w:jc w:val="both"/>
      </w:pPr>
      <w:r>
        <w:rPr/>
        <w:t>It can be grown in weaning or 3 weeks old mouse, and is able to multiply in guinea pigs , hamsters , chickens and one day chick embryo , monkeys, dogs and birds , as in cell cultures such as cells uterus human and canine kidney (BHK ) , monkey kidney ( Vero ) , chicken embryos , mouse embryo lungs and heart guinea pig embryo .</w:t>
      </w:r>
    </w:p>
    <w:p>
      <w:pPr>
        <w:spacing w:after="0" w:line="360" w:lineRule="auto"/>
        <w:jc w:val="both"/>
        <w:sectPr>
          <w:pgSz w:w="12240" w:h="15840"/>
          <w:pgMar w:top="1360" w:bottom="280" w:left="1600" w:right="1580"/>
        </w:sectPr>
      </w:pPr>
    </w:p>
    <w:p>
      <w:pPr>
        <w:pStyle w:val="BodyText"/>
        <w:spacing w:line="360" w:lineRule="auto" w:before="54"/>
        <w:ind w:left="102" w:right="124"/>
        <w:jc w:val="both"/>
        <w:rPr>
          <w:sz w:val="16"/>
        </w:rPr>
      </w:pPr>
      <w:r>
        <w:rPr/>
        <w:t>The diagnosis can be made by serological tests as seroneutrlización , hemagglutination inhibition and complement fixation which even samples are taken with an interval of at least 14 days, for virus isolation, blood taken is required in the viremic phase disease , ie when clinical signs are manifested , or from brain tissue or IgM capture ELISA . </w:t>
      </w:r>
      <w:r>
        <w:rPr>
          <w:position w:val="8"/>
          <w:sz w:val="16"/>
        </w:rPr>
        <w:t>(19, 20, 21, 22)</w:t>
      </w:r>
    </w:p>
    <w:p>
      <w:pPr>
        <w:pStyle w:val="BodyText"/>
        <w:spacing w:line="360" w:lineRule="auto" w:before="162"/>
        <w:ind w:left="102" w:right="117"/>
        <w:jc w:val="both"/>
        <w:rPr>
          <w:sz w:val="16"/>
        </w:rPr>
      </w:pPr>
      <w:r>
        <w:rPr/>
        <w:t>The</w:t>
      </w:r>
      <w:r>
        <w:rPr>
          <w:spacing w:val="-9"/>
        </w:rPr>
        <w:t> </w:t>
      </w:r>
      <w:r>
        <w:rPr/>
        <w:t>virus</w:t>
      </w:r>
      <w:r>
        <w:rPr>
          <w:spacing w:val="-10"/>
        </w:rPr>
        <w:t> </w:t>
      </w:r>
      <w:r>
        <w:rPr/>
        <w:t>affects</w:t>
      </w:r>
      <w:r>
        <w:rPr>
          <w:spacing w:val="-12"/>
        </w:rPr>
        <w:t> </w:t>
      </w:r>
      <w:r>
        <w:rPr/>
        <w:t>humans</w:t>
      </w:r>
      <w:r>
        <w:rPr>
          <w:spacing w:val="-10"/>
        </w:rPr>
        <w:t> </w:t>
      </w:r>
      <w:r>
        <w:rPr/>
        <w:t>of</w:t>
      </w:r>
      <w:r>
        <w:rPr>
          <w:spacing w:val="-10"/>
        </w:rPr>
        <w:t> </w:t>
      </w:r>
      <w:r>
        <w:rPr/>
        <w:t>all</w:t>
      </w:r>
      <w:r>
        <w:rPr>
          <w:spacing w:val="-11"/>
        </w:rPr>
        <w:t> </w:t>
      </w:r>
      <w:r>
        <w:rPr/>
        <w:t>ages,</w:t>
      </w:r>
      <w:r>
        <w:rPr>
          <w:spacing w:val="-10"/>
        </w:rPr>
        <w:t> </w:t>
      </w:r>
      <w:r>
        <w:rPr/>
        <w:t>but</w:t>
      </w:r>
      <w:r>
        <w:rPr>
          <w:spacing w:val="-10"/>
        </w:rPr>
        <w:t> </w:t>
      </w:r>
      <w:r>
        <w:rPr/>
        <w:t>it</w:t>
      </w:r>
      <w:r>
        <w:rPr>
          <w:spacing w:val="-13"/>
        </w:rPr>
        <w:t> </w:t>
      </w:r>
      <w:r>
        <w:rPr/>
        <w:t>has</w:t>
      </w:r>
      <w:r>
        <w:rPr>
          <w:spacing w:val="-10"/>
        </w:rPr>
        <w:t> </w:t>
      </w:r>
      <w:r>
        <w:rPr/>
        <w:t>been</w:t>
      </w:r>
      <w:r>
        <w:rPr>
          <w:spacing w:val="-9"/>
        </w:rPr>
        <w:t> </w:t>
      </w:r>
      <w:r>
        <w:rPr/>
        <w:t>observed</w:t>
      </w:r>
      <w:r>
        <w:rPr>
          <w:spacing w:val="-9"/>
        </w:rPr>
        <w:t> </w:t>
      </w:r>
      <w:r>
        <w:rPr/>
        <w:t>that</w:t>
      </w:r>
      <w:r>
        <w:rPr>
          <w:spacing w:val="-10"/>
        </w:rPr>
        <w:t> </w:t>
      </w:r>
      <w:r>
        <w:rPr/>
        <w:t>individuals</w:t>
      </w:r>
      <w:r>
        <w:rPr>
          <w:spacing w:val="-11"/>
        </w:rPr>
        <w:t> </w:t>
      </w:r>
      <w:r>
        <w:rPr/>
        <w:t>under 15</w:t>
      </w:r>
      <w:r>
        <w:rPr>
          <w:spacing w:val="-6"/>
        </w:rPr>
        <w:t> </w:t>
      </w:r>
      <w:r>
        <w:rPr/>
        <w:t>years</w:t>
      </w:r>
      <w:r>
        <w:rPr>
          <w:spacing w:val="-7"/>
        </w:rPr>
        <w:t> </w:t>
      </w:r>
      <w:r>
        <w:rPr/>
        <w:t>have</w:t>
      </w:r>
      <w:r>
        <w:rPr>
          <w:spacing w:val="-6"/>
        </w:rPr>
        <w:t> </w:t>
      </w:r>
      <w:r>
        <w:rPr/>
        <w:t>been</w:t>
      </w:r>
      <w:r>
        <w:rPr>
          <w:spacing w:val="-6"/>
        </w:rPr>
        <w:t> </w:t>
      </w:r>
      <w:r>
        <w:rPr/>
        <w:t>the</w:t>
      </w:r>
      <w:r>
        <w:rPr>
          <w:spacing w:val="-6"/>
        </w:rPr>
        <w:t> </w:t>
      </w:r>
      <w:r>
        <w:rPr/>
        <w:t>most</w:t>
      </w:r>
      <w:r>
        <w:rPr>
          <w:spacing w:val="-6"/>
        </w:rPr>
        <w:t> </w:t>
      </w:r>
      <w:r>
        <w:rPr/>
        <w:t>affected.</w:t>
      </w:r>
      <w:r>
        <w:rPr>
          <w:spacing w:val="-9"/>
        </w:rPr>
        <w:t> </w:t>
      </w:r>
      <w:r>
        <w:rPr/>
        <w:t>The</w:t>
      </w:r>
      <w:r>
        <w:rPr>
          <w:spacing w:val="-6"/>
        </w:rPr>
        <w:t> </w:t>
      </w:r>
      <w:r>
        <w:rPr/>
        <w:t>incubation</w:t>
      </w:r>
      <w:r>
        <w:rPr>
          <w:spacing w:val="-6"/>
        </w:rPr>
        <w:t> </w:t>
      </w:r>
      <w:r>
        <w:rPr/>
        <w:t>period</w:t>
      </w:r>
      <w:r>
        <w:rPr>
          <w:spacing w:val="-6"/>
        </w:rPr>
        <w:t> </w:t>
      </w:r>
      <w:r>
        <w:rPr>
          <w:spacing w:val="3"/>
        </w:rPr>
        <w:t>is</w:t>
      </w:r>
      <w:r>
        <w:rPr>
          <w:spacing w:val="-7"/>
        </w:rPr>
        <w:t> </w:t>
      </w:r>
      <w:r>
        <w:rPr/>
        <w:t>1.5</w:t>
      </w:r>
      <w:r>
        <w:rPr>
          <w:spacing w:val="-6"/>
        </w:rPr>
        <w:t> </w:t>
      </w:r>
      <w:r>
        <w:rPr/>
        <w:t>to</w:t>
      </w:r>
      <w:r>
        <w:rPr>
          <w:spacing w:val="-6"/>
        </w:rPr>
        <w:t> </w:t>
      </w:r>
      <w:r>
        <w:rPr/>
        <w:t>3.5</w:t>
      </w:r>
      <w:r>
        <w:rPr>
          <w:spacing w:val="-8"/>
        </w:rPr>
        <w:t> </w:t>
      </w:r>
      <w:r>
        <w:rPr/>
        <w:t>days,</w:t>
      </w:r>
      <w:r>
        <w:rPr>
          <w:spacing w:val="-6"/>
        </w:rPr>
        <w:t> </w:t>
      </w:r>
      <w:r>
        <w:rPr/>
        <w:t>with a</w:t>
      </w:r>
      <w:r>
        <w:rPr>
          <w:spacing w:val="-16"/>
        </w:rPr>
        <w:t> </w:t>
      </w:r>
      <w:r>
        <w:rPr/>
        <w:t>clinical</w:t>
      </w:r>
      <w:r>
        <w:rPr>
          <w:spacing w:val="-19"/>
        </w:rPr>
        <w:t> </w:t>
      </w:r>
      <w:r>
        <w:rPr/>
        <w:t>picture</w:t>
      </w:r>
      <w:r>
        <w:rPr>
          <w:spacing w:val="-19"/>
        </w:rPr>
        <w:t> </w:t>
      </w:r>
      <w:r>
        <w:rPr/>
        <w:t>that</w:t>
      </w:r>
      <w:r>
        <w:rPr>
          <w:spacing w:val="-16"/>
        </w:rPr>
        <w:t> </w:t>
      </w:r>
      <w:r>
        <w:rPr/>
        <w:t>resembles</w:t>
      </w:r>
      <w:r>
        <w:rPr>
          <w:spacing w:val="-16"/>
        </w:rPr>
        <w:t> </w:t>
      </w:r>
      <w:r>
        <w:rPr/>
        <w:t>airway</w:t>
      </w:r>
      <w:r>
        <w:rPr>
          <w:spacing w:val="-19"/>
        </w:rPr>
        <w:t> </w:t>
      </w:r>
      <w:r>
        <w:rPr/>
        <w:t>infection,</w:t>
      </w:r>
      <w:r>
        <w:rPr>
          <w:spacing w:val="-16"/>
        </w:rPr>
        <w:t> </w:t>
      </w:r>
      <w:r>
        <w:rPr/>
        <w:t>high</w:t>
      </w:r>
      <w:r>
        <w:rPr>
          <w:spacing w:val="-18"/>
        </w:rPr>
        <w:t> </w:t>
      </w:r>
      <w:r>
        <w:rPr/>
        <w:t>fever</w:t>
      </w:r>
      <w:r>
        <w:rPr>
          <w:spacing w:val="-17"/>
        </w:rPr>
        <w:t> </w:t>
      </w:r>
      <w:r>
        <w:rPr/>
        <w:t>up</w:t>
      </w:r>
      <w:r>
        <w:rPr>
          <w:spacing w:val="-18"/>
        </w:rPr>
        <w:t> </w:t>
      </w:r>
      <w:r>
        <w:rPr/>
        <w:t>to</w:t>
      </w:r>
      <w:r>
        <w:rPr>
          <w:spacing w:val="-17"/>
        </w:rPr>
        <w:t> </w:t>
      </w:r>
      <w:r>
        <w:rPr/>
        <w:t>40.5</w:t>
      </w:r>
      <w:r>
        <w:rPr>
          <w:spacing w:val="-20"/>
        </w:rPr>
        <w:t> </w:t>
      </w:r>
      <w:r>
        <w:rPr/>
        <w:t>°</w:t>
      </w:r>
      <w:r>
        <w:rPr>
          <w:spacing w:val="-16"/>
        </w:rPr>
        <w:t> </w:t>
      </w:r>
      <w:r>
        <w:rPr/>
        <w:t>C,</w:t>
      </w:r>
      <w:r>
        <w:rPr>
          <w:spacing w:val="-16"/>
        </w:rPr>
        <w:t> </w:t>
      </w:r>
      <w:r>
        <w:rPr/>
        <w:t>headache, muscle</w:t>
      </w:r>
      <w:r>
        <w:rPr>
          <w:spacing w:val="-6"/>
        </w:rPr>
        <w:t> </w:t>
      </w:r>
      <w:r>
        <w:rPr/>
        <w:t>pain</w:t>
      </w:r>
      <w:r>
        <w:rPr>
          <w:spacing w:val="-6"/>
        </w:rPr>
        <w:t> </w:t>
      </w:r>
      <w:r>
        <w:rPr/>
        <w:t>and</w:t>
      </w:r>
      <w:r>
        <w:rPr>
          <w:spacing w:val="-6"/>
        </w:rPr>
        <w:t> </w:t>
      </w:r>
      <w:r>
        <w:rPr/>
        <w:t>vomiting,</w:t>
      </w:r>
      <w:r>
        <w:rPr>
          <w:spacing w:val="-6"/>
        </w:rPr>
        <w:t> </w:t>
      </w:r>
      <w:r>
        <w:rPr/>
        <w:t>the</w:t>
      </w:r>
      <w:r>
        <w:rPr>
          <w:spacing w:val="-6"/>
        </w:rPr>
        <w:t> </w:t>
      </w:r>
      <w:r>
        <w:rPr/>
        <w:t>patient</w:t>
      </w:r>
      <w:r>
        <w:rPr>
          <w:spacing w:val="-9"/>
        </w:rPr>
        <w:t> </w:t>
      </w:r>
      <w:r>
        <w:rPr/>
        <w:t>usually</w:t>
      </w:r>
      <w:r>
        <w:rPr>
          <w:spacing w:val="-9"/>
        </w:rPr>
        <w:t> </w:t>
      </w:r>
      <w:r>
        <w:rPr/>
        <w:t>recovers</w:t>
      </w:r>
      <w:r>
        <w:rPr>
          <w:spacing w:val="-7"/>
        </w:rPr>
        <w:t> </w:t>
      </w:r>
      <w:r>
        <w:rPr/>
        <w:t>after</w:t>
      </w:r>
      <w:r>
        <w:rPr>
          <w:spacing w:val="-7"/>
        </w:rPr>
        <w:t> </w:t>
      </w:r>
      <w:r>
        <w:rPr/>
        <w:t>30</w:t>
      </w:r>
      <w:r>
        <w:rPr>
          <w:spacing w:val="-6"/>
        </w:rPr>
        <w:t> </w:t>
      </w:r>
      <w:r>
        <w:rPr/>
        <w:t>days.</w:t>
      </w:r>
      <w:r>
        <w:rPr>
          <w:spacing w:val="-9"/>
        </w:rPr>
        <w:t> </w:t>
      </w:r>
      <w:r>
        <w:rPr/>
        <w:t>Some</w:t>
      </w:r>
      <w:r>
        <w:rPr>
          <w:spacing w:val="-6"/>
        </w:rPr>
        <w:t> </w:t>
      </w:r>
      <w:r>
        <w:rPr/>
        <w:t>patients show</w:t>
      </w:r>
      <w:r>
        <w:rPr>
          <w:spacing w:val="-22"/>
        </w:rPr>
        <w:t> </w:t>
      </w:r>
      <w:r>
        <w:rPr/>
        <w:t>neurological</w:t>
      </w:r>
      <w:r>
        <w:rPr>
          <w:spacing w:val="-20"/>
        </w:rPr>
        <w:t> </w:t>
      </w:r>
      <w:r>
        <w:rPr/>
        <w:t>symptoms</w:t>
      </w:r>
      <w:r>
        <w:rPr>
          <w:spacing w:val="-20"/>
        </w:rPr>
        <w:t> </w:t>
      </w:r>
      <w:r>
        <w:rPr/>
        <w:t>such</w:t>
      </w:r>
      <w:r>
        <w:rPr>
          <w:spacing w:val="-19"/>
        </w:rPr>
        <w:t> </w:t>
      </w:r>
      <w:r>
        <w:rPr/>
        <w:t>as</w:t>
      </w:r>
      <w:r>
        <w:rPr>
          <w:spacing w:val="-20"/>
        </w:rPr>
        <w:t> </w:t>
      </w:r>
      <w:r>
        <w:rPr/>
        <w:t>stiff</w:t>
      </w:r>
      <w:r>
        <w:rPr>
          <w:spacing w:val="-19"/>
        </w:rPr>
        <w:t> </w:t>
      </w:r>
      <w:r>
        <w:rPr/>
        <w:t>neck,</w:t>
      </w:r>
      <w:r>
        <w:rPr>
          <w:spacing w:val="-19"/>
        </w:rPr>
        <w:t> </w:t>
      </w:r>
      <w:r>
        <w:rPr/>
        <w:t>seizures,</w:t>
      </w:r>
      <w:r>
        <w:rPr>
          <w:spacing w:val="-19"/>
        </w:rPr>
        <w:t> </w:t>
      </w:r>
      <w:r>
        <w:rPr/>
        <w:t>strabismus</w:t>
      </w:r>
      <w:r>
        <w:rPr>
          <w:spacing w:val="-21"/>
        </w:rPr>
        <w:t> </w:t>
      </w:r>
      <w:r>
        <w:rPr/>
        <w:t>and</w:t>
      </w:r>
      <w:r>
        <w:rPr>
          <w:spacing w:val="-19"/>
        </w:rPr>
        <w:t> </w:t>
      </w:r>
      <w:r>
        <w:rPr/>
        <w:t>sometimes </w:t>
      </w:r>
      <w:r>
        <w:rPr>
          <w:position w:val="-7"/>
        </w:rPr>
        <w:t>death. </w:t>
      </w:r>
      <w:r>
        <w:rPr>
          <w:sz w:val="16"/>
        </w:rPr>
        <w:t>(23, 24,</w:t>
      </w:r>
      <w:r>
        <w:rPr>
          <w:spacing w:val="-7"/>
          <w:sz w:val="16"/>
        </w:rPr>
        <w:t> </w:t>
      </w:r>
      <w:r>
        <w:rPr>
          <w:sz w:val="16"/>
        </w:rPr>
        <w:t>25)</w:t>
      </w:r>
    </w:p>
    <w:p>
      <w:pPr>
        <w:pStyle w:val="BodyText"/>
        <w:spacing w:line="360" w:lineRule="auto" w:before="159"/>
        <w:ind w:left="102" w:right="124"/>
        <w:jc w:val="both"/>
      </w:pPr>
      <w:r>
        <w:rPr/>
        <w:t>Equines after 24 hours of incubation show fever that can last up to 7 days , decreased</w:t>
      </w:r>
      <w:r>
        <w:rPr>
          <w:spacing w:val="-16"/>
        </w:rPr>
        <w:t> </w:t>
      </w:r>
      <w:r>
        <w:rPr/>
        <w:t>consumption</w:t>
      </w:r>
      <w:r>
        <w:rPr>
          <w:spacing w:val="-14"/>
        </w:rPr>
        <w:t> </w:t>
      </w:r>
      <w:r>
        <w:rPr/>
        <w:t>of</w:t>
      </w:r>
      <w:r>
        <w:rPr>
          <w:spacing w:val="-17"/>
        </w:rPr>
        <w:t> </w:t>
      </w:r>
      <w:r>
        <w:rPr/>
        <w:t>food</w:t>
      </w:r>
      <w:r>
        <w:rPr>
          <w:spacing w:val="-16"/>
        </w:rPr>
        <w:t> </w:t>
      </w:r>
      <w:r>
        <w:rPr/>
        <w:t>and</w:t>
      </w:r>
      <w:r>
        <w:rPr>
          <w:spacing w:val="-16"/>
        </w:rPr>
        <w:t> </w:t>
      </w:r>
      <w:r>
        <w:rPr/>
        <w:t>water,</w:t>
      </w:r>
      <w:r>
        <w:rPr>
          <w:spacing w:val="-15"/>
        </w:rPr>
        <w:t> </w:t>
      </w:r>
      <w:r>
        <w:rPr/>
        <w:t>depression</w:t>
      </w:r>
      <w:r>
        <w:rPr>
          <w:spacing w:val="-16"/>
        </w:rPr>
        <w:t> </w:t>
      </w:r>
      <w:r>
        <w:rPr/>
        <w:t>of</w:t>
      </w:r>
      <w:r>
        <w:rPr>
          <w:spacing w:val="-14"/>
        </w:rPr>
        <w:t> </w:t>
      </w:r>
      <w:r>
        <w:rPr/>
        <w:t>the</w:t>
      </w:r>
      <w:r>
        <w:rPr>
          <w:spacing w:val="-14"/>
        </w:rPr>
        <w:t> </w:t>
      </w:r>
      <w:r>
        <w:rPr/>
        <w:t>central</w:t>
      </w:r>
      <w:r>
        <w:rPr>
          <w:spacing w:val="-20"/>
        </w:rPr>
        <w:t> </w:t>
      </w:r>
      <w:r>
        <w:rPr/>
        <w:t>nervous</w:t>
      </w:r>
      <w:r>
        <w:rPr>
          <w:spacing w:val="-15"/>
        </w:rPr>
        <w:t> </w:t>
      </w:r>
      <w:r>
        <w:rPr/>
        <w:t>system</w:t>
      </w:r>
    </w:p>
    <w:p>
      <w:pPr>
        <w:pStyle w:val="BodyText"/>
        <w:spacing w:line="360" w:lineRule="auto"/>
        <w:ind w:left="102" w:right="114"/>
        <w:jc w:val="both"/>
        <w:rPr>
          <w:sz w:val="16"/>
        </w:rPr>
      </w:pPr>
      <w:r>
        <w:rPr/>
        <w:t>, leucopenia , decreased hematocrit value with high viremia , with titers of 10 </w:t>
      </w:r>
      <w:r>
        <w:rPr>
          <w:position w:val="8"/>
          <w:sz w:val="16"/>
        </w:rPr>
        <w:t>5 </w:t>
      </w:r>
      <w:r>
        <w:rPr/>
        <w:t>or more</w:t>
      </w:r>
      <w:r>
        <w:rPr>
          <w:spacing w:val="-11"/>
        </w:rPr>
        <w:t> </w:t>
      </w:r>
      <w:r>
        <w:rPr/>
        <w:t>,</w:t>
      </w:r>
      <w:r>
        <w:rPr>
          <w:spacing w:val="-11"/>
        </w:rPr>
        <w:t> </w:t>
      </w:r>
      <w:r>
        <w:rPr/>
        <w:t>depression</w:t>
      </w:r>
      <w:r>
        <w:rPr>
          <w:spacing w:val="-10"/>
        </w:rPr>
        <w:t> </w:t>
      </w:r>
      <w:r>
        <w:rPr/>
        <w:t>or</w:t>
      </w:r>
      <w:r>
        <w:rPr>
          <w:spacing w:val="-12"/>
        </w:rPr>
        <w:t> </w:t>
      </w:r>
      <w:r>
        <w:rPr/>
        <w:t>excitability</w:t>
      </w:r>
      <w:r>
        <w:rPr>
          <w:spacing w:val="-12"/>
        </w:rPr>
        <w:t> </w:t>
      </w:r>
      <w:r>
        <w:rPr/>
        <w:t>,</w:t>
      </w:r>
      <w:r>
        <w:rPr>
          <w:spacing w:val="-9"/>
        </w:rPr>
        <w:t> </w:t>
      </w:r>
      <w:r>
        <w:rPr/>
        <w:t>walking</w:t>
      </w:r>
      <w:r>
        <w:rPr>
          <w:spacing w:val="-11"/>
        </w:rPr>
        <w:t> </w:t>
      </w:r>
      <w:r>
        <w:rPr/>
        <w:t>in</w:t>
      </w:r>
      <w:r>
        <w:rPr>
          <w:spacing w:val="-9"/>
        </w:rPr>
        <w:t> </w:t>
      </w:r>
      <w:r>
        <w:rPr/>
        <w:t>circles</w:t>
      </w:r>
      <w:r>
        <w:rPr>
          <w:spacing w:val="-9"/>
        </w:rPr>
        <w:t> </w:t>
      </w:r>
      <w:r>
        <w:rPr/>
        <w:t>,</w:t>
      </w:r>
      <w:r>
        <w:rPr>
          <w:spacing w:val="-9"/>
        </w:rPr>
        <w:t> </w:t>
      </w:r>
      <w:r>
        <w:rPr/>
        <w:t>loss</w:t>
      </w:r>
      <w:r>
        <w:rPr>
          <w:spacing w:val="-11"/>
        </w:rPr>
        <w:t> </w:t>
      </w:r>
      <w:r>
        <w:rPr/>
        <w:t>of</w:t>
      </w:r>
      <w:r>
        <w:rPr>
          <w:spacing w:val="-9"/>
        </w:rPr>
        <w:t> </w:t>
      </w:r>
      <w:r>
        <w:rPr/>
        <w:t>balance</w:t>
      </w:r>
      <w:r>
        <w:rPr>
          <w:spacing w:val="-11"/>
        </w:rPr>
        <w:t> </w:t>
      </w:r>
      <w:r>
        <w:rPr/>
        <w:t>,</w:t>
      </w:r>
      <w:r>
        <w:rPr>
          <w:spacing w:val="-13"/>
        </w:rPr>
        <w:t> </w:t>
      </w:r>
      <w:r>
        <w:rPr/>
        <w:t>flaccidity</w:t>
      </w:r>
      <w:r>
        <w:rPr>
          <w:spacing w:val="-12"/>
        </w:rPr>
        <w:t> </w:t>
      </w:r>
      <w:r>
        <w:rPr/>
        <w:t>of</w:t>
      </w:r>
      <w:r>
        <w:rPr>
          <w:spacing w:val="-9"/>
        </w:rPr>
        <w:t> </w:t>
      </w:r>
      <w:r>
        <w:rPr/>
        <w:t>the lips , eyes half closed, ears drooping and death ; morbidity is high with epizootic strains up to 100% and mortality of 20% or more . </w:t>
      </w:r>
      <w:r>
        <w:rPr>
          <w:position w:val="8"/>
          <w:sz w:val="16"/>
        </w:rPr>
        <w:t>(26 , 27, 28</w:t>
      </w:r>
      <w:r>
        <w:rPr>
          <w:spacing w:val="-15"/>
          <w:position w:val="8"/>
          <w:sz w:val="16"/>
        </w:rPr>
        <w:t> </w:t>
      </w:r>
      <w:r>
        <w:rPr>
          <w:position w:val="8"/>
          <w:sz w:val="16"/>
        </w:rPr>
        <w:t>)</w:t>
      </w:r>
    </w:p>
    <w:p>
      <w:pPr>
        <w:spacing w:after="0" w:line="360" w:lineRule="auto"/>
        <w:jc w:val="both"/>
        <w:rPr>
          <w:sz w:val="16"/>
        </w:rPr>
        <w:sectPr>
          <w:pgSz w:w="12240" w:h="15840"/>
          <w:pgMar w:top="1360" w:bottom="280" w:left="1600" w:right="1580"/>
        </w:sectPr>
      </w:pPr>
    </w:p>
    <w:p>
      <w:pPr>
        <w:pStyle w:val="Heading4"/>
        <w:ind w:left="3313" w:right="3313"/>
        <w:jc w:val="center"/>
      </w:pPr>
      <w:r>
        <w:rPr/>
        <w:t>AGRADECIMIENTOS</w:t>
      </w:r>
    </w:p>
    <w:p>
      <w:pPr>
        <w:pStyle w:val="BodyText"/>
        <w:rPr>
          <w:b/>
        </w:rPr>
      </w:pPr>
    </w:p>
    <w:p>
      <w:pPr>
        <w:pStyle w:val="BodyText"/>
        <w:rPr>
          <w:b/>
        </w:rPr>
      </w:pPr>
    </w:p>
    <w:p>
      <w:pPr>
        <w:pStyle w:val="BodyText"/>
        <w:rPr>
          <w:b/>
        </w:rPr>
      </w:pPr>
    </w:p>
    <w:p>
      <w:pPr>
        <w:pStyle w:val="BodyText"/>
        <w:rPr>
          <w:b/>
        </w:rPr>
      </w:pPr>
    </w:p>
    <w:p>
      <w:pPr>
        <w:pStyle w:val="BodyText"/>
        <w:spacing w:before="10"/>
        <w:rPr>
          <w:b/>
          <w:sz w:val="29"/>
        </w:rPr>
      </w:pPr>
    </w:p>
    <w:p>
      <w:pPr>
        <w:spacing w:line="360" w:lineRule="auto" w:before="0"/>
        <w:ind w:left="102" w:right="155" w:firstLine="0"/>
        <w:jc w:val="left"/>
        <w:rPr>
          <w:b/>
          <w:i/>
          <w:sz w:val="24"/>
        </w:rPr>
      </w:pPr>
      <w:r>
        <w:rPr>
          <w:b/>
          <w:i/>
          <w:sz w:val="24"/>
        </w:rPr>
        <w:t>Agradezco a mis tutores y maestros por su apoyo y enseñanza a largo de mi </w:t>
      </w:r>
      <w:r>
        <w:rPr>
          <w:b/>
          <w:i/>
          <w:sz w:val="24"/>
        </w:rPr>
        <w:t>desarrollo profesional.</w:t>
      </w:r>
    </w:p>
    <w:p>
      <w:pPr>
        <w:spacing w:line="360" w:lineRule="auto" w:before="166"/>
        <w:ind w:left="102" w:right="155" w:firstLine="0"/>
        <w:jc w:val="left"/>
        <w:rPr>
          <w:b/>
          <w:i/>
          <w:sz w:val="24"/>
        </w:rPr>
      </w:pPr>
      <w:r>
        <w:rPr>
          <w:b/>
          <w:i/>
          <w:sz w:val="24"/>
        </w:rPr>
        <w:t>A mis familiares, amigos y seres queridos que estuvieron conmigo a lo largo </w:t>
      </w:r>
      <w:r>
        <w:rPr>
          <w:b/>
          <w:i/>
          <w:sz w:val="24"/>
        </w:rPr>
        <w:t>de este proyecto, gracias por creer en mi cuando las cosas se ponían difíciles y alentarme a seguir adelante.</w:t>
      </w:r>
    </w:p>
    <w:p>
      <w:pPr>
        <w:spacing w:after="0" w:line="360" w:lineRule="auto"/>
        <w:jc w:val="left"/>
        <w:rPr>
          <w:sz w:val="24"/>
        </w:rPr>
        <w:sectPr>
          <w:pgSz w:w="12240" w:h="15840"/>
          <w:pgMar w:top="1360" w:bottom="280" w:left="1600" w:right="1600"/>
        </w:sectPr>
      </w:pPr>
    </w:p>
    <w:p>
      <w:pPr>
        <w:spacing w:before="54"/>
        <w:ind w:left="2706" w:right="155" w:firstLine="0"/>
        <w:jc w:val="left"/>
        <w:rPr>
          <w:b/>
          <w:sz w:val="24"/>
        </w:rPr>
      </w:pPr>
      <w:r>
        <w:rPr>
          <w:b/>
          <w:sz w:val="24"/>
        </w:rPr>
        <w:t>ÍNDICE DE FIGURAS Y TABLAS</w:t>
      </w:r>
    </w:p>
    <w:p>
      <w:pPr>
        <w:pStyle w:val="BodyText"/>
        <w:rPr>
          <w:b/>
        </w:rPr>
      </w:pPr>
    </w:p>
    <w:p>
      <w:pPr>
        <w:pStyle w:val="BodyText"/>
        <w:rPr>
          <w:b/>
        </w:rPr>
      </w:pPr>
    </w:p>
    <w:p>
      <w:pPr>
        <w:spacing w:before="0"/>
        <w:ind w:left="102" w:right="155" w:firstLine="0"/>
        <w:jc w:val="left"/>
        <w:rPr>
          <w:b/>
          <w:sz w:val="24"/>
        </w:rPr>
      </w:pPr>
      <w:r>
        <w:rPr>
          <w:b/>
          <w:sz w:val="24"/>
        </w:rPr>
        <w:t>FIGURAS</w:t>
      </w:r>
    </w:p>
    <w:p>
      <w:pPr>
        <w:tabs>
          <w:tab w:pos="8744" w:val="left" w:leader="dot"/>
        </w:tabs>
        <w:spacing w:before="139"/>
        <w:ind w:left="102" w:right="0" w:firstLine="0"/>
        <w:jc w:val="left"/>
        <w:rPr>
          <w:sz w:val="24"/>
        </w:rPr>
      </w:pPr>
      <w:r>
        <w:rPr>
          <w:b/>
          <w:sz w:val="24"/>
        </w:rPr>
        <w:t>Figura 1. </w:t>
      </w:r>
      <w:r>
        <w:rPr>
          <w:sz w:val="24"/>
        </w:rPr>
        <w:t>Estructura del</w:t>
      </w:r>
      <w:r>
        <w:rPr>
          <w:spacing w:val="-7"/>
          <w:sz w:val="24"/>
        </w:rPr>
        <w:t> </w:t>
      </w:r>
      <w:r>
        <w:rPr>
          <w:sz w:val="24"/>
        </w:rPr>
        <w:t>genoma</w:t>
      </w:r>
      <w:r>
        <w:rPr>
          <w:spacing w:val="-2"/>
          <w:sz w:val="24"/>
        </w:rPr>
        <w:t> </w:t>
      </w:r>
      <w:r>
        <w:rPr>
          <w:sz w:val="24"/>
        </w:rPr>
        <w:t>viral…</w:t>
      </w:r>
      <w:r>
        <w:rPr>
          <w:rFonts w:ascii="Times New Roman" w:hAnsi="Times New Roman"/>
          <w:sz w:val="24"/>
        </w:rPr>
        <w:tab/>
      </w:r>
      <w:r>
        <w:rPr>
          <w:sz w:val="24"/>
        </w:rPr>
        <w:t>3</w:t>
      </w:r>
    </w:p>
    <w:p>
      <w:pPr>
        <w:pStyle w:val="BodyText"/>
        <w:tabs>
          <w:tab w:pos="8777" w:val="left" w:leader="dot"/>
        </w:tabs>
        <w:spacing w:before="134"/>
        <w:ind w:left="102"/>
      </w:pPr>
      <w:r>
        <w:rPr>
          <w:b/>
        </w:rPr>
        <w:t>Figura 2. </w:t>
      </w:r>
      <w:r>
        <w:rPr>
          <w:spacing w:val="-3"/>
        </w:rPr>
        <w:t>Organización </w:t>
      </w:r>
      <w:r>
        <w:rPr/>
        <w:t>del genoma de</w:t>
      </w:r>
      <w:r>
        <w:rPr>
          <w:spacing w:val="-24"/>
        </w:rPr>
        <w:t> </w:t>
      </w:r>
      <w:r>
        <w:rPr/>
        <w:t>los</w:t>
      </w:r>
      <w:r>
        <w:rPr>
          <w:spacing w:val="-7"/>
        </w:rPr>
        <w:t> </w:t>
      </w:r>
      <w:r>
        <w:rPr>
          <w:spacing w:val="-3"/>
        </w:rPr>
        <w:t>alfavirus</w:t>
        <w:tab/>
      </w:r>
      <w:r>
        <w:rPr/>
        <w:t>4</w:t>
      </w:r>
    </w:p>
    <w:p>
      <w:pPr>
        <w:pStyle w:val="BodyText"/>
        <w:tabs>
          <w:tab w:pos="8756" w:val="left" w:leader="dot"/>
        </w:tabs>
        <w:spacing w:before="141"/>
        <w:ind w:left="102"/>
      </w:pPr>
      <w:r>
        <w:rPr>
          <w:b/>
        </w:rPr>
        <w:t>Figura 3. </w:t>
      </w:r>
      <w:r>
        <w:rPr/>
        <w:t>Estructura del Virus de la Encefalitis</w:t>
      </w:r>
      <w:r>
        <w:rPr>
          <w:spacing w:val="-15"/>
        </w:rPr>
        <w:t> </w:t>
      </w:r>
      <w:r>
        <w:rPr/>
        <w:t>Equina</w:t>
      </w:r>
      <w:r>
        <w:rPr>
          <w:spacing w:val="-1"/>
        </w:rPr>
        <w:t> </w:t>
      </w:r>
      <w:r>
        <w:rPr/>
        <w:t>Venezolana</w:t>
      </w:r>
      <w:r>
        <w:rPr>
          <w:rFonts w:ascii="Times New Roman"/>
        </w:rPr>
        <w:tab/>
      </w:r>
      <w:r>
        <w:rPr/>
        <w:t>5</w:t>
      </w:r>
    </w:p>
    <w:p>
      <w:pPr>
        <w:tabs>
          <w:tab w:pos="8793" w:val="left" w:leader="dot"/>
        </w:tabs>
        <w:spacing w:before="137"/>
        <w:ind w:left="102" w:right="0" w:firstLine="0"/>
        <w:jc w:val="left"/>
        <w:rPr>
          <w:sz w:val="24"/>
        </w:rPr>
      </w:pPr>
      <w:r>
        <w:rPr>
          <w:b/>
          <w:sz w:val="24"/>
        </w:rPr>
        <w:t>Figura 4. </w:t>
      </w:r>
      <w:r>
        <w:rPr>
          <w:sz w:val="24"/>
        </w:rPr>
        <w:t>Replicación de</w:t>
      </w:r>
      <w:r>
        <w:rPr>
          <w:spacing w:val="-7"/>
          <w:sz w:val="24"/>
        </w:rPr>
        <w:t> </w:t>
      </w:r>
      <w:r>
        <w:rPr>
          <w:sz w:val="24"/>
        </w:rPr>
        <w:t>los</w:t>
      </w:r>
      <w:r>
        <w:rPr>
          <w:spacing w:val="-2"/>
          <w:sz w:val="24"/>
        </w:rPr>
        <w:t> </w:t>
      </w:r>
      <w:r>
        <w:rPr>
          <w:sz w:val="24"/>
        </w:rPr>
        <w:t>alfavirus…</w:t>
      </w:r>
      <w:r>
        <w:rPr>
          <w:rFonts w:ascii="Times New Roman" w:hAnsi="Times New Roman"/>
          <w:sz w:val="24"/>
        </w:rPr>
        <w:tab/>
      </w:r>
      <w:r>
        <w:rPr>
          <w:sz w:val="24"/>
        </w:rPr>
        <w:t>7</w:t>
      </w:r>
    </w:p>
    <w:p>
      <w:pPr>
        <w:tabs>
          <w:tab w:pos="8622" w:val="left" w:leader="dot"/>
        </w:tabs>
        <w:spacing w:before="139"/>
        <w:ind w:left="102" w:right="0" w:firstLine="0"/>
        <w:jc w:val="left"/>
        <w:rPr>
          <w:sz w:val="24"/>
        </w:rPr>
      </w:pPr>
      <w:r>
        <w:rPr>
          <w:b/>
          <w:sz w:val="24"/>
        </w:rPr>
        <w:t>Figura 5. </w:t>
      </w:r>
      <w:r>
        <w:rPr>
          <w:sz w:val="24"/>
        </w:rPr>
        <w:t>Mapa de distribución de</w:t>
      </w:r>
      <w:r>
        <w:rPr>
          <w:spacing w:val="-9"/>
          <w:sz w:val="24"/>
        </w:rPr>
        <w:t> </w:t>
      </w:r>
      <w:r>
        <w:rPr>
          <w:sz w:val="24"/>
        </w:rPr>
        <w:t>la</w:t>
      </w:r>
      <w:r>
        <w:rPr>
          <w:spacing w:val="-4"/>
          <w:sz w:val="24"/>
        </w:rPr>
        <w:t> </w:t>
      </w:r>
      <w:r>
        <w:rPr>
          <w:sz w:val="24"/>
        </w:rPr>
        <w:t>EEV</w:t>
      </w:r>
      <w:r>
        <w:rPr>
          <w:rFonts w:ascii="Times New Roman" w:hAnsi="Times New Roman"/>
          <w:sz w:val="24"/>
        </w:rPr>
        <w:tab/>
      </w:r>
      <w:r>
        <w:rPr>
          <w:sz w:val="24"/>
        </w:rPr>
        <w:t>10</w:t>
      </w:r>
    </w:p>
    <w:p>
      <w:pPr>
        <w:tabs>
          <w:tab w:pos="8654" w:val="left" w:leader="dot"/>
        </w:tabs>
        <w:spacing w:before="137"/>
        <w:ind w:left="102" w:right="0" w:firstLine="0"/>
        <w:jc w:val="left"/>
        <w:rPr>
          <w:sz w:val="24"/>
        </w:rPr>
      </w:pPr>
      <w:r>
        <w:rPr>
          <w:b/>
          <w:sz w:val="24"/>
        </w:rPr>
        <w:t>Figura 6. </w:t>
      </w:r>
      <w:r>
        <w:rPr>
          <w:sz w:val="24"/>
        </w:rPr>
        <w:t>Mapa de epizootias</w:t>
      </w:r>
      <w:r>
        <w:rPr>
          <w:spacing w:val="-9"/>
          <w:sz w:val="24"/>
        </w:rPr>
        <w:t> </w:t>
      </w:r>
      <w:r>
        <w:rPr>
          <w:sz w:val="24"/>
        </w:rPr>
        <w:t>de</w:t>
      </w:r>
      <w:r>
        <w:rPr>
          <w:spacing w:val="-4"/>
          <w:sz w:val="24"/>
        </w:rPr>
        <w:t> </w:t>
      </w:r>
      <w:r>
        <w:rPr>
          <w:sz w:val="24"/>
        </w:rPr>
        <w:t>EEV</w:t>
        <w:tab/>
        <w:t>14</w:t>
      </w:r>
    </w:p>
    <w:p>
      <w:pPr>
        <w:tabs>
          <w:tab w:pos="8627" w:val="left" w:leader="dot"/>
        </w:tabs>
        <w:spacing w:before="140"/>
        <w:ind w:left="102" w:right="0" w:firstLine="0"/>
        <w:jc w:val="left"/>
        <w:rPr>
          <w:sz w:val="24"/>
        </w:rPr>
      </w:pPr>
      <w:r>
        <w:rPr>
          <w:b/>
          <w:sz w:val="24"/>
        </w:rPr>
        <w:t>Figura 7. </w:t>
      </w:r>
      <w:r>
        <w:rPr>
          <w:sz w:val="24"/>
        </w:rPr>
        <w:t>Genotipos de subtipo IE</w:t>
      </w:r>
      <w:r>
        <w:rPr>
          <w:spacing w:val="-7"/>
          <w:sz w:val="24"/>
        </w:rPr>
        <w:t> </w:t>
      </w:r>
      <w:r>
        <w:rPr>
          <w:sz w:val="24"/>
        </w:rPr>
        <w:t>del</w:t>
      </w:r>
      <w:r>
        <w:rPr>
          <w:spacing w:val="-1"/>
          <w:sz w:val="24"/>
        </w:rPr>
        <w:t> </w:t>
      </w:r>
      <w:r>
        <w:rPr>
          <w:sz w:val="24"/>
        </w:rPr>
        <w:t>VEEV</w:t>
      </w:r>
      <w:r>
        <w:rPr>
          <w:rFonts w:ascii="Times New Roman"/>
          <w:sz w:val="24"/>
        </w:rPr>
        <w:tab/>
      </w:r>
      <w:r>
        <w:rPr>
          <w:sz w:val="24"/>
        </w:rPr>
        <w:t>18</w:t>
      </w:r>
    </w:p>
    <w:p>
      <w:pPr>
        <w:pStyle w:val="BodyText"/>
        <w:tabs>
          <w:tab w:pos="8627" w:val="left" w:leader="dot"/>
        </w:tabs>
        <w:spacing w:before="137"/>
        <w:ind w:left="102"/>
      </w:pPr>
      <w:r>
        <w:rPr>
          <w:b/>
        </w:rPr>
        <w:t>Figura 8. </w:t>
      </w:r>
      <w:r>
        <w:rPr/>
        <w:t>Mapa de distribución del VEEV</w:t>
      </w:r>
      <w:r>
        <w:rPr>
          <w:spacing w:val="-13"/>
        </w:rPr>
        <w:t> </w:t>
      </w:r>
      <w:r>
        <w:rPr/>
        <w:t>subtipo</w:t>
      </w:r>
      <w:r>
        <w:rPr>
          <w:spacing w:val="-1"/>
        </w:rPr>
        <w:t> </w:t>
      </w:r>
      <w:r>
        <w:rPr/>
        <w:t>IE</w:t>
      </w:r>
      <w:r>
        <w:rPr>
          <w:rFonts w:ascii="Times New Roman" w:hAnsi="Times New Roman"/>
        </w:rPr>
        <w:tab/>
      </w:r>
      <w:r>
        <w:rPr/>
        <w:t>20</w:t>
      </w:r>
    </w:p>
    <w:p>
      <w:pPr>
        <w:tabs>
          <w:tab w:pos="8610" w:val="left" w:leader="dot"/>
        </w:tabs>
        <w:spacing w:before="139"/>
        <w:ind w:left="102" w:right="0" w:firstLine="0"/>
        <w:jc w:val="left"/>
        <w:rPr>
          <w:sz w:val="24"/>
        </w:rPr>
      </w:pPr>
      <w:r>
        <w:rPr>
          <w:b/>
          <w:sz w:val="24"/>
        </w:rPr>
        <w:t>Figura 9. </w:t>
      </w:r>
      <w:r>
        <w:rPr>
          <w:sz w:val="24"/>
        </w:rPr>
        <w:t>Ciclo epizoótico de</w:t>
      </w:r>
      <w:r>
        <w:rPr>
          <w:spacing w:val="-8"/>
          <w:sz w:val="24"/>
        </w:rPr>
        <w:t> </w:t>
      </w:r>
      <w:r>
        <w:rPr>
          <w:sz w:val="24"/>
        </w:rPr>
        <w:t>la</w:t>
      </w:r>
      <w:r>
        <w:rPr>
          <w:spacing w:val="-2"/>
          <w:sz w:val="24"/>
        </w:rPr>
        <w:t> </w:t>
      </w:r>
      <w:r>
        <w:rPr>
          <w:sz w:val="24"/>
        </w:rPr>
        <w:t>EEV</w:t>
      </w:r>
      <w:r>
        <w:rPr>
          <w:rFonts w:ascii="Times New Roman" w:hAnsi="Times New Roman"/>
          <w:sz w:val="24"/>
        </w:rPr>
        <w:tab/>
      </w:r>
      <w:r>
        <w:rPr>
          <w:sz w:val="24"/>
        </w:rPr>
        <w:t>26</w:t>
      </w:r>
    </w:p>
    <w:p>
      <w:pPr>
        <w:tabs>
          <w:tab w:pos="8585" w:val="left" w:leader="dot"/>
        </w:tabs>
        <w:spacing w:before="137"/>
        <w:ind w:left="102" w:right="0" w:firstLine="0"/>
        <w:jc w:val="left"/>
        <w:rPr>
          <w:sz w:val="24"/>
        </w:rPr>
      </w:pPr>
      <w:r>
        <w:rPr>
          <w:b/>
          <w:sz w:val="24"/>
        </w:rPr>
        <w:t>Figura 10. </w:t>
      </w:r>
      <w:r>
        <w:rPr>
          <w:sz w:val="24"/>
        </w:rPr>
        <w:t>Ciclo enzoótico de</w:t>
      </w:r>
      <w:r>
        <w:rPr>
          <w:spacing w:val="-7"/>
          <w:sz w:val="24"/>
        </w:rPr>
        <w:t> </w:t>
      </w:r>
      <w:r>
        <w:rPr>
          <w:sz w:val="24"/>
        </w:rPr>
        <w:t>la</w:t>
      </w:r>
      <w:r>
        <w:rPr>
          <w:spacing w:val="-2"/>
          <w:sz w:val="24"/>
        </w:rPr>
        <w:t> </w:t>
      </w:r>
      <w:r>
        <w:rPr>
          <w:sz w:val="24"/>
        </w:rPr>
        <w:t>EEV</w:t>
      </w:r>
      <w:r>
        <w:rPr>
          <w:rFonts w:ascii="Times New Roman" w:hAnsi="Times New Roman"/>
          <w:sz w:val="24"/>
        </w:rPr>
        <w:tab/>
      </w:r>
      <w:r>
        <w:rPr>
          <w:sz w:val="24"/>
        </w:rPr>
        <w:t>29</w:t>
      </w:r>
    </w:p>
    <w:p>
      <w:pPr>
        <w:tabs>
          <w:tab w:pos="8611" w:val="left" w:leader="dot"/>
        </w:tabs>
        <w:spacing w:before="139"/>
        <w:ind w:left="102" w:right="0" w:firstLine="0"/>
        <w:jc w:val="left"/>
        <w:rPr>
          <w:sz w:val="24"/>
        </w:rPr>
      </w:pPr>
      <w:r>
        <w:rPr>
          <w:b/>
          <w:sz w:val="24"/>
        </w:rPr>
        <w:t>Figura 11.</w:t>
      </w:r>
      <w:r>
        <w:rPr>
          <w:b/>
          <w:spacing w:val="-4"/>
          <w:sz w:val="24"/>
        </w:rPr>
        <w:t> </w:t>
      </w:r>
      <w:r>
        <w:rPr>
          <w:sz w:val="24"/>
        </w:rPr>
        <w:t>Patogénesis</w:t>
      </w:r>
      <w:r>
        <w:rPr>
          <w:spacing w:val="-3"/>
          <w:sz w:val="24"/>
        </w:rPr>
        <w:t> </w:t>
      </w:r>
      <w:r>
        <w:rPr>
          <w:sz w:val="24"/>
        </w:rPr>
        <w:t>viral</w:t>
      </w:r>
      <w:r>
        <w:rPr>
          <w:rFonts w:ascii="Times New Roman" w:hAnsi="Times New Roman"/>
          <w:sz w:val="24"/>
        </w:rPr>
        <w:tab/>
      </w:r>
      <w:r>
        <w:rPr>
          <w:sz w:val="24"/>
        </w:rPr>
        <w:t>36</w:t>
      </w:r>
    </w:p>
    <w:p>
      <w:pPr>
        <w:tabs>
          <w:tab w:pos="8600" w:val="left" w:leader="dot"/>
        </w:tabs>
        <w:spacing w:before="137"/>
        <w:ind w:left="102" w:right="0" w:firstLine="0"/>
        <w:jc w:val="left"/>
        <w:rPr>
          <w:sz w:val="24"/>
        </w:rPr>
      </w:pPr>
      <w:r>
        <w:rPr>
          <w:b/>
          <w:sz w:val="24"/>
        </w:rPr>
        <w:t>Figura 12. </w:t>
      </w:r>
      <w:r>
        <w:rPr>
          <w:sz w:val="24"/>
        </w:rPr>
        <w:t>Mapa del área</w:t>
      </w:r>
      <w:r>
        <w:rPr>
          <w:spacing w:val="-2"/>
          <w:sz w:val="24"/>
        </w:rPr>
        <w:t> </w:t>
      </w:r>
      <w:r>
        <w:rPr>
          <w:sz w:val="24"/>
        </w:rPr>
        <w:t>de</w:t>
      </w:r>
      <w:r>
        <w:rPr>
          <w:spacing w:val="-4"/>
          <w:sz w:val="24"/>
        </w:rPr>
        <w:t> </w:t>
      </w:r>
      <w:r>
        <w:rPr>
          <w:sz w:val="24"/>
        </w:rPr>
        <w:t>estudio</w:t>
      </w:r>
      <w:r>
        <w:rPr>
          <w:rFonts w:ascii="Times New Roman" w:hAnsi="Times New Roman"/>
          <w:sz w:val="24"/>
        </w:rPr>
        <w:tab/>
      </w:r>
      <w:r>
        <w:rPr>
          <w:sz w:val="24"/>
        </w:rPr>
        <w:t>50</w:t>
      </w:r>
    </w:p>
    <w:p>
      <w:pPr>
        <w:pStyle w:val="BodyText"/>
        <w:tabs>
          <w:tab w:pos="8624" w:val="left" w:leader="dot"/>
        </w:tabs>
        <w:spacing w:before="139"/>
        <w:ind w:left="102"/>
      </w:pPr>
      <w:r>
        <w:rPr>
          <w:b/>
        </w:rPr>
        <w:t>Figura 13. </w:t>
      </w:r>
      <w:r>
        <w:rPr/>
        <w:t>Cepas aisladas en el estado de Veracruz</w:t>
      </w:r>
      <w:r>
        <w:rPr>
          <w:spacing w:val="-14"/>
        </w:rPr>
        <w:t> </w:t>
      </w:r>
      <w:r>
        <w:rPr/>
        <w:t>en</w:t>
      </w:r>
      <w:r>
        <w:rPr>
          <w:spacing w:val="-1"/>
        </w:rPr>
        <w:t> </w:t>
      </w:r>
      <w:r>
        <w:rPr/>
        <w:t>2008</w:t>
      </w:r>
      <w:r>
        <w:rPr>
          <w:rFonts w:ascii="Times New Roman"/>
        </w:rPr>
        <w:tab/>
      </w:r>
      <w:r>
        <w:rPr/>
        <w:t>52</w:t>
      </w:r>
    </w:p>
    <w:p>
      <w:pPr>
        <w:tabs>
          <w:tab w:pos="8636" w:val="left" w:leader="dot"/>
        </w:tabs>
        <w:spacing w:before="137"/>
        <w:ind w:left="102" w:right="0" w:firstLine="0"/>
        <w:jc w:val="left"/>
        <w:rPr>
          <w:sz w:val="24"/>
        </w:rPr>
      </w:pPr>
      <w:r>
        <w:rPr>
          <w:b/>
          <w:sz w:val="24"/>
        </w:rPr>
        <w:t>Figura 14.</w:t>
      </w:r>
      <w:r>
        <w:rPr>
          <w:b/>
          <w:spacing w:val="-2"/>
          <w:sz w:val="24"/>
        </w:rPr>
        <w:t> </w:t>
      </w:r>
      <w:r>
        <w:rPr>
          <w:sz w:val="24"/>
        </w:rPr>
        <w:t>Lesiones</w:t>
      </w:r>
      <w:r>
        <w:rPr>
          <w:spacing w:val="-5"/>
          <w:sz w:val="24"/>
        </w:rPr>
        <w:t> </w:t>
      </w:r>
      <w:r>
        <w:rPr>
          <w:sz w:val="24"/>
        </w:rPr>
        <w:t>histopatológicas…</w:t>
      </w:r>
      <w:r>
        <w:rPr>
          <w:rFonts w:ascii="Times New Roman" w:hAnsi="Times New Roman"/>
          <w:sz w:val="24"/>
        </w:rPr>
        <w:tab/>
      </w:r>
      <w:r>
        <w:rPr>
          <w:sz w:val="24"/>
        </w:rPr>
        <w:t>59</w:t>
      </w:r>
    </w:p>
    <w:p>
      <w:pPr>
        <w:tabs>
          <w:tab w:pos="8612" w:val="left" w:leader="none"/>
        </w:tabs>
        <w:spacing w:before="139"/>
        <w:ind w:left="102" w:right="0" w:firstLine="0"/>
        <w:jc w:val="left"/>
        <w:rPr>
          <w:sz w:val="24"/>
        </w:rPr>
      </w:pPr>
      <w:r>
        <w:rPr>
          <w:b/>
          <w:sz w:val="24"/>
        </w:rPr>
        <w:t>Figura 15.</w:t>
      </w:r>
      <w:r>
        <w:rPr>
          <w:b/>
          <w:spacing w:val="64"/>
          <w:sz w:val="24"/>
        </w:rPr>
        <w:t> </w:t>
      </w:r>
      <w:r>
        <w:rPr>
          <w:sz w:val="24"/>
        </w:rPr>
        <w:t>Gráficos</w:t>
      </w:r>
      <w:r>
        <w:rPr>
          <w:spacing w:val="-2"/>
          <w:sz w:val="24"/>
        </w:rPr>
        <w:t> </w:t>
      </w:r>
      <w:r>
        <w:rPr>
          <w:sz w:val="24"/>
        </w:rPr>
        <w:t>hematología…………………………………………………</w:t>
      </w:r>
      <w:r>
        <w:rPr>
          <w:rFonts w:ascii="Times New Roman" w:hAnsi="Times New Roman"/>
          <w:sz w:val="24"/>
        </w:rPr>
        <w:tab/>
      </w:r>
      <w:r>
        <w:rPr>
          <w:sz w:val="24"/>
        </w:rPr>
        <w:t>64</w:t>
      </w:r>
    </w:p>
    <w:p>
      <w:pPr>
        <w:tabs>
          <w:tab w:pos="8586" w:val="left" w:leader="dot"/>
        </w:tabs>
        <w:spacing w:before="137"/>
        <w:ind w:left="102" w:right="0" w:firstLine="0"/>
        <w:jc w:val="left"/>
        <w:rPr>
          <w:sz w:val="24"/>
        </w:rPr>
      </w:pPr>
      <w:r>
        <w:rPr>
          <w:b/>
          <w:sz w:val="24"/>
        </w:rPr>
        <w:t>Figura</w:t>
      </w:r>
      <w:r>
        <w:rPr>
          <w:b/>
          <w:spacing w:val="-2"/>
          <w:sz w:val="24"/>
        </w:rPr>
        <w:t> </w:t>
      </w:r>
      <w:r>
        <w:rPr>
          <w:b/>
          <w:sz w:val="24"/>
        </w:rPr>
        <w:t>16.</w:t>
      </w:r>
      <w:r>
        <w:rPr>
          <w:b/>
          <w:spacing w:val="-3"/>
          <w:sz w:val="24"/>
        </w:rPr>
        <w:t> </w:t>
      </w:r>
      <w:r>
        <w:rPr>
          <w:sz w:val="24"/>
        </w:rPr>
        <w:t>Temperaturas</w:t>
      </w:r>
      <w:r>
        <w:rPr>
          <w:rFonts w:ascii="Times New Roman"/>
          <w:sz w:val="24"/>
        </w:rPr>
        <w:tab/>
      </w:r>
      <w:r>
        <w:rPr>
          <w:sz w:val="24"/>
        </w:rPr>
        <w:t>65</w:t>
      </w:r>
    </w:p>
    <w:p>
      <w:pPr>
        <w:pStyle w:val="BodyText"/>
        <w:tabs>
          <w:tab w:pos="8521" w:val="left" w:leader="dot"/>
        </w:tabs>
        <w:spacing w:before="139"/>
        <w:ind w:left="102" w:right="155"/>
      </w:pPr>
      <w:r>
        <w:rPr>
          <w:b/>
        </w:rPr>
        <w:t>Figura 17</w:t>
      </w:r>
      <w:r>
        <w:rPr/>
        <w:t>. Distribución geográfica del</w:t>
      </w:r>
      <w:r>
        <w:rPr>
          <w:spacing w:val="-8"/>
        </w:rPr>
        <w:t> </w:t>
      </w:r>
      <w:r>
        <w:rPr/>
        <w:t>VEEV</w:t>
      </w:r>
      <w:r>
        <w:rPr>
          <w:spacing w:val="-4"/>
        </w:rPr>
        <w:t> </w:t>
      </w:r>
      <w:r>
        <w:rPr/>
        <w:t>IE</w:t>
      </w:r>
      <w:r>
        <w:rPr>
          <w:rFonts w:ascii="Times New Roman" w:hAnsi="Times New Roman"/>
        </w:rPr>
        <w:tab/>
      </w:r>
      <w:r>
        <w:rPr/>
        <w:t>70</w:t>
      </w:r>
    </w:p>
    <w:p>
      <w:pPr>
        <w:pStyle w:val="Heading4"/>
        <w:spacing w:before="552"/>
        <w:ind w:right="155"/>
      </w:pPr>
      <w:r>
        <w:rPr/>
        <w:t>TABLAS</w:t>
      </w:r>
    </w:p>
    <w:p>
      <w:pPr>
        <w:tabs>
          <w:tab w:pos="8480" w:val="left" w:leader="dot"/>
        </w:tabs>
        <w:spacing w:before="137"/>
        <w:ind w:left="102" w:right="155" w:firstLine="0"/>
        <w:jc w:val="left"/>
        <w:rPr>
          <w:sz w:val="24"/>
        </w:rPr>
      </w:pPr>
      <w:r>
        <w:rPr>
          <w:b/>
          <w:sz w:val="24"/>
        </w:rPr>
        <w:t>Tabla 1. </w:t>
      </w:r>
      <w:r>
        <w:rPr>
          <w:sz w:val="24"/>
        </w:rPr>
        <w:t>Complejo antigénico de</w:t>
      </w:r>
      <w:r>
        <w:rPr>
          <w:spacing w:val="-7"/>
          <w:sz w:val="24"/>
        </w:rPr>
        <w:t> </w:t>
      </w:r>
      <w:r>
        <w:rPr>
          <w:sz w:val="24"/>
        </w:rPr>
        <w:t>la</w:t>
      </w:r>
      <w:r>
        <w:rPr>
          <w:spacing w:val="-2"/>
          <w:sz w:val="24"/>
        </w:rPr>
        <w:t> </w:t>
      </w:r>
      <w:r>
        <w:rPr>
          <w:sz w:val="24"/>
        </w:rPr>
        <w:t>EEV</w:t>
      </w:r>
      <w:r>
        <w:rPr>
          <w:rFonts w:ascii="Times New Roman" w:hAnsi="Times New Roman"/>
          <w:sz w:val="24"/>
        </w:rPr>
        <w:tab/>
      </w:r>
      <w:r>
        <w:rPr>
          <w:sz w:val="24"/>
        </w:rPr>
        <w:t>9</w:t>
      </w:r>
    </w:p>
    <w:p>
      <w:pPr>
        <w:tabs>
          <w:tab w:pos="8317" w:val="left" w:leader="dot"/>
        </w:tabs>
        <w:spacing w:before="139"/>
        <w:ind w:left="102" w:right="155" w:firstLine="0"/>
        <w:jc w:val="left"/>
        <w:rPr>
          <w:sz w:val="24"/>
        </w:rPr>
      </w:pPr>
      <w:r>
        <w:rPr>
          <w:b/>
          <w:sz w:val="24"/>
        </w:rPr>
        <w:t>Tabla 2. </w:t>
      </w:r>
      <w:r>
        <w:rPr>
          <w:sz w:val="24"/>
        </w:rPr>
        <w:t>Vectores epizoóticos de</w:t>
      </w:r>
      <w:r>
        <w:rPr>
          <w:spacing w:val="-8"/>
          <w:sz w:val="24"/>
        </w:rPr>
        <w:t> </w:t>
      </w:r>
      <w:r>
        <w:rPr>
          <w:sz w:val="24"/>
        </w:rPr>
        <w:t>la</w:t>
      </w:r>
      <w:r>
        <w:rPr>
          <w:spacing w:val="-4"/>
          <w:sz w:val="24"/>
        </w:rPr>
        <w:t> </w:t>
      </w:r>
      <w:r>
        <w:rPr>
          <w:sz w:val="24"/>
        </w:rPr>
        <w:t>EEV</w:t>
      </w:r>
      <w:r>
        <w:rPr>
          <w:rFonts w:ascii="Times New Roman" w:hAnsi="Times New Roman"/>
          <w:sz w:val="24"/>
        </w:rPr>
        <w:tab/>
      </w:r>
      <w:r>
        <w:rPr>
          <w:sz w:val="24"/>
        </w:rPr>
        <w:t>23</w:t>
      </w:r>
    </w:p>
    <w:p>
      <w:pPr>
        <w:tabs>
          <w:tab w:pos="8334" w:val="left" w:leader="dot"/>
        </w:tabs>
        <w:spacing w:before="137"/>
        <w:ind w:left="102" w:right="155" w:firstLine="0"/>
        <w:jc w:val="left"/>
        <w:rPr>
          <w:sz w:val="24"/>
        </w:rPr>
      </w:pPr>
      <w:r>
        <w:rPr>
          <w:b/>
          <w:sz w:val="24"/>
        </w:rPr>
        <w:t>Tabla 3. </w:t>
      </w:r>
      <w:r>
        <w:rPr>
          <w:sz w:val="24"/>
        </w:rPr>
        <w:t>Categorías de riesgo</w:t>
      </w:r>
      <w:r>
        <w:rPr>
          <w:spacing w:val="-4"/>
          <w:sz w:val="24"/>
        </w:rPr>
        <w:t> </w:t>
      </w:r>
      <w:r>
        <w:rPr>
          <w:sz w:val="24"/>
        </w:rPr>
        <w:t>de</w:t>
      </w:r>
      <w:r>
        <w:rPr>
          <w:spacing w:val="-1"/>
          <w:sz w:val="24"/>
        </w:rPr>
        <w:t> </w:t>
      </w:r>
      <w:r>
        <w:rPr>
          <w:sz w:val="24"/>
        </w:rPr>
        <w:t>brotes</w:t>
      </w:r>
      <w:r>
        <w:rPr>
          <w:rFonts w:ascii="Times New Roman" w:hAnsi="Times New Roman"/>
          <w:sz w:val="24"/>
        </w:rPr>
        <w:tab/>
      </w:r>
      <w:r>
        <w:rPr>
          <w:sz w:val="24"/>
        </w:rPr>
        <w:t>44</w:t>
      </w:r>
    </w:p>
    <w:p>
      <w:pPr>
        <w:tabs>
          <w:tab w:pos="8358" w:val="left" w:leader="dot"/>
        </w:tabs>
        <w:spacing w:before="140"/>
        <w:ind w:left="102" w:right="155" w:firstLine="0"/>
        <w:jc w:val="left"/>
        <w:rPr>
          <w:sz w:val="24"/>
        </w:rPr>
      </w:pPr>
      <w:r>
        <w:rPr>
          <w:b/>
          <w:sz w:val="24"/>
        </w:rPr>
        <w:t>Tabla 4.</w:t>
      </w:r>
      <w:r>
        <w:rPr>
          <w:b/>
          <w:spacing w:val="-2"/>
          <w:sz w:val="24"/>
        </w:rPr>
        <w:t> </w:t>
      </w:r>
      <w:r>
        <w:rPr>
          <w:sz w:val="24"/>
        </w:rPr>
        <w:t>Valores</w:t>
      </w:r>
      <w:r>
        <w:rPr>
          <w:spacing w:val="-2"/>
          <w:sz w:val="24"/>
        </w:rPr>
        <w:t> </w:t>
      </w:r>
      <w:r>
        <w:rPr>
          <w:sz w:val="24"/>
        </w:rPr>
        <w:t>hematológicos</w:t>
      </w:r>
      <w:r>
        <w:rPr>
          <w:rFonts w:ascii="Times New Roman" w:hAnsi="Times New Roman"/>
          <w:sz w:val="24"/>
        </w:rPr>
        <w:tab/>
      </w:r>
      <w:r>
        <w:rPr>
          <w:sz w:val="24"/>
        </w:rPr>
        <w:t>63</w:t>
      </w:r>
    </w:p>
    <w:p>
      <w:pPr>
        <w:spacing w:after="0"/>
        <w:jc w:val="left"/>
        <w:rPr>
          <w:sz w:val="24"/>
        </w:rPr>
        <w:sectPr>
          <w:pgSz w:w="12240" w:h="15840"/>
          <w:pgMar w:top="1360" w:bottom="280" w:left="1600" w:right="16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7"/>
        <w:rPr>
          <w:rFonts w:ascii="Times New Roman"/>
          <w:sz w:val="28"/>
        </w:rPr>
      </w:pPr>
    </w:p>
    <w:p>
      <w:pPr>
        <w:pStyle w:val="Heading4"/>
        <w:numPr>
          <w:ilvl w:val="0"/>
          <w:numId w:val="3"/>
        </w:numPr>
        <w:tabs>
          <w:tab w:pos="3688" w:val="left" w:leader="none"/>
        </w:tabs>
        <w:spacing w:line="240" w:lineRule="auto" w:before="0" w:after="0"/>
        <w:ind w:left="3687" w:right="0" w:hanging="201"/>
        <w:jc w:val="left"/>
      </w:pPr>
      <w:r>
        <w:rPr/>
        <w:t>INTRODUCCIÓN</w:t>
      </w:r>
    </w:p>
    <w:p>
      <w:pPr>
        <w:pStyle w:val="BodyText"/>
        <w:rPr>
          <w:b/>
        </w:rPr>
      </w:pPr>
    </w:p>
    <w:p>
      <w:pPr>
        <w:pStyle w:val="BodyText"/>
        <w:rPr>
          <w:b/>
        </w:rPr>
      </w:pPr>
    </w:p>
    <w:p>
      <w:pPr>
        <w:pStyle w:val="BodyText"/>
        <w:spacing w:line="360" w:lineRule="auto" w:before="161"/>
        <w:ind w:left="102" w:right="113"/>
        <w:jc w:val="both"/>
        <w:rPr>
          <w:sz w:val="16"/>
        </w:rPr>
      </w:pPr>
      <w:r>
        <w:rPr/>
        <w:t>La Encefalitis Equina Venezolana (EEV) es una enfermedad zoonótica de origen viral, transmitida por mosquitos vectores, de amplia distribución geográfica, capaz de producir epidemias caracterizadas por el desarrollo de síndromes neurológicos al causar meningo - encefalomielitis en los équidos (equinos, asnales y mulares) y humanos afectados, con grados variables de morbilidad y letalidad principalmente en América Latina durante el siglo pasado. </w:t>
      </w:r>
      <w:r>
        <w:rPr>
          <w:position w:val="8"/>
          <w:sz w:val="16"/>
        </w:rPr>
        <w:t>(29)</w:t>
      </w:r>
    </w:p>
    <w:p>
      <w:pPr>
        <w:pStyle w:val="BodyText"/>
        <w:spacing w:line="360" w:lineRule="auto" w:before="159"/>
        <w:ind w:left="102" w:right="120"/>
        <w:jc w:val="both"/>
        <w:rPr>
          <w:sz w:val="16"/>
        </w:rPr>
      </w:pPr>
      <w:r>
        <w:rPr/>
        <w:t>Se caracteriza por emerger periódicamente en epizootias y epidemias simultáneamente,</w:t>
      </w:r>
      <w:r>
        <w:rPr>
          <w:spacing w:val="-12"/>
        </w:rPr>
        <w:t> </w:t>
      </w:r>
      <w:r>
        <w:rPr/>
        <w:t>por</w:t>
      </w:r>
      <w:r>
        <w:rPr>
          <w:spacing w:val="-16"/>
        </w:rPr>
        <w:t> </w:t>
      </w:r>
      <w:r>
        <w:rPr/>
        <w:t>su</w:t>
      </w:r>
      <w:r>
        <w:rPr>
          <w:spacing w:val="-12"/>
        </w:rPr>
        <w:t> </w:t>
      </w:r>
      <w:r>
        <w:rPr/>
        <w:t>gran</w:t>
      </w:r>
      <w:r>
        <w:rPr>
          <w:spacing w:val="-12"/>
        </w:rPr>
        <w:t> </w:t>
      </w:r>
      <w:r>
        <w:rPr/>
        <w:t>capacidad</w:t>
      </w:r>
      <w:r>
        <w:rPr>
          <w:spacing w:val="-12"/>
        </w:rPr>
        <w:t> </w:t>
      </w:r>
      <w:r>
        <w:rPr/>
        <w:t>y</w:t>
      </w:r>
      <w:r>
        <w:rPr>
          <w:spacing w:val="-11"/>
        </w:rPr>
        <w:t> </w:t>
      </w:r>
      <w:r>
        <w:rPr/>
        <w:t>velocidad</w:t>
      </w:r>
      <w:r>
        <w:rPr>
          <w:spacing w:val="-12"/>
        </w:rPr>
        <w:t> </w:t>
      </w:r>
      <w:r>
        <w:rPr/>
        <w:t>para</w:t>
      </w:r>
      <w:r>
        <w:rPr>
          <w:spacing w:val="-12"/>
        </w:rPr>
        <w:t> </w:t>
      </w:r>
      <w:r>
        <w:rPr/>
        <w:t>extenderse</w:t>
      </w:r>
      <w:r>
        <w:rPr>
          <w:spacing w:val="-12"/>
        </w:rPr>
        <w:t> </w:t>
      </w:r>
      <w:r>
        <w:rPr/>
        <w:t>a</w:t>
      </w:r>
      <w:r>
        <w:rPr>
          <w:spacing w:val="-12"/>
        </w:rPr>
        <w:t> </w:t>
      </w:r>
      <w:r>
        <w:rPr/>
        <w:t>otras</w:t>
      </w:r>
      <w:r>
        <w:rPr>
          <w:spacing w:val="-15"/>
        </w:rPr>
        <w:t> </w:t>
      </w:r>
      <w:r>
        <w:rPr/>
        <w:t>áreas. Muchos brotes han involucrado cientos de miles de casos humanos y equinos, que se han extendido a lo largo de grandes regiones geográficas.</w:t>
      </w:r>
      <w:r>
        <w:rPr>
          <w:spacing w:val="-15"/>
        </w:rPr>
        <w:t> </w:t>
      </w:r>
      <w:r>
        <w:rPr>
          <w:position w:val="8"/>
          <w:sz w:val="16"/>
        </w:rPr>
        <w:t>(30)</w:t>
      </w:r>
    </w:p>
    <w:p>
      <w:pPr>
        <w:pStyle w:val="BodyText"/>
        <w:spacing w:line="360" w:lineRule="auto" w:before="159"/>
        <w:ind w:left="102" w:right="116" w:firstLine="67"/>
        <w:jc w:val="both"/>
        <w:rPr>
          <w:sz w:val="16"/>
        </w:rPr>
      </w:pPr>
      <w:r>
        <w:rPr/>
        <w:t>La EEV se asocia con grandes epizoodemias, que ocurren de forma intermitente desde la década de 1930, extendiéndose a casi todo el continente americano, afectando países como Colombia, Venezuela, Ecuador, Perú, Brasil, Surinam, Trinidad y Tobago, Panamá, Costa Rica, Nicaragua, Honduras, Belice, Cuba, El Salvador, Guatemala, República Dominicana, México y Estados Unidos (Texas y sur de la Florida</w:t>
      </w:r>
      <w:r>
        <w:rPr>
          <w:b/>
        </w:rPr>
        <w:t>) </w:t>
      </w:r>
      <w:r>
        <w:rPr>
          <w:position w:val="8"/>
          <w:sz w:val="16"/>
        </w:rPr>
        <w:t>(29)</w:t>
      </w:r>
    </w:p>
    <w:p>
      <w:pPr>
        <w:pStyle w:val="BodyText"/>
        <w:spacing w:line="360" w:lineRule="auto" w:before="159"/>
        <w:ind w:left="102" w:right="122"/>
        <w:jc w:val="both"/>
      </w:pPr>
      <w:r>
        <w:rPr/>
        <w:t>Brotes recientes en México y Sudamérica han demostrado que la EEV es una enfermedad infecciosa emergente. El impacto social de la EEV está representado por las repercusiones en la salud de las poblaciones rurales y urbanas localizadas en áreas endémicas y la pérdida de vidas humanas, lo que es capaz de generar colapso de los servicios de salud y repercusiones negativas en el bienestar de la comunidad.</w:t>
      </w:r>
    </w:p>
    <w:p>
      <w:pPr>
        <w:spacing w:after="0" w:line="360" w:lineRule="auto"/>
        <w:jc w:val="both"/>
        <w:sectPr>
          <w:footerReference w:type="default" r:id="rId7"/>
          <w:pgSz w:w="12240" w:h="15840"/>
          <w:pgMar w:footer="808" w:header="0" w:top="1500" w:bottom="1000" w:left="1600" w:right="1580"/>
        </w:sectPr>
      </w:pPr>
    </w:p>
    <w:p>
      <w:pPr>
        <w:pStyle w:val="BodyText"/>
        <w:rPr>
          <w:sz w:val="20"/>
        </w:rPr>
      </w:pPr>
    </w:p>
    <w:p>
      <w:pPr>
        <w:pStyle w:val="BodyText"/>
        <w:spacing w:before="7"/>
        <w:rPr>
          <w:sz w:val="16"/>
        </w:rPr>
      </w:pPr>
    </w:p>
    <w:p>
      <w:pPr>
        <w:pStyle w:val="Heading4"/>
        <w:numPr>
          <w:ilvl w:val="0"/>
          <w:numId w:val="3"/>
        </w:numPr>
        <w:tabs>
          <w:tab w:pos="3062" w:val="left" w:leader="none"/>
        </w:tabs>
        <w:spacing w:line="240" w:lineRule="auto" w:before="69" w:after="0"/>
        <w:ind w:left="3061" w:right="0" w:hanging="268"/>
        <w:jc w:val="left"/>
      </w:pPr>
      <w:r>
        <w:rPr/>
        <w:t>REVISIÓN</w:t>
      </w:r>
      <w:r>
        <w:rPr>
          <w:spacing w:val="-11"/>
        </w:rPr>
        <w:t> </w:t>
      </w:r>
      <w:r>
        <w:rPr/>
        <w:t>BIBLIOGRAFICA.</w:t>
      </w:r>
    </w:p>
    <w:p>
      <w:pPr>
        <w:pStyle w:val="BodyText"/>
        <w:rPr>
          <w:b/>
          <w:sz w:val="20"/>
        </w:rPr>
      </w:pPr>
    </w:p>
    <w:p>
      <w:pPr>
        <w:pStyle w:val="BodyText"/>
        <w:rPr>
          <w:b/>
          <w:sz w:val="20"/>
        </w:rPr>
      </w:pPr>
    </w:p>
    <w:p>
      <w:pPr>
        <w:pStyle w:val="BodyText"/>
        <w:spacing w:before="8"/>
        <w:rPr>
          <w:b/>
          <w:sz w:val="29"/>
        </w:rPr>
      </w:pPr>
    </w:p>
    <w:p>
      <w:pPr>
        <w:spacing w:before="69"/>
        <w:ind w:left="102" w:right="0" w:firstLine="0"/>
        <w:jc w:val="both"/>
        <w:rPr>
          <w:b/>
          <w:sz w:val="24"/>
        </w:rPr>
      </w:pPr>
      <w:r>
        <w:rPr>
          <w:b/>
          <w:sz w:val="24"/>
        </w:rPr>
        <w:t>II.1 Clasificación</w:t>
      </w:r>
    </w:p>
    <w:p>
      <w:pPr>
        <w:pStyle w:val="BodyText"/>
        <w:spacing w:before="10"/>
        <w:rPr>
          <w:b/>
          <w:sz w:val="25"/>
        </w:rPr>
      </w:pPr>
    </w:p>
    <w:p>
      <w:pPr>
        <w:pStyle w:val="BodyText"/>
        <w:spacing w:line="360" w:lineRule="auto"/>
        <w:ind w:left="102" w:right="124"/>
        <w:jc w:val="both"/>
      </w:pPr>
      <w:r>
        <w:rPr/>
        <w:t>En</w:t>
      </w:r>
      <w:r>
        <w:rPr>
          <w:spacing w:val="-5"/>
        </w:rPr>
        <w:t> </w:t>
      </w:r>
      <w:r>
        <w:rPr/>
        <w:t>el</w:t>
      </w:r>
      <w:r>
        <w:rPr>
          <w:spacing w:val="-6"/>
        </w:rPr>
        <w:t> </w:t>
      </w:r>
      <w:r>
        <w:rPr/>
        <w:t>continente</w:t>
      </w:r>
      <w:r>
        <w:rPr>
          <w:spacing w:val="-4"/>
        </w:rPr>
        <w:t> </w:t>
      </w:r>
      <w:r>
        <w:rPr/>
        <w:t>americano</w:t>
      </w:r>
      <w:r>
        <w:rPr>
          <w:spacing w:val="-5"/>
        </w:rPr>
        <w:t> </w:t>
      </w:r>
      <w:r>
        <w:rPr/>
        <w:t>las</w:t>
      </w:r>
      <w:r>
        <w:rPr>
          <w:spacing w:val="-5"/>
        </w:rPr>
        <w:t> </w:t>
      </w:r>
      <w:r>
        <w:rPr/>
        <w:t>encefalitis</w:t>
      </w:r>
      <w:r>
        <w:rPr>
          <w:spacing w:val="-5"/>
        </w:rPr>
        <w:t> </w:t>
      </w:r>
      <w:r>
        <w:rPr/>
        <w:t>de</w:t>
      </w:r>
      <w:r>
        <w:rPr>
          <w:spacing w:val="-7"/>
        </w:rPr>
        <w:t> </w:t>
      </w:r>
      <w:r>
        <w:rPr/>
        <w:t>origen</w:t>
      </w:r>
      <w:r>
        <w:rPr>
          <w:spacing w:val="-5"/>
        </w:rPr>
        <w:t> </w:t>
      </w:r>
      <w:r>
        <w:rPr/>
        <w:t>viral</w:t>
      </w:r>
      <w:r>
        <w:rPr>
          <w:spacing w:val="-6"/>
        </w:rPr>
        <w:t> </w:t>
      </w:r>
      <w:r>
        <w:rPr/>
        <w:t>que</w:t>
      </w:r>
      <w:r>
        <w:rPr>
          <w:spacing w:val="-5"/>
        </w:rPr>
        <w:t> </w:t>
      </w:r>
      <w:r>
        <w:rPr/>
        <w:t>afectan</w:t>
      </w:r>
      <w:r>
        <w:rPr>
          <w:spacing w:val="-5"/>
        </w:rPr>
        <w:t> </w:t>
      </w:r>
      <w:r>
        <w:rPr/>
        <w:t>a</w:t>
      </w:r>
      <w:r>
        <w:rPr>
          <w:spacing w:val="-5"/>
        </w:rPr>
        <w:t> </w:t>
      </w:r>
      <w:r>
        <w:rPr/>
        <w:t>los</w:t>
      </w:r>
      <w:r>
        <w:rPr>
          <w:spacing w:val="-5"/>
        </w:rPr>
        <w:t> </w:t>
      </w:r>
      <w:r>
        <w:rPr/>
        <w:t>équidos, se han clasificado como miembros de la familia Togaviridae género</w:t>
      </w:r>
      <w:r>
        <w:rPr>
          <w:spacing w:val="-25"/>
        </w:rPr>
        <w:t> </w:t>
      </w:r>
      <w:r>
        <w:rPr/>
        <w:t>alfavirus.</w:t>
      </w:r>
    </w:p>
    <w:p>
      <w:pPr>
        <w:pStyle w:val="BodyText"/>
        <w:spacing w:line="357" w:lineRule="auto" w:before="163"/>
        <w:ind w:left="102" w:right="119"/>
        <w:jc w:val="both"/>
        <w:rPr>
          <w:sz w:val="16"/>
        </w:rPr>
      </w:pPr>
      <w:r>
        <w:rPr/>
        <w:t>Anterior a las técnicas de secuenciación genética la clasificación antigénica de un gran</w:t>
      </w:r>
      <w:r>
        <w:rPr>
          <w:spacing w:val="-13"/>
        </w:rPr>
        <w:t> </w:t>
      </w:r>
      <w:r>
        <w:rPr/>
        <w:t>número</w:t>
      </w:r>
      <w:r>
        <w:rPr>
          <w:spacing w:val="-16"/>
        </w:rPr>
        <w:t> </w:t>
      </w:r>
      <w:r>
        <w:rPr/>
        <w:t>de</w:t>
      </w:r>
      <w:r>
        <w:rPr>
          <w:spacing w:val="-13"/>
        </w:rPr>
        <w:t> </w:t>
      </w:r>
      <w:r>
        <w:rPr/>
        <w:t>alfavirus</w:t>
      </w:r>
      <w:r>
        <w:rPr>
          <w:spacing w:val="40"/>
        </w:rPr>
        <w:t> </w:t>
      </w:r>
      <w:r>
        <w:rPr/>
        <w:t>se</w:t>
      </w:r>
      <w:r>
        <w:rPr>
          <w:spacing w:val="-13"/>
        </w:rPr>
        <w:t> </w:t>
      </w:r>
      <w:r>
        <w:rPr/>
        <w:t>llevó</w:t>
      </w:r>
      <w:r>
        <w:rPr>
          <w:spacing w:val="-13"/>
        </w:rPr>
        <w:t> </w:t>
      </w:r>
      <w:r>
        <w:rPr/>
        <w:t>a</w:t>
      </w:r>
      <w:r>
        <w:rPr>
          <w:spacing w:val="-13"/>
        </w:rPr>
        <w:t> </w:t>
      </w:r>
      <w:r>
        <w:rPr/>
        <w:t>cabo</w:t>
      </w:r>
      <w:r>
        <w:rPr>
          <w:spacing w:val="-13"/>
        </w:rPr>
        <w:t> </w:t>
      </w:r>
      <w:r>
        <w:rPr/>
        <w:t>mediante</w:t>
      </w:r>
      <w:r>
        <w:rPr>
          <w:spacing w:val="-13"/>
        </w:rPr>
        <w:t> </w:t>
      </w:r>
      <w:r>
        <w:rPr/>
        <w:t>inhibición</w:t>
      </w:r>
      <w:r>
        <w:rPr>
          <w:spacing w:val="-13"/>
        </w:rPr>
        <w:t> </w:t>
      </w:r>
      <w:r>
        <w:rPr/>
        <w:t>de</w:t>
      </w:r>
      <w:r>
        <w:rPr>
          <w:spacing w:val="-13"/>
        </w:rPr>
        <w:t> </w:t>
      </w:r>
      <w:r>
        <w:rPr/>
        <w:t>la</w:t>
      </w:r>
      <w:r>
        <w:rPr>
          <w:spacing w:val="-13"/>
        </w:rPr>
        <w:t> </w:t>
      </w:r>
      <w:r>
        <w:rPr/>
        <w:t>hemaglutinación. Esta</w:t>
      </w:r>
      <w:r>
        <w:rPr>
          <w:spacing w:val="-6"/>
        </w:rPr>
        <w:t> </w:t>
      </w:r>
      <w:r>
        <w:rPr/>
        <w:t>técnica</w:t>
      </w:r>
      <w:r>
        <w:rPr>
          <w:spacing w:val="-6"/>
        </w:rPr>
        <w:t> </w:t>
      </w:r>
      <w:r>
        <w:rPr/>
        <w:t>fue</w:t>
      </w:r>
      <w:r>
        <w:rPr>
          <w:spacing w:val="-6"/>
        </w:rPr>
        <w:t> </w:t>
      </w:r>
      <w:r>
        <w:rPr/>
        <w:t>empleada</w:t>
      </w:r>
      <w:r>
        <w:rPr>
          <w:spacing w:val="-6"/>
        </w:rPr>
        <w:t> </w:t>
      </w:r>
      <w:r>
        <w:rPr/>
        <w:t>para</w:t>
      </w:r>
      <w:r>
        <w:rPr>
          <w:spacing w:val="-7"/>
        </w:rPr>
        <w:t> </w:t>
      </w:r>
      <w:r>
        <w:rPr/>
        <w:t>clasificar</w:t>
      </w:r>
      <w:r>
        <w:rPr>
          <w:spacing w:val="-5"/>
        </w:rPr>
        <w:t> </w:t>
      </w:r>
      <w:r>
        <w:rPr/>
        <w:t>los</w:t>
      </w:r>
      <w:r>
        <w:rPr>
          <w:spacing w:val="-7"/>
        </w:rPr>
        <w:t> </w:t>
      </w:r>
      <w:r>
        <w:rPr/>
        <w:t>arbovirus</w:t>
      </w:r>
      <w:r>
        <w:rPr>
          <w:spacing w:val="-4"/>
        </w:rPr>
        <w:t> </w:t>
      </w:r>
      <w:r>
        <w:rPr/>
        <w:t>en</w:t>
      </w:r>
      <w:r>
        <w:rPr>
          <w:spacing w:val="-6"/>
        </w:rPr>
        <w:t> </w:t>
      </w:r>
      <w:r>
        <w:rPr/>
        <w:t>tres</w:t>
      </w:r>
      <w:r>
        <w:rPr>
          <w:spacing w:val="-4"/>
        </w:rPr>
        <w:t> </w:t>
      </w:r>
      <w:r>
        <w:rPr/>
        <w:t>grupos:</w:t>
      </w:r>
      <w:r>
        <w:rPr>
          <w:spacing w:val="-4"/>
        </w:rPr>
        <w:t> </w:t>
      </w:r>
      <w:r>
        <w:rPr/>
        <w:t>A,</w:t>
      </w:r>
      <w:r>
        <w:rPr>
          <w:spacing w:val="-4"/>
        </w:rPr>
        <w:t> </w:t>
      </w:r>
      <w:r>
        <w:rPr/>
        <w:t>B</w:t>
      </w:r>
      <w:r>
        <w:rPr>
          <w:spacing w:val="-6"/>
        </w:rPr>
        <w:t> </w:t>
      </w:r>
      <w:r>
        <w:rPr/>
        <w:t>y</w:t>
      </w:r>
      <w:r>
        <w:rPr>
          <w:spacing w:val="-7"/>
        </w:rPr>
        <w:t> </w:t>
      </w:r>
      <w:r>
        <w:rPr/>
        <w:t>C</w:t>
      </w:r>
      <w:r>
        <w:rPr>
          <w:spacing w:val="-5"/>
        </w:rPr>
        <w:t> </w:t>
      </w:r>
      <w:r>
        <w:rPr/>
        <w:t>que corresponden a los  alfavirus, flavivirus y bunyavirus respectivamente.</w:t>
      </w:r>
      <w:r>
        <w:rPr>
          <w:spacing w:val="-22"/>
        </w:rPr>
        <w:t> </w:t>
      </w:r>
      <w:r>
        <w:rPr>
          <w:position w:val="8"/>
          <w:sz w:val="16"/>
        </w:rPr>
        <w:t>(31)</w:t>
      </w:r>
    </w:p>
    <w:p>
      <w:pPr>
        <w:pStyle w:val="BodyText"/>
        <w:spacing w:line="360" w:lineRule="auto" w:before="4"/>
        <w:ind w:left="102" w:right="115"/>
        <w:jc w:val="both"/>
        <w:rPr>
          <w:sz w:val="16"/>
        </w:rPr>
      </w:pPr>
      <w:r>
        <w:rPr/>
        <w:t>Los alfavirus son un grupo de 29 especies de virus relacionados serológicamente que</w:t>
      </w:r>
      <w:r>
        <w:rPr>
          <w:spacing w:val="-17"/>
        </w:rPr>
        <w:t> </w:t>
      </w:r>
      <w:r>
        <w:rPr/>
        <w:t>pertenecen</w:t>
      </w:r>
      <w:r>
        <w:rPr>
          <w:spacing w:val="-19"/>
        </w:rPr>
        <w:t> </w:t>
      </w:r>
      <w:r>
        <w:rPr/>
        <w:t>a</w:t>
      </w:r>
      <w:r>
        <w:rPr>
          <w:spacing w:val="-19"/>
        </w:rPr>
        <w:t> </w:t>
      </w:r>
      <w:r>
        <w:rPr/>
        <w:t>la</w:t>
      </w:r>
      <w:r>
        <w:rPr>
          <w:spacing w:val="-19"/>
        </w:rPr>
        <w:t> </w:t>
      </w:r>
      <w:r>
        <w:rPr/>
        <w:t>familia</w:t>
      </w:r>
      <w:r>
        <w:rPr>
          <w:spacing w:val="-19"/>
        </w:rPr>
        <w:t> </w:t>
      </w:r>
      <w:r>
        <w:rPr/>
        <w:t>Togaviridae.</w:t>
      </w:r>
      <w:r>
        <w:rPr>
          <w:spacing w:val="-17"/>
        </w:rPr>
        <w:t> </w:t>
      </w:r>
      <w:r>
        <w:rPr/>
        <w:t>Existen</w:t>
      </w:r>
      <w:r>
        <w:rPr>
          <w:spacing w:val="-19"/>
        </w:rPr>
        <w:t> </w:t>
      </w:r>
      <w:r>
        <w:rPr/>
        <w:t>al</w:t>
      </w:r>
      <w:r>
        <w:rPr>
          <w:spacing w:val="-20"/>
        </w:rPr>
        <w:t> </w:t>
      </w:r>
      <w:r>
        <w:rPr/>
        <w:t>menos</w:t>
      </w:r>
      <w:r>
        <w:rPr>
          <w:spacing w:val="-17"/>
        </w:rPr>
        <w:t> </w:t>
      </w:r>
      <w:r>
        <w:rPr/>
        <w:t>siete</w:t>
      </w:r>
      <w:r>
        <w:rPr>
          <w:spacing w:val="-16"/>
        </w:rPr>
        <w:t> </w:t>
      </w:r>
      <w:r>
        <w:rPr/>
        <w:t>complejos,</w:t>
      </w:r>
      <w:r>
        <w:rPr>
          <w:spacing w:val="-19"/>
        </w:rPr>
        <w:t> </w:t>
      </w:r>
      <w:r>
        <w:rPr/>
        <w:t>o</w:t>
      </w:r>
      <w:r>
        <w:rPr>
          <w:spacing w:val="-17"/>
        </w:rPr>
        <w:t> </w:t>
      </w:r>
      <w:r>
        <w:rPr/>
        <w:t>grupos, de miembros antigénicamente relacionados en el género alfavirus: Encefalitis Equina del Este, Encefalitis Equina Venezolana, Encefalitis Equina del Oeste, Semliki Forest, Barmah Forest y Middleburg.</w:t>
      </w:r>
      <w:r>
        <w:rPr>
          <w:spacing w:val="55"/>
        </w:rPr>
        <w:t> </w:t>
      </w:r>
      <w:r>
        <w:rPr>
          <w:position w:val="8"/>
          <w:sz w:val="16"/>
        </w:rPr>
        <w:t>(1)</w:t>
      </w:r>
    </w:p>
    <w:p>
      <w:pPr>
        <w:pStyle w:val="BodyText"/>
        <w:spacing w:line="360" w:lineRule="auto"/>
        <w:ind w:left="102" w:right="120"/>
        <w:jc w:val="both"/>
        <w:rPr>
          <w:sz w:val="16"/>
        </w:rPr>
      </w:pPr>
      <w:r>
        <w:rPr/>
        <w:t>Los alfavirus tienen una distribución mundial y son divididos en virus del Viejo Mundo y virus del Nuevo Mundo. Los virus pertenecientes al complejo del Viejo Mundo causan enfermedades en humanos caracterizadas por sarpullido y artritis. El prototipo de alfavirus del Viejo Mundo es el Sindbis Virus (SINV), que tiene una amplia distribución incluyendo Europa, Asia, Australia y en gran parte del territorio de Africa. </w:t>
      </w:r>
      <w:r>
        <w:rPr>
          <w:position w:val="8"/>
          <w:sz w:val="16"/>
        </w:rPr>
        <w:t>(32)</w:t>
      </w:r>
    </w:p>
    <w:p>
      <w:pPr>
        <w:pStyle w:val="BodyText"/>
        <w:spacing w:line="360" w:lineRule="auto" w:before="162"/>
        <w:ind w:left="102" w:right="120"/>
        <w:jc w:val="both"/>
        <w:rPr>
          <w:sz w:val="16"/>
        </w:rPr>
      </w:pPr>
      <w:r>
        <w:rPr/>
        <w:t>Los alfavirus del Nuevo Mundo se encuentran ampliamente distribuidos a lo largo del continente americano. La Encefalitis Equina del Oeste (EEO), la Encefalitis Equina del Este (EEE) y la Encefalitis Equina Venezolana (EEV). El Virus de la Encefalitis Equina Venezolana (VEEV) es el patógeno más importante de los alfavirus del Nuevo Mundo, ha ocasionado numerosos brotes que han afectado a miles de equinos y humanos. </w:t>
      </w:r>
      <w:r>
        <w:rPr>
          <w:position w:val="8"/>
          <w:sz w:val="16"/>
        </w:rPr>
        <w:t>(33)</w:t>
      </w:r>
    </w:p>
    <w:p>
      <w:pPr>
        <w:spacing w:after="0" w:line="360" w:lineRule="auto"/>
        <w:jc w:val="both"/>
        <w:rPr>
          <w:sz w:val="16"/>
        </w:rPr>
        <w:sectPr>
          <w:footerReference w:type="default" r:id="rId8"/>
          <w:pgSz w:w="12240" w:h="15840"/>
          <w:pgMar w:footer="1120" w:header="0" w:top="1500" w:bottom="1320" w:left="1600" w:right="1580"/>
        </w:sectPr>
      </w:pPr>
    </w:p>
    <w:p>
      <w:pPr>
        <w:pStyle w:val="BodyText"/>
        <w:spacing w:before="7"/>
        <w:rPr>
          <w:sz w:val="22"/>
        </w:rPr>
      </w:pPr>
    </w:p>
    <w:p>
      <w:pPr>
        <w:pStyle w:val="Heading4"/>
        <w:numPr>
          <w:ilvl w:val="1"/>
          <w:numId w:val="4"/>
        </w:numPr>
        <w:tabs>
          <w:tab w:pos="638" w:val="left" w:leader="none"/>
        </w:tabs>
        <w:spacing w:line="240" w:lineRule="auto" w:before="69" w:after="0"/>
        <w:ind w:left="637" w:right="0" w:hanging="535"/>
        <w:jc w:val="left"/>
      </w:pPr>
      <w:r>
        <w:rPr/>
        <w:t>Genoma y estructura del</w:t>
      </w:r>
      <w:r>
        <w:rPr>
          <w:spacing w:val="-9"/>
        </w:rPr>
        <w:t> </w:t>
      </w:r>
      <w:r>
        <w:rPr/>
        <w:t>virión</w:t>
      </w:r>
    </w:p>
    <w:p>
      <w:pPr>
        <w:pStyle w:val="BodyText"/>
        <w:rPr>
          <w:b/>
        </w:rPr>
      </w:pPr>
    </w:p>
    <w:p>
      <w:pPr>
        <w:pStyle w:val="BodyText"/>
        <w:rPr>
          <w:b/>
        </w:rPr>
      </w:pPr>
    </w:p>
    <w:p>
      <w:pPr>
        <w:pStyle w:val="BodyText"/>
        <w:spacing w:line="360" w:lineRule="auto"/>
        <w:ind w:left="102" w:right="106"/>
      </w:pPr>
      <w:r>
        <w:rPr/>
        <w:t>El genoma viral está conformado por una cadena sencilla de ácido ribonucleico (ARN) de sentido positivo, consta de 11,700 nucleótidos y tiene características estructurales</w:t>
      </w:r>
      <w:r>
        <w:rPr>
          <w:spacing w:val="-11"/>
        </w:rPr>
        <w:t> </w:t>
      </w:r>
      <w:r>
        <w:rPr/>
        <w:t>del</w:t>
      </w:r>
      <w:r>
        <w:rPr>
          <w:spacing w:val="-11"/>
        </w:rPr>
        <w:t> </w:t>
      </w:r>
      <w:r>
        <w:rPr/>
        <w:t>ARN</w:t>
      </w:r>
      <w:r>
        <w:rPr>
          <w:spacing w:val="-12"/>
        </w:rPr>
        <w:t> </w:t>
      </w:r>
      <w:r>
        <w:rPr/>
        <w:t>mensajero</w:t>
      </w:r>
      <w:r>
        <w:rPr>
          <w:spacing w:val="-8"/>
        </w:rPr>
        <w:t> </w:t>
      </w:r>
      <w:r>
        <w:rPr/>
        <w:t>(extremo</w:t>
      </w:r>
      <w:r>
        <w:rPr>
          <w:spacing w:val="-8"/>
        </w:rPr>
        <w:t> </w:t>
      </w:r>
      <w:r>
        <w:rPr/>
        <w:t>5´</w:t>
      </w:r>
      <w:r>
        <w:rPr>
          <w:spacing w:val="-11"/>
        </w:rPr>
        <w:t> </w:t>
      </w:r>
      <w:r>
        <w:rPr/>
        <w:t>con</w:t>
      </w:r>
      <w:r>
        <w:rPr>
          <w:spacing w:val="-10"/>
        </w:rPr>
        <w:t> </w:t>
      </w:r>
      <w:r>
        <w:rPr/>
        <w:t>una</w:t>
      </w:r>
      <w:r>
        <w:rPr>
          <w:spacing w:val="-10"/>
        </w:rPr>
        <w:t> </w:t>
      </w:r>
      <w:r>
        <w:rPr/>
        <w:t>caperuza</w:t>
      </w:r>
      <w:r>
        <w:rPr>
          <w:spacing w:val="-8"/>
        </w:rPr>
        <w:t> </w:t>
      </w:r>
      <w:r>
        <w:rPr/>
        <w:t>metilada</w:t>
      </w:r>
      <w:r>
        <w:rPr>
          <w:spacing w:val="-8"/>
        </w:rPr>
        <w:t> </w:t>
      </w:r>
      <w:r>
        <w:rPr/>
        <w:t>y</w:t>
      </w:r>
      <w:r>
        <w:rPr>
          <w:spacing w:val="-11"/>
        </w:rPr>
        <w:t> </w:t>
      </w:r>
      <w:r>
        <w:rPr/>
        <w:t>una</w:t>
      </w:r>
      <w:r>
        <w:rPr>
          <w:spacing w:val="-8"/>
        </w:rPr>
        <w:t> </w:t>
      </w:r>
      <w:r>
        <w:rPr/>
        <w:t>cola de poly-A en el extremo</w:t>
      </w:r>
      <w:r>
        <w:rPr>
          <w:spacing w:val="-9"/>
        </w:rPr>
        <w:t> </w:t>
      </w:r>
      <w:r>
        <w:rPr/>
        <w:t>3’).</w:t>
      </w:r>
    </w:p>
    <w:p>
      <w:pPr>
        <w:pStyle w:val="BodyText"/>
        <w:rPr>
          <w:sz w:val="20"/>
        </w:rPr>
      </w:pPr>
    </w:p>
    <w:p>
      <w:pPr>
        <w:pStyle w:val="BodyText"/>
        <w:spacing w:before="1"/>
        <w:rPr>
          <w:sz w:val="13"/>
        </w:rPr>
      </w:pPr>
      <w:r>
        <w:rPr/>
        <w:drawing>
          <wp:anchor distT="0" distB="0" distL="0" distR="0" allowOverlap="1" layoutInCell="1" locked="0" behindDoc="0" simplePos="0" relativeHeight="1072">
            <wp:simplePos x="0" y="0"/>
            <wp:positionH relativeFrom="page">
              <wp:posOffset>1080516</wp:posOffset>
            </wp:positionH>
            <wp:positionV relativeFrom="paragraph">
              <wp:posOffset>120363</wp:posOffset>
            </wp:positionV>
            <wp:extent cx="5626809" cy="203854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5626809" cy="2038540"/>
                    </a:xfrm>
                    <a:prstGeom prst="rect">
                      <a:avLst/>
                    </a:prstGeom>
                  </pic:spPr>
                </pic:pic>
              </a:graphicData>
            </a:graphic>
          </wp:anchor>
        </w:drawing>
      </w:r>
    </w:p>
    <w:p>
      <w:pPr>
        <w:spacing w:line="242" w:lineRule="auto" w:before="105"/>
        <w:ind w:left="102" w:right="119" w:firstLine="0"/>
        <w:jc w:val="both"/>
        <w:rPr>
          <w:sz w:val="22"/>
        </w:rPr>
      </w:pPr>
      <w:r>
        <w:rPr>
          <w:b/>
          <w:sz w:val="22"/>
        </w:rPr>
        <w:t>Figura 1 Estructura del genoma viral. </w:t>
      </w:r>
      <w:r>
        <w:rPr>
          <w:sz w:val="22"/>
        </w:rPr>
        <w:t>El extremo 5’ codifica para cuatro proteínas no estructurales</w:t>
      </w:r>
      <w:r>
        <w:rPr>
          <w:spacing w:val="-9"/>
          <w:sz w:val="22"/>
        </w:rPr>
        <w:t> </w:t>
      </w:r>
      <w:r>
        <w:rPr>
          <w:sz w:val="22"/>
        </w:rPr>
        <w:t>(nsP1-4),</w:t>
      </w:r>
      <w:r>
        <w:rPr>
          <w:spacing w:val="-10"/>
          <w:sz w:val="22"/>
        </w:rPr>
        <w:t> </w:t>
      </w:r>
      <w:r>
        <w:rPr>
          <w:sz w:val="22"/>
        </w:rPr>
        <w:t>que</w:t>
      </w:r>
      <w:r>
        <w:rPr>
          <w:spacing w:val="-6"/>
          <w:sz w:val="22"/>
        </w:rPr>
        <w:t> </w:t>
      </w:r>
      <w:r>
        <w:rPr>
          <w:sz w:val="22"/>
        </w:rPr>
        <w:t>participan</w:t>
      </w:r>
      <w:r>
        <w:rPr>
          <w:spacing w:val="-6"/>
          <w:sz w:val="22"/>
        </w:rPr>
        <w:t> </w:t>
      </w:r>
      <w:r>
        <w:rPr>
          <w:sz w:val="22"/>
        </w:rPr>
        <w:t>en</w:t>
      </w:r>
      <w:r>
        <w:rPr>
          <w:spacing w:val="-9"/>
          <w:sz w:val="22"/>
        </w:rPr>
        <w:t> </w:t>
      </w:r>
      <w:r>
        <w:rPr>
          <w:sz w:val="22"/>
        </w:rPr>
        <w:t>la</w:t>
      </w:r>
      <w:r>
        <w:rPr>
          <w:spacing w:val="-9"/>
          <w:sz w:val="22"/>
        </w:rPr>
        <w:t> </w:t>
      </w:r>
      <w:r>
        <w:rPr>
          <w:sz w:val="22"/>
        </w:rPr>
        <w:t>replicación</w:t>
      </w:r>
      <w:r>
        <w:rPr>
          <w:spacing w:val="-7"/>
          <w:sz w:val="22"/>
        </w:rPr>
        <w:t> </w:t>
      </w:r>
      <w:r>
        <w:rPr>
          <w:sz w:val="22"/>
        </w:rPr>
        <w:t>del</w:t>
      </w:r>
      <w:r>
        <w:rPr>
          <w:spacing w:val="-10"/>
          <w:sz w:val="22"/>
        </w:rPr>
        <w:t> </w:t>
      </w:r>
      <w:r>
        <w:rPr>
          <w:sz w:val="22"/>
        </w:rPr>
        <w:t>genoma</w:t>
      </w:r>
      <w:r>
        <w:rPr>
          <w:spacing w:val="-9"/>
          <w:sz w:val="22"/>
        </w:rPr>
        <w:t> </w:t>
      </w:r>
      <w:r>
        <w:rPr>
          <w:sz w:val="22"/>
        </w:rPr>
        <w:t>viral</w:t>
      </w:r>
      <w:r>
        <w:rPr>
          <w:spacing w:val="-7"/>
          <w:sz w:val="22"/>
        </w:rPr>
        <w:t> </w:t>
      </w:r>
      <w:r>
        <w:rPr>
          <w:sz w:val="22"/>
        </w:rPr>
        <w:t>y</w:t>
      </w:r>
      <w:r>
        <w:rPr>
          <w:spacing w:val="-8"/>
          <w:sz w:val="22"/>
        </w:rPr>
        <w:t> </w:t>
      </w:r>
      <w:r>
        <w:rPr>
          <w:sz w:val="22"/>
        </w:rPr>
        <w:t>el</w:t>
      </w:r>
      <w:r>
        <w:rPr>
          <w:spacing w:val="-7"/>
          <w:sz w:val="22"/>
        </w:rPr>
        <w:t> </w:t>
      </w:r>
      <w:r>
        <w:rPr>
          <w:sz w:val="22"/>
        </w:rPr>
        <w:t>procesamiento proteico. El extremo 3’ codifica tres proteínas estructurales: cápside (C), las glicoproteínas de la envoltura (E1 y</w:t>
      </w:r>
      <w:r>
        <w:rPr>
          <w:spacing w:val="-7"/>
          <w:sz w:val="22"/>
        </w:rPr>
        <w:t> </w:t>
      </w:r>
      <w:r>
        <w:rPr>
          <w:sz w:val="22"/>
        </w:rPr>
        <w:t>E2).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before="57"/>
        <w:ind w:left="0" w:right="1219" w:firstLine="0"/>
        <w:jc w:val="center"/>
        <w:rPr>
          <w:rFonts w:ascii="Calibri"/>
          <w:b/>
          <w:sz w:val="22"/>
        </w:rPr>
      </w:pPr>
      <w:r>
        <w:rPr>
          <w:rFonts w:ascii="Calibri"/>
          <w:b/>
          <w:w w:val="100"/>
          <w:sz w:val="22"/>
        </w:rPr>
        <w:t>3</w:t>
      </w:r>
    </w:p>
    <w:p>
      <w:pPr>
        <w:spacing w:after="0"/>
        <w:jc w:val="center"/>
        <w:rPr>
          <w:rFonts w:ascii="Calibri"/>
          <w:sz w:val="22"/>
        </w:rPr>
        <w:sectPr>
          <w:footerReference w:type="default" r:id="rId9"/>
          <w:pgSz w:w="12240" w:h="15840"/>
          <w:pgMar w:footer="0" w:header="0" w:top="1500" w:bottom="280" w:left="1600" w:right="1580"/>
        </w:sectPr>
      </w:pPr>
    </w:p>
    <w:p>
      <w:pPr>
        <w:pStyle w:val="BodyText"/>
        <w:ind w:left="101"/>
        <w:rPr>
          <w:rFonts w:ascii="Calibri"/>
          <w:sz w:val="20"/>
        </w:rPr>
      </w:pPr>
      <w:r>
        <w:rPr>
          <w:rFonts w:ascii="Calibri"/>
          <w:sz w:val="20"/>
        </w:rPr>
        <w:drawing>
          <wp:inline distT="0" distB="0" distL="0" distR="0">
            <wp:extent cx="4602369" cy="265252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4602369" cy="2652522"/>
                    </a:xfrm>
                    <a:prstGeom prst="rect">
                      <a:avLst/>
                    </a:prstGeom>
                  </pic:spPr>
                </pic:pic>
              </a:graphicData>
            </a:graphic>
          </wp:inline>
        </w:drawing>
      </w:r>
      <w:r>
        <w:rPr>
          <w:rFonts w:ascii="Calibri"/>
          <w:sz w:val="20"/>
        </w:rPr>
      </w:r>
    </w:p>
    <w:p>
      <w:pPr>
        <w:pStyle w:val="BodyText"/>
        <w:rPr>
          <w:rFonts w:ascii="Calibri"/>
          <w:b/>
          <w:sz w:val="20"/>
        </w:rPr>
      </w:pPr>
    </w:p>
    <w:p>
      <w:pPr>
        <w:pStyle w:val="BodyText"/>
        <w:spacing w:before="3"/>
        <w:rPr>
          <w:rFonts w:ascii="Calibri"/>
          <w:b/>
          <w:sz w:val="19"/>
        </w:rPr>
      </w:pPr>
    </w:p>
    <w:p>
      <w:pPr>
        <w:spacing w:line="240" w:lineRule="auto" w:before="72"/>
        <w:ind w:left="102" w:right="116" w:firstLine="0"/>
        <w:jc w:val="both"/>
        <w:rPr>
          <w:sz w:val="14"/>
        </w:rPr>
      </w:pPr>
      <w:r>
        <w:rPr>
          <w:b/>
          <w:sz w:val="22"/>
        </w:rPr>
        <w:t>Figura 2</w:t>
      </w:r>
      <w:r>
        <w:rPr>
          <w:sz w:val="22"/>
        </w:rPr>
        <w:t>: </w:t>
      </w:r>
      <w:r>
        <w:rPr>
          <w:b/>
          <w:sz w:val="22"/>
        </w:rPr>
        <w:t>Organización del genoma de los alfavirus</w:t>
      </w:r>
      <w:r>
        <w:rPr>
          <w:sz w:val="22"/>
        </w:rPr>
        <w:t>. La estructura de los alfavirus está conformada por las proteínas no estructurales (nsP) en el extremo 5´ del genoma. Las</w:t>
      </w:r>
      <w:r>
        <w:rPr>
          <w:spacing w:val="-37"/>
          <w:sz w:val="22"/>
        </w:rPr>
        <w:t> </w:t>
      </w:r>
      <w:r>
        <w:rPr>
          <w:sz w:val="22"/>
        </w:rPr>
        <w:t>nsP son traducidas por el ARN genómico, mientras que las proteínas estructurales son traducidas mediante el promotor subgenómico 26 S que se localiza en el extremo 3´ del genoma</w:t>
      </w:r>
      <w:r>
        <w:rPr>
          <w:spacing w:val="-11"/>
          <w:sz w:val="22"/>
        </w:rPr>
        <w:t> </w:t>
      </w:r>
      <w:r>
        <w:rPr>
          <w:sz w:val="22"/>
        </w:rPr>
        <w:t>viral.</w:t>
      </w:r>
      <w:r>
        <w:rPr>
          <w:spacing w:val="-10"/>
          <w:sz w:val="22"/>
        </w:rPr>
        <w:t> </w:t>
      </w:r>
      <w:r>
        <w:rPr>
          <w:sz w:val="22"/>
        </w:rPr>
        <w:t>La</w:t>
      </w:r>
      <w:r>
        <w:rPr>
          <w:spacing w:val="-14"/>
          <w:sz w:val="22"/>
        </w:rPr>
        <w:t> </w:t>
      </w:r>
      <w:r>
        <w:rPr>
          <w:sz w:val="22"/>
        </w:rPr>
        <w:t>ARN</w:t>
      </w:r>
      <w:r>
        <w:rPr>
          <w:spacing w:val="-12"/>
          <w:sz w:val="22"/>
        </w:rPr>
        <w:t> </w:t>
      </w:r>
      <w:r>
        <w:rPr>
          <w:sz w:val="22"/>
        </w:rPr>
        <w:t>polimerasa</w:t>
      </w:r>
      <w:r>
        <w:rPr>
          <w:spacing w:val="-11"/>
          <w:sz w:val="22"/>
        </w:rPr>
        <w:t> </w:t>
      </w:r>
      <w:r>
        <w:rPr>
          <w:sz w:val="22"/>
        </w:rPr>
        <w:t>nsP4</w:t>
      </w:r>
      <w:r>
        <w:rPr>
          <w:spacing w:val="-14"/>
          <w:sz w:val="22"/>
        </w:rPr>
        <w:t> </w:t>
      </w:r>
      <w:r>
        <w:rPr>
          <w:sz w:val="22"/>
        </w:rPr>
        <w:t>actúa</w:t>
      </w:r>
      <w:r>
        <w:rPr>
          <w:spacing w:val="-11"/>
          <w:sz w:val="22"/>
        </w:rPr>
        <w:t> </w:t>
      </w:r>
      <w:r>
        <w:rPr>
          <w:sz w:val="22"/>
        </w:rPr>
        <w:t>como</w:t>
      </w:r>
      <w:r>
        <w:rPr>
          <w:spacing w:val="-8"/>
          <w:sz w:val="22"/>
        </w:rPr>
        <w:t> </w:t>
      </w:r>
      <w:r>
        <w:rPr>
          <w:color w:val="333333"/>
          <w:sz w:val="22"/>
        </w:rPr>
        <w:t>una</w:t>
      </w:r>
      <w:r>
        <w:rPr>
          <w:color w:val="333333"/>
          <w:spacing w:val="-11"/>
          <w:sz w:val="22"/>
        </w:rPr>
        <w:t> </w:t>
      </w:r>
      <w:r>
        <w:rPr>
          <w:color w:val="333333"/>
          <w:sz w:val="22"/>
        </w:rPr>
        <w:t>proteína</w:t>
      </w:r>
      <w:r>
        <w:rPr>
          <w:color w:val="333333"/>
          <w:spacing w:val="-11"/>
          <w:sz w:val="22"/>
        </w:rPr>
        <w:t> </w:t>
      </w:r>
      <w:r>
        <w:rPr>
          <w:color w:val="333333"/>
          <w:sz w:val="22"/>
        </w:rPr>
        <w:t>más</w:t>
      </w:r>
      <w:r>
        <w:rPr>
          <w:color w:val="333333"/>
          <w:spacing w:val="-14"/>
          <w:sz w:val="22"/>
        </w:rPr>
        <w:t> </w:t>
      </w:r>
      <w:r>
        <w:rPr>
          <w:color w:val="333333"/>
          <w:sz w:val="22"/>
        </w:rPr>
        <w:t>allá</w:t>
      </w:r>
      <w:r>
        <w:rPr>
          <w:color w:val="333333"/>
          <w:spacing w:val="-11"/>
          <w:sz w:val="22"/>
        </w:rPr>
        <w:t> </w:t>
      </w:r>
      <w:r>
        <w:rPr>
          <w:color w:val="333333"/>
          <w:sz w:val="22"/>
        </w:rPr>
        <w:t>del</w:t>
      </w:r>
      <w:r>
        <w:rPr>
          <w:color w:val="333333"/>
          <w:spacing w:val="-12"/>
          <w:sz w:val="22"/>
        </w:rPr>
        <w:t> </w:t>
      </w:r>
      <w:r>
        <w:rPr>
          <w:color w:val="333333"/>
          <w:sz w:val="22"/>
        </w:rPr>
        <w:t>codón</w:t>
      </w:r>
      <w:r>
        <w:rPr>
          <w:color w:val="333333"/>
          <w:spacing w:val="-11"/>
          <w:sz w:val="22"/>
        </w:rPr>
        <w:t> </w:t>
      </w:r>
      <w:r>
        <w:rPr>
          <w:color w:val="333333"/>
          <w:sz w:val="22"/>
        </w:rPr>
        <w:t>normal de finalización de lectura del ARNm durante la infección temprana. Después de que la replicación se ha establecido, la síntesis de proteínas cambia a las proteínas estructurales C,</w:t>
      </w:r>
      <w:r>
        <w:rPr>
          <w:color w:val="333333"/>
          <w:spacing w:val="-14"/>
          <w:sz w:val="22"/>
        </w:rPr>
        <w:t> </w:t>
      </w:r>
      <w:r>
        <w:rPr>
          <w:color w:val="333333"/>
          <w:sz w:val="22"/>
        </w:rPr>
        <w:t>E1,</w:t>
      </w:r>
      <w:r>
        <w:rPr>
          <w:color w:val="333333"/>
          <w:spacing w:val="-14"/>
          <w:sz w:val="22"/>
        </w:rPr>
        <w:t> </w:t>
      </w:r>
      <w:r>
        <w:rPr>
          <w:color w:val="333333"/>
          <w:sz w:val="22"/>
        </w:rPr>
        <w:t>E2,</w:t>
      </w:r>
      <w:r>
        <w:rPr>
          <w:color w:val="333333"/>
          <w:spacing w:val="-14"/>
          <w:sz w:val="22"/>
        </w:rPr>
        <w:t> </w:t>
      </w:r>
      <w:r>
        <w:rPr>
          <w:color w:val="333333"/>
          <w:sz w:val="22"/>
        </w:rPr>
        <w:t>6K</w:t>
      </w:r>
      <w:r>
        <w:rPr>
          <w:color w:val="333333"/>
          <w:spacing w:val="-16"/>
          <w:sz w:val="22"/>
        </w:rPr>
        <w:t> </w:t>
      </w:r>
      <w:r>
        <w:rPr>
          <w:color w:val="333333"/>
          <w:sz w:val="22"/>
        </w:rPr>
        <w:t>y</w:t>
      </w:r>
      <w:r>
        <w:rPr>
          <w:color w:val="333333"/>
          <w:spacing w:val="-17"/>
          <w:sz w:val="22"/>
        </w:rPr>
        <w:t> </w:t>
      </w:r>
      <w:r>
        <w:rPr>
          <w:color w:val="333333"/>
          <w:sz w:val="22"/>
        </w:rPr>
        <w:t>E1.</w:t>
      </w:r>
      <w:r>
        <w:rPr>
          <w:color w:val="333333"/>
          <w:spacing w:val="-14"/>
          <w:sz w:val="22"/>
        </w:rPr>
        <w:t> </w:t>
      </w:r>
      <w:r>
        <w:rPr>
          <w:color w:val="333333"/>
          <w:sz w:val="22"/>
        </w:rPr>
        <w:t>La</w:t>
      </w:r>
      <w:r>
        <w:rPr>
          <w:color w:val="333333"/>
          <w:spacing w:val="-18"/>
          <w:sz w:val="22"/>
        </w:rPr>
        <w:t> </w:t>
      </w:r>
      <w:r>
        <w:rPr>
          <w:color w:val="333333"/>
          <w:sz w:val="22"/>
        </w:rPr>
        <w:t>proteína</w:t>
      </w:r>
      <w:r>
        <w:rPr>
          <w:color w:val="333333"/>
          <w:spacing w:val="-15"/>
          <w:sz w:val="22"/>
        </w:rPr>
        <w:t> </w:t>
      </w:r>
      <w:r>
        <w:rPr>
          <w:color w:val="333333"/>
          <w:sz w:val="22"/>
        </w:rPr>
        <w:t>C</w:t>
      </w:r>
      <w:r>
        <w:rPr>
          <w:color w:val="333333"/>
          <w:spacing w:val="-16"/>
          <w:sz w:val="22"/>
        </w:rPr>
        <w:t> </w:t>
      </w:r>
      <w:r>
        <w:rPr>
          <w:color w:val="333333"/>
          <w:sz w:val="22"/>
        </w:rPr>
        <w:t>se</w:t>
      </w:r>
      <w:r>
        <w:rPr>
          <w:color w:val="333333"/>
          <w:spacing w:val="-15"/>
          <w:sz w:val="22"/>
        </w:rPr>
        <w:t> </w:t>
      </w:r>
      <w:r>
        <w:rPr>
          <w:color w:val="333333"/>
          <w:sz w:val="22"/>
        </w:rPr>
        <w:t>pliega</w:t>
      </w:r>
      <w:r>
        <w:rPr>
          <w:color w:val="333333"/>
          <w:spacing w:val="-15"/>
          <w:sz w:val="22"/>
        </w:rPr>
        <w:t> </w:t>
      </w:r>
      <w:r>
        <w:rPr>
          <w:color w:val="333333"/>
          <w:sz w:val="22"/>
        </w:rPr>
        <w:t>así</w:t>
      </w:r>
      <w:r>
        <w:rPr>
          <w:color w:val="333333"/>
          <w:spacing w:val="-19"/>
          <w:sz w:val="22"/>
        </w:rPr>
        <w:t> </w:t>
      </w:r>
      <w:r>
        <w:rPr>
          <w:color w:val="333333"/>
          <w:sz w:val="22"/>
        </w:rPr>
        <w:t>misma</w:t>
      </w:r>
      <w:r>
        <w:rPr>
          <w:color w:val="333333"/>
          <w:spacing w:val="-15"/>
          <w:sz w:val="22"/>
        </w:rPr>
        <w:t> </w:t>
      </w:r>
      <w:r>
        <w:rPr>
          <w:color w:val="333333"/>
          <w:sz w:val="22"/>
        </w:rPr>
        <w:t>de</w:t>
      </w:r>
      <w:r>
        <w:rPr>
          <w:color w:val="333333"/>
          <w:spacing w:val="-15"/>
          <w:sz w:val="22"/>
        </w:rPr>
        <w:t> </w:t>
      </w:r>
      <w:r>
        <w:rPr>
          <w:color w:val="333333"/>
          <w:sz w:val="22"/>
        </w:rPr>
        <w:t>la</w:t>
      </w:r>
      <w:r>
        <w:rPr>
          <w:color w:val="333333"/>
          <w:spacing w:val="-15"/>
          <w:sz w:val="22"/>
        </w:rPr>
        <w:t> </w:t>
      </w:r>
      <w:r>
        <w:rPr>
          <w:color w:val="333333"/>
          <w:sz w:val="22"/>
        </w:rPr>
        <w:t>poliproteína</w:t>
      </w:r>
      <w:r>
        <w:rPr>
          <w:color w:val="333333"/>
          <w:spacing w:val="-15"/>
          <w:sz w:val="22"/>
        </w:rPr>
        <w:t> </w:t>
      </w:r>
      <w:r>
        <w:rPr>
          <w:color w:val="333333"/>
          <w:sz w:val="22"/>
        </w:rPr>
        <w:t>restante.</w:t>
      </w:r>
      <w:r>
        <w:rPr>
          <w:color w:val="333333"/>
          <w:spacing w:val="-14"/>
          <w:sz w:val="22"/>
        </w:rPr>
        <w:t> </w:t>
      </w:r>
      <w:r>
        <w:rPr>
          <w:color w:val="333333"/>
          <w:sz w:val="22"/>
        </w:rPr>
        <w:t>Solamente E1, E2 y C son encontradas en el virión maduro. En algunos casos, E3 también puede ser asociado con las partículas del virus.</w:t>
      </w:r>
      <w:r>
        <w:rPr>
          <w:color w:val="333333"/>
          <w:spacing w:val="-12"/>
          <w:sz w:val="22"/>
        </w:rPr>
        <w:t> </w:t>
      </w:r>
      <w:r>
        <w:rPr>
          <w:color w:val="333333"/>
          <w:position w:val="8"/>
          <w:sz w:val="14"/>
        </w:rPr>
        <w:t>(34)</w:t>
      </w:r>
    </w:p>
    <w:p>
      <w:pPr>
        <w:pStyle w:val="BodyText"/>
        <w:spacing w:line="360" w:lineRule="auto" w:before="160"/>
        <w:ind w:left="102" w:right="117"/>
        <w:jc w:val="both"/>
      </w:pPr>
      <w:r>
        <w:rPr/>
        <w:t>El virión de los alfavirus es esférico de aproximadamente 60-65 nanómetros (nm) de diámetro, está compuesto por tres proteínas estructurales que rodean una molécula de ARN de cadena sencilla.</w:t>
      </w:r>
    </w:p>
    <w:p>
      <w:pPr>
        <w:pStyle w:val="BodyText"/>
        <w:spacing w:line="360" w:lineRule="auto" w:before="2"/>
        <w:ind w:left="102" w:right="115"/>
        <w:jc w:val="both"/>
        <w:rPr>
          <w:sz w:val="16"/>
        </w:rPr>
      </w:pPr>
      <w:r>
        <w:rPr/>
        <w:t>El genoma de ARN está envuelto en una nucleocápside icosaédrica, que está conformada por múltiples copias de la proteína de la cápside (C). La cápside está rodeada por una envoltura lipídica, que deriva de la membrana plasmática de la célula hospedera, que ha sido previamente modificada por la inserción de dos glicoproteínas virales </w:t>
      </w:r>
      <w:r>
        <w:rPr>
          <w:position w:val="8"/>
          <w:sz w:val="16"/>
        </w:rPr>
        <w:t>(35)</w:t>
      </w:r>
    </w:p>
    <w:p>
      <w:pPr>
        <w:pStyle w:val="BodyText"/>
        <w:spacing w:line="360" w:lineRule="auto" w:before="1"/>
        <w:ind w:left="102" w:right="119"/>
        <w:jc w:val="both"/>
      </w:pPr>
      <w:r>
        <w:rPr/>
        <w:t>Estas glicoproteínas E1 y E2 forman heterodímeros que más adelante se asocian como trímeros para formar pequeñas espículas en la superficie del virión, además son el principal blanco de la respuesta de anticuerpos neutralizantes, y determinan el tropismo y la virulencia.</w:t>
      </w:r>
    </w:p>
    <w:p>
      <w:pPr>
        <w:spacing w:after="0" w:line="360" w:lineRule="auto"/>
        <w:jc w:val="both"/>
        <w:sectPr>
          <w:footerReference w:type="default" r:id="rId11"/>
          <w:pgSz w:w="12240" w:h="15840"/>
          <w:pgMar w:footer="690" w:header="0" w:top="1420" w:bottom="880" w:left="1600" w:right="1580"/>
        </w:sectPr>
      </w:pPr>
    </w:p>
    <w:p>
      <w:pPr>
        <w:tabs>
          <w:tab w:pos="5026" w:val="left" w:leader="none"/>
        </w:tabs>
        <w:spacing w:line="240" w:lineRule="auto"/>
        <w:ind w:left="101" w:right="0" w:firstLine="0"/>
        <w:rPr>
          <w:sz w:val="20"/>
        </w:rPr>
      </w:pPr>
      <w:r>
        <w:rPr>
          <w:sz w:val="20"/>
        </w:rPr>
        <w:drawing>
          <wp:inline distT="0" distB="0" distL="0" distR="0">
            <wp:extent cx="1725887" cy="4276725"/>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4" cstate="print"/>
                    <a:stretch>
                      <a:fillRect/>
                    </a:stretch>
                  </pic:blipFill>
                  <pic:spPr>
                    <a:xfrm>
                      <a:off x="0" y="0"/>
                      <a:ext cx="1725887" cy="4276725"/>
                    </a:xfrm>
                    <a:prstGeom prst="rect">
                      <a:avLst/>
                    </a:prstGeom>
                  </pic:spPr>
                </pic:pic>
              </a:graphicData>
            </a:graphic>
          </wp:inline>
        </w:drawing>
      </w:r>
      <w:r>
        <w:rPr>
          <w:sz w:val="20"/>
        </w:rPr>
      </w:r>
      <w:r>
        <w:rPr>
          <w:sz w:val="20"/>
        </w:rPr>
        <w:tab/>
      </w:r>
      <w:r>
        <w:rPr>
          <w:position w:val="580"/>
          <w:sz w:val="20"/>
        </w:rPr>
        <w:pict>
          <v:shape style="width:214.8pt;height:46.4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40"/>
                    <w:gridCol w:w="1395"/>
                    <w:gridCol w:w="1361"/>
                  </w:tblGrid>
                  <w:tr>
                    <w:trPr>
                      <w:trHeight w:val="336" w:hRule="exact"/>
                    </w:trPr>
                    <w:tc>
                      <w:tcPr>
                        <w:tcW w:w="1540" w:type="dxa"/>
                      </w:tcPr>
                      <w:p>
                        <w:pPr>
                          <w:pStyle w:val="TableParagraph"/>
                          <w:tabs>
                            <w:tab w:pos="982" w:val="left" w:leader="none"/>
                          </w:tabs>
                          <w:spacing w:before="72"/>
                          <w:ind w:left="35"/>
                          <w:rPr>
                            <w:rFonts w:ascii="Arial"/>
                            <w:b/>
                            <w:sz w:val="22"/>
                          </w:rPr>
                        </w:pPr>
                        <w:r>
                          <w:rPr>
                            <w:rFonts w:ascii="Arial"/>
                            <w:b/>
                            <w:sz w:val="22"/>
                          </w:rPr>
                          <w:t>Figura</w:t>
                          <w:tab/>
                          <w:t>3.</w:t>
                        </w:r>
                      </w:p>
                    </w:tc>
                    <w:tc>
                      <w:tcPr>
                        <w:tcW w:w="1395" w:type="dxa"/>
                      </w:tcPr>
                      <w:p>
                        <w:pPr>
                          <w:pStyle w:val="TableParagraph"/>
                          <w:spacing w:before="72"/>
                          <w:ind w:left="148" w:right="105"/>
                          <w:jc w:val="center"/>
                          <w:rPr>
                            <w:rFonts w:ascii="Arial"/>
                            <w:b/>
                            <w:sz w:val="22"/>
                          </w:rPr>
                        </w:pPr>
                        <w:r>
                          <w:rPr>
                            <w:rFonts w:ascii="Arial"/>
                            <w:b/>
                            <w:sz w:val="22"/>
                          </w:rPr>
                          <w:t>Estructura</w:t>
                        </w:r>
                      </w:p>
                    </w:tc>
                    <w:tc>
                      <w:tcPr>
                        <w:tcW w:w="1361" w:type="dxa"/>
                      </w:tcPr>
                      <w:p>
                        <w:pPr>
                          <w:pStyle w:val="TableParagraph"/>
                          <w:tabs>
                            <w:tab w:pos="699" w:val="left" w:leader="none"/>
                          </w:tabs>
                          <w:spacing w:before="72"/>
                          <w:ind w:left="109"/>
                          <w:jc w:val="center"/>
                          <w:rPr>
                            <w:rFonts w:ascii="Arial"/>
                            <w:b/>
                            <w:sz w:val="22"/>
                          </w:rPr>
                        </w:pPr>
                        <w:r>
                          <w:rPr>
                            <w:rFonts w:ascii="Arial"/>
                            <w:b/>
                            <w:sz w:val="22"/>
                          </w:rPr>
                          <w:t>del</w:t>
                          <w:tab/>
                          <w:t>VEEV</w:t>
                        </w:r>
                      </w:p>
                    </w:tc>
                  </w:tr>
                  <w:tr>
                    <w:trPr>
                      <w:trHeight w:val="253" w:hRule="exact"/>
                    </w:trPr>
                    <w:tc>
                      <w:tcPr>
                        <w:tcW w:w="1540" w:type="dxa"/>
                      </w:tcPr>
                      <w:p>
                        <w:pPr>
                          <w:pStyle w:val="TableParagraph"/>
                          <w:spacing w:line="241" w:lineRule="exact"/>
                          <w:ind w:left="35"/>
                          <w:rPr>
                            <w:rFonts w:ascii="Arial"/>
                            <w:b/>
                            <w:sz w:val="22"/>
                          </w:rPr>
                        </w:pPr>
                        <w:r>
                          <w:rPr>
                            <w:rFonts w:ascii="Arial"/>
                            <w:b/>
                            <w:sz w:val="22"/>
                          </w:rPr>
                          <w:t>reconstruida</w:t>
                        </w:r>
                      </w:p>
                    </w:tc>
                    <w:tc>
                      <w:tcPr>
                        <w:tcW w:w="1395" w:type="dxa"/>
                      </w:tcPr>
                      <w:p>
                        <w:pPr>
                          <w:pStyle w:val="TableParagraph"/>
                          <w:spacing w:line="241" w:lineRule="exact"/>
                          <w:ind w:left="63" w:right="105"/>
                          <w:jc w:val="center"/>
                          <w:rPr>
                            <w:rFonts w:ascii="Arial"/>
                            <w:b/>
                            <w:sz w:val="22"/>
                          </w:rPr>
                        </w:pPr>
                        <w:r>
                          <w:rPr>
                            <w:rFonts w:ascii="Arial"/>
                            <w:b/>
                            <w:sz w:val="22"/>
                          </w:rPr>
                          <w:t>mediante</w:t>
                        </w:r>
                      </w:p>
                    </w:tc>
                    <w:tc>
                      <w:tcPr>
                        <w:tcW w:w="1361" w:type="dxa"/>
                      </w:tcPr>
                      <w:p>
                        <w:pPr>
                          <w:pStyle w:val="TableParagraph"/>
                          <w:spacing w:line="241" w:lineRule="exact"/>
                          <w:ind w:left="90"/>
                          <w:jc w:val="center"/>
                          <w:rPr>
                            <w:rFonts w:ascii="Arial" w:hAnsi="Arial"/>
                            <w:b/>
                            <w:sz w:val="22"/>
                          </w:rPr>
                        </w:pPr>
                        <w:r>
                          <w:rPr>
                            <w:rFonts w:ascii="Arial" w:hAnsi="Arial"/>
                            <w:b/>
                            <w:sz w:val="22"/>
                          </w:rPr>
                          <w:t>micrografía</w:t>
                        </w:r>
                      </w:p>
                    </w:tc>
                  </w:tr>
                  <w:tr>
                    <w:trPr>
                      <w:trHeight w:val="338" w:hRule="exact"/>
                    </w:trPr>
                    <w:tc>
                      <w:tcPr>
                        <w:tcW w:w="1540" w:type="dxa"/>
                      </w:tcPr>
                      <w:p>
                        <w:pPr>
                          <w:pStyle w:val="TableParagraph"/>
                          <w:spacing w:line="242" w:lineRule="exact"/>
                          <w:ind w:left="35"/>
                          <w:rPr>
                            <w:rFonts w:ascii="Arial" w:hAnsi="Arial"/>
                            <w:b/>
                            <w:sz w:val="22"/>
                          </w:rPr>
                        </w:pPr>
                        <w:r>
                          <w:rPr>
                            <w:rFonts w:ascii="Arial" w:hAnsi="Arial"/>
                            <w:b/>
                            <w:sz w:val="22"/>
                          </w:rPr>
                          <w:t>electrónica</w:t>
                        </w:r>
                      </w:p>
                    </w:tc>
                    <w:tc>
                      <w:tcPr>
                        <w:tcW w:w="1395" w:type="dxa"/>
                      </w:tcPr>
                      <w:p>
                        <w:pPr/>
                      </w:p>
                    </w:tc>
                    <w:tc>
                      <w:tcPr>
                        <w:tcW w:w="1361" w:type="dxa"/>
                      </w:tcPr>
                      <w:p>
                        <w:pPr/>
                      </w:p>
                    </w:tc>
                  </w:tr>
                </w:tbl>
                <w:p>
                  <w:pPr>
                    <w:pStyle w:val="BodyText"/>
                  </w:pPr>
                </w:p>
              </w:txbxContent>
            </v:textbox>
          </v:shape>
        </w:pict>
      </w:r>
      <w:r>
        <w:rPr>
          <w:position w:val="580"/>
          <w:sz w:val="20"/>
        </w:rPr>
      </w:r>
    </w:p>
    <w:p>
      <w:pPr>
        <w:pStyle w:val="BodyText"/>
        <w:spacing w:line="355" w:lineRule="auto" w:before="119"/>
        <w:ind w:left="102" w:right="600"/>
        <w:jc w:val="both"/>
        <w:rPr>
          <w:sz w:val="16"/>
        </w:rPr>
      </w:pPr>
      <w:r>
        <w:rPr/>
        <w:pict>
          <v:group style="position:absolute;margin-left:325.065002pt;margin-top:-337.119141pt;width:226.95pt;height:253.25pt;mso-position-horizontal-relative:page;mso-position-vertical-relative:paragraph;z-index:-136576" coordorigin="6501,-6742" coordsize="4539,5065">
            <v:rect style="position:absolute;left:6509;top:-6735;width:4524;height:5050" filled="false" stroked="true" strokeweight=".72pt" strokecolor="#000000"/>
            <v:shape style="position:absolute;left:6502;top:-6742;width:4539;height:5064"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4"/>
                      <w:rPr>
                        <w:sz w:val="29"/>
                      </w:rPr>
                    </w:pPr>
                  </w:p>
                  <w:p>
                    <w:pPr>
                      <w:numPr>
                        <w:ilvl w:val="0"/>
                        <w:numId w:val="5"/>
                      </w:numPr>
                      <w:tabs>
                        <w:tab w:pos="434" w:val="left" w:leader="none"/>
                      </w:tabs>
                      <w:spacing w:before="1"/>
                      <w:ind w:left="159" w:right="153" w:firstLine="0"/>
                      <w:jc w:val="both"/>
                      <w:rPr>
                        <w:sz w:val="22"/>
                      </w:rPr>
                    </w:pPr>
                    <w:r>
                      <w:rPr>
                        <w:sz w:val="22"/>
                      </w:rPr>
                      <w:t>Vista</w:t>
                    </w:r>
                    <w:r>
                      <w:rPr>
                        <w:spacing w:val="-15"/>
                        <w:sz w:val="22"/>
                      </w:rPr>
                      <w:t> </w:t>
                    </w:r>
                    <w:r>
                      <w:rPr>
                        <w:sz w:val="22"/>
                      </w:rPr>
                      <w:t>externa</w:t>
                    </w:r>
                    <w:r>
                      <w:rPr>
                        <w:spacing w:val="-14"/>
                        <w:sz w:val="22"/>
                      </w:rPr>
                      <w:t> </w:t>
                    </w:r>
                    <w:r>
                      <w:rPr>
                        <w:sz w:val="22"/>
                      </w:rPr>
                      <w:t>de</w:t>
                    </w:r>
                    <w:r>
                      <w:rPr>
                        <w:spacing w:val="-15"/>
                        <w:sz w:val="22"/>
                      </w:rPr>
                      <w:t> </w:t>
                    </w:r>
                    <w:r>
                      <w:rPr>
                        <w:sz w:val="22"/>
                      </w:rPr>
                      <w:t>la</w:t>
                    </w:r>
                    <w:r>
                      <w:rPr>
                        <w:spacing w:val="-12"/>
                        <w:sz w:val="22"/>
                      </w:rPr>
                      <w:t> </w:t>
                    </w:r>
                    <w:r>
                      <w:rPr>
                        <w:sz w:val="22"/>
                      </w:rPr>
                      <w:t>partícula</w:t>
                    </w:r>
                    <w:r>
                      <w:rPr>
                        <w:spacing w:val="-12"/>
                        <w:sz w:val="22"/>
                      </w:rPr>
                      <w:t> </w:t>
                    </w:r>
                    <w:r>
                      <w:rPr>
                        <w:sz w:val="22"/>
                      </w:rPr>
                      <w:t>viral:</w:t>
                    </w:r>
                    <w:r>
                      <w:rPr>
                        <w:spacing w:val="-11"/>
                        <w:sz w:val="22"/>
                      </w:rPr>
                      <w:t> </w:t>
                    </w:r>
                    <w:r>
                      <w:rPr>
                        <w:sz w:val="22"/>
                      </w:rPr>
                      <w:t>el</w:t>
                    </w:r>
                    <w:r>
                      <w:rPr>
                        <w:spacing w:val="-13"/>
                        <w:sz w:val="22"/>
                      </w:rPr>
                      <w:t> </w:t>
                    </w:r>
                    <w:r>
                      <w:rPr>
                        <w:sz w:val="22"/>
                      </w:rPr>
                      <w:t>color amarillo indica los trímeros externos que conforman las espículas, y el color azul indica la</w:t>
                    </w:r>
                    <w:r>
                      <w:rPr>
                        <w:spacing w:val="-6"/>
                        <w:sz w:val="22"/>
                      </w:rPr>
                      <w:t> </w:t>
                    </w:r>
                    <w:r>
                      <w:rPr>
                        <w:sz w:val="22"/>
                      </w:rPr>
                      <w:t>envoltura.</w:t>
                    </w:r>
                  </w:p>
                  <w:p>
                    <w:pPr>
                      <w:numPr>
                        <w:ilvl w:val="0"/>
                        <w:numId w:val="5"/>
                      </w:numPr>
                      <w:tabs>
                        <w:tab w:pos="510" w:val="left" w:leader="none"/>
                      </w:tabs>
                      <w:spacing w:before="0"/>
                      <w:ind w:left="159" w:right="154" w:firstLine="0"/>
                      <w:jc w:val="both"/>
                      <w:rPr>
                        <w:sz w:val="22"/>
                      </w:rPr>
                    </w:pPr>
                    <w:r>
                      <w:rPr>
                        <w:sz w:val="22"/>
                      </w:rPr>
                      <w:t>Nucleocápside mostrando las proteínas de la cápside en simetría</w:t>
                    </w:r>
                    <w:r>
                      <w:rPr>
                        <w:spacing w:val="-7"/>
                        <w:sz w:val="22"/>
                      </w:rPr>
                      <w:t> </w:t>
                    </w:r>
                    <w:r>
                      <w:rPr>
                        <w:sz w:val="22"/>
                      </w:rPr>
                      <w:t>icosaédrica.</w:t>
                    </w:r>
                  </w:p>
                  <w:p>
                    <w:pPr>
                      <w:numPr>
                        <w:ilvl w:val="0"/>
                        <w:numId w:val="5"/>
                      </w:numPr>
                      <w:tabs>
                        <w:tab w:pos="455" w:val="left" w:leader="none"/>
                      </w:tabs>
                      <w:spacing w:line="252" w:lineRule="exact" w:before="0"/>
                      <w:ind w:left="454" w:right="0" w:hanging="295"/>
                      <w:jc w:val="both"/>
                      <w:rPr>
                        <w:sz w:val="22"/>
                      </w:rPr>
                    </w:pPr>
                    <w:r>
                      <w:rPr>
                        <w:sz w:val="22"/>
                      </w:rPr>
                      <w:t>Corte transversal del</w:t>
                    </w:r>
                    <w:r>
                      <w:rPr>
                        <w:spacing w:val="-15"/>
                        <w:sz w:val="22"/>
                      </w:rPr>
                      <w:t> </w:t>
                    </w:r>
                    <w:r>
                      <w:rPr>
                        <w:sz w:val="22"/>
                      </w:rPr>
                      <w:t>virión;</w:t>
                    </w:r>
                  </w:p>
                  <w:p>
                    <w:pPr>
                      <w:spacing w:line="240" w:lineRule="auto" w:before="0"/>
                      <w:ind w:left="159" w:right="151" w:firstLine="0"/>
                      <w:jc w:val="both"/>
                      <w:rPr>
                        <w:sz w:val="22"/>
                      </w:rPr>
                    </w:pPr>
                    <w:r>
                      <w:rPr>
                        <w:sz w:val="22"/>
                      </w:rPr>
                      <w:t>ARN genómico se muestra en color</w:t>
                    </w:r>
                    <w:r>
                      <w:rPr>
                        <w:spacing w:val="-30"/>
                        <w:sz w:val="22"/>
                      </w:rPr>
                      <w:t> </w:t>
                    </w:r>
                    <w:r>
                      <w:rPr>
                        <w:sz w:val="22"/>
                      </w:rPr>
                      <w:t>blanco, las proteínas de la cápside en color verde, la membrana en rojo y las proteínas de la membrana que comprenden las espículas se muestran en color azul y</w:t>
                    </w:r>
                    <w:r>
                      <w:rPr>
                        <w:spacing w:val="-11"/>
                        <w:sz w:val="22"/>
                      </w:rPr>
                      <w:t> </w:t>
                    </w:r>
                    <w:r>
                      <w:rPr>
                        <w:sz w:val="22"/>
                      </w:rPr>
                      <w:t>amarillo.</w:t>
                    </w:r>
                  </w:p>
                </w:txbxContent>
              </v:textbox>
              <w10:wrap type="none"/>
            </v:shape>
            <w10:wrap type="none"/>
          </v:group>
        </w:pict>
      </w:r>
      <w:r>
        <w:rPr/>
        <w:t>Modificado de Venezuelan Equine Encephalomyelitis Virus Structure and Its Divergence from Old World Alphaviruses </w:t>
      </w:r>
      <w:r>
        <w:rPr>
          <w:position w:val="8"/>
          <w:sz w:val="16"/>
        </w:rPr>
        <w:t>(36)</w:t>
      </w:r>
    </w:p>
    <w:p>
      <w:pPr>
        <w:pStyle w:val="BodyText"/>
        <w:rPr>
          <w:sz w:val="26"/>
        </w:rPr>
      </w:pPr>
    </w:p>
    <w:p>
      <w:pPr>
        <w:pStyle w:val="BodyText"/>
        <w:rPr>
          <w:sz w:val="26"/>
        </w:rPr>
      </w:pPr>
    </w:p>
    <w:p>
      <w:pPr>
        <w:pStyle w:val="BodyText"/>
        <w:spacing w:before="6"/>
        <w:rPr>
          <w:sz w:val="20"/>
        </w:rPr>
      </w:pPr>
    </w:p>
    <w:p>
      <w:pPr>
        <w:pStyle w:val="Heading4"/>
        <w:numPr>
          <w:ilvl w:val="1"/>
          <w:numId w:val="4"/>
        </w:numPr>
        <w:tabs>
          <w:tab w:pos="638" w:val="left" w:leader="none"/>
        </w:tabs>
        <w:spacing w:line="240" w:lineRule="auto" w:before="1" w:after="0"/>
        <w:ind w:left="637" w:right="0" w:hanging="535"/>
        <w:jc w:val="both"/>
      </w:pPr>
      <w:r>
        <w:rPr/>
        <w:t>Replicación</w:t>
      </w:r>
    </w:p>
    <w:p>
      <w:pPr>
        <w:pStyle w:val="BodyText"/>
        <w:rPr>
          <w:b/>
        </w:rPr>
      </w:pPr>
    </w:p>
    <w:p>
      <w:pPr>
        <w:pStyle w:val="BodyText"/>
        <w:rPr>
          <w:b/>
        </w:rPr>
      </w:pPr>
    </w:p>
    <w:p>
      <w:pPr>
        <w:pStyle w:val="BodyText"/>
        <w:spacing w:line="357" w:lineRule="auto"/>
        <w:ind w:left="102" w:right="595"/>
        <w:jc w:val="both"/>
        <w:rPr>
          <w:sz w:val="16"/>
        </w:rPr>
      </w:pPr>
      <w:r>
        <w:rPr/>
        <w:t>El ciclo de la infección es iniciado cuando las espículas de glicoproteína del virion se unen a los receptores de la célula hospedera. Numerosos receptores celulares han sido identificados para los alfavirus, pero no han sido descritos a profundidad, tanto para vertebrados como para mosquitos porque la mayoría son ubicuos y no se</w:t>
      </w:r>
      <w:r>
        <w:rPr>
          <w:spacing w:val="-7"/>
        </w:rPr>
        <w:t> </w:t>
      </w:r>
      <w:r>
        <w:rPr/>
        <w:t>puede</w:t>
      </w:r>
      <w:r>
        <w:rPr>
          <w:spacing w:val="-7"/>
        </w:rPr>
        <w:t> </w:t>
      </w:r>
      <w:r>
        <w:rPr/>
        <w:t>asociar</w:t>
      </w:r>
      <w:r>
        <w:rPr>
          <w:spacing w:val="-8"/>
        </w:rPr>
        <w:t> </w:t>
      </w:r>
      <w:r>
        <w:rPr/>
        <w:t>la</w:t>
      </w:r>
      <w:r>
        <w:rPr>
          <w:spacing w:val="-10"/>
        </w:rPr>
        <w:t> </w:t>
      </w:r>
      <w:r>
        <w:rPr/>
        <w:t>especificidad</w:t>
      </w:r>
      <w:r>
        <w:rPr>
          <w:spacing w:val="-9"/>
        </w:rPr>
        <w:t> </w:t>
      </w:r>
      <w:r>
        <w:rPr/>
        <w:t>de</w:t>
      </w:r>
      <w:r>
        <w:rPr>
          <w:spacing w:val="-7"/>
        </w:rPr>
        <w:t> </w:t>
      </w:r>
      <w:r>
        <w:rPr/>
        <w:t>las</w:t>
      </w:r>
      <w:r>
        <w:rPr>
          <w:spacing w:val="-4"/>
        </w:rPr>
        <w:t> </w:t>
      </w:r>
      <w:r>
        <w:rPr/>
        <w:t>interacciones</w:t>
      </w:r>
      <w:r>
        <w:rPr>
          <w:spacing w:val="-10"/>
        </w:rPr>
        <w:t> </w:t>
      </w:r>
      <w:r>
        <w:rPr/>
        <w:t>virus-</w:t>
      </w:r>
      <w:r>
        <w:rPr>
          <w:spacing w:val="-8"/>
        </w:rPr>
        <w:t> </w:t>
      </w:r>
      <w:r>
        <w:rPr/>
        <w:t>hospedero.</w:t>
      </w:r>
      <w:r>
        <w:rPr>
          <w:spacing w:val="-5"/>
        </w:rPr>
        <w:t> </w:t>
      </w:r>
      <w:r>
        <w:rPr>
          <w:position w:val="8"/>
          <w:sz w:val="16"/>
        </w:rPr>
        <w:t>(1)</w:t>
      </w:r>
      <w:r>
        <w:rPr>
          <w:spacing w:val="14"/>
          <w:position w:val="8"/>
          <w:sz w:val="16"/>
        </w:rPr>
        <w:t> </w:t>
      </w:r>
      <w:r>
        <w:rPr/>
        <w:t>Estudios experimentales en ratones sugieren que la proteína E2 se une a los receptores celulares para la entrada del virus a la célula.</w:t>
      </w:r>
      <w:r>
        <w:rPr>
          <w:spacing w:val="-13"/>
        </w:rPr>
        <w:t> </w:t>
      </w:r>
      <w:r>
        <w:rPr>
          <w:position w:val="8"/>
          <w:sz w:val="16"/>
        </w:rPr>
        <w:t>(37)</w:t>
      </w:r>
    </w:p>
    <w:p>
      <w:pPr>
        <w:spacing w:after="0" w:line="357" w:lineRule="auto"/>
        <w:jc w:val="both"/>
        <w:rPr>
          <w:sz w:val="16"/>
        </w:rPr>
        <w:sectPr>
          <w:footerReference w:type="default" r:id="rId13"/>
          <w:pgSz w:w="12240" w:h="15840"/>
          <w:pgMar w:footer="453" w:header="0" w:top="1420" w:bottom="640" w:left="1600" w:right="1100"/>
        </w:sectPr>
      </w:pPr>
    </w:p>
    <w:p>
      <w:pPr>
        <w:pStyle w:val="BodyText"/>
        <w:spacing w:line="360" w:lineRule="auto" w:before="54"/>
        <w:ind w:left="102" w:right="115"/>
        <w:jc w:val="both"/>
        <w:rPr>
          <w:sz w:val="16"/>
        </w:rPr>
      </w:pPr>
      <w:r>
        <w:rPr/>
        <w:t>El virus se localiza inicialmente en sacos revestidos, donde más tarde es engullido en una vesícula recubierta por clatrina y transportado al compartimento endosomal dentro de la célula. Una disminución en el pH en el interior de la vesículas induce un cambio conformacional en las espículas y una nueva disposición en la glicoproteína</w:t>
      </w:r>
      <w:r>
        <w:rPr>
          <w:spacing w:val="-6"/>
        </w:rPr>
        <w:t> </w:t>
      </w:r>
      <w:r>
        <w:rPr/>
        <w:t>E1</w:t>
      </w:r>
      <w:r>
        <w:rPr>
          <w:spacing w:val="-6"/>
        </w:rPr>
        <w:t> </w:t>
      </w:r>
      <w:r>
        <w:rPr/>
        <w:t>que</w:t>
      </w:r>
      <w:r>
        <w:rPr>
          <w:spacing w:val="-8"/>
        </w:rPr>
        <w:t> </w:t>
      </w:r>
      <w:r>
        <w:rPr/>
        <w:t>se</w:t>
      </w:r>
      <w:r>
        <w:rPr>
          <w:spacing w:val="-6"/>
        </w:rPr>
        <w:t> </w:t>
      </w:r>
      <w:r>
        <w:rPr/>
        <w:t>encarga</w:t>
      </w:r>
      <w:r>
        <w:rPr>
          <w:spacing w:val="-8"/>
        </w:rPr>
        <w:t> </w:t>
      </w:r>
      <w:r>
        <w:rPr/>
        <w:t>de</w:t>
      </w:r>
      <w:r>
        <w:rPr>
          <w:spacing w:val="-8"/>
        </w:rPr>
        <w:t> </w:t>
      </w:r>
      <w:r>
        <w:rPr/>
        <w:t>mediar</w:t>
      </w:r>
      <w:r>
        <w:rPr>
          <w:spacing w:val="-9"/>
        </w:rPr>
        <w:t> </w:t>
      </w:r>
      <w:r>
        <w:rPr/>
        <w:t>la</w:t>
      </w:r>
      <w:r>
        <w:rPr>
          <w:spacing w:val="-11"/>
        </w:rPr>
        <w:t> </w:t>
      </w:r>
      <w:r>
        <w:rPr/>
        <w:t>fusión</w:t>
      </w:r>
      <w:r>
        <w:rPr>
          <w:spacing w:val="-8"/>
        </w:rPr>
        <w:t> </w:t>
      </w:r>
      <w:r>
        <w:rPr/>
        <w:t>de</w:t>
      </w:r>
      <w:r>
        <w:rPr>
          <w:spacing w:val="-8"/>
        </w:rPr>
        <w:t> </w:t>
      </w:r>
      <w:r>
        <w:rPr/>
        <w:t>la</w:t>
      </w:r>
      <w:r>
        <w:rPr>
          <w:spacing w:val="-9"/>
        </w:rPr>
        <w:t> </w:t>
      </w:r>
      <w:r>
        <w:rPr/>
        <w:t>envoltura</w:t>
      </w:r>
      <w:r>
        <w:rPr>
          <w:spacing w:val="-11"/>
        </w:rPr>
        <w:t> </w:t>
      </w:r>
      <w:r>
        <w:rPr/>
        <w:t>del</w:t>
      </w:r>
      <w:r>
        <w:rPr>
          <w:spacing w:val="-7"/>
        </w:rPr>
        <w:t> </w:t>
      </w:r>
      <w:r>
        <w:rPr/>
        <w:t>virión</w:t>
      </w:r>
      <w:r>
        <w:rPr>
          <w:spacing w:val="-6"/>
        </w:rPr>
        <w:t> </w:t>
      </w:r>
      <w:r>
        <w:rPr/>
        <w:t>con</w:t>
      </w:r>
      <w:r>
        <w:rPr>
          <w:spacing w:val="-6"/>
        </w:rPr>
        <w:t> </w:t>
      </w:r>
      <w:r>
        <w:rPr/>
        <w:t>la membrana endosomal. Esta fusión permite la liberación de la nucleocápside en el citoplasma, que al unirse a los ribosomas de la célula hospedera es desintegrada, y libera el ARN para iniciar la traducción.</w:t>
      </w:r>
      <w:r>
        <w:rPr>
          <w:spacing w:val="-6"/>
        </w:rPr>
        <w:t> </w:t>
      </w:r>
      <w:r>
        <w:rPr>
          <w:position w:val="8"/>
          <w:sz w:val="16"/>
        </w:rPr>
        <w:t>(38)</w:t>
      </w:r>
    </w:p>
    <w:p>
      <w:pPr>
        <w:pStyle w:val="BodyText"/>
        <w:spacing w:line="360" w:lineRule="auto"/>
        <w:ind w:left="102" w:right="115"/>
        <w:jc w:val="both"/>
      </w:pPr>
      <w:r>
        <w:rPr/>
        <w:t>La</w:t>
      </w:r>
      <w:r>
        <w:rPr>
          <w:spacing w:val="-9"/>
        </w:rPr>
        <w:t> </w:t>
      </w:r>
      <w:r>
        <w:rPr/>
        <w:t>replicación</w:t>
      </w:r>
      <w:r>
        <w:rPr>
          <w:spacing w:val="-12"/>
        </w:rPr>
        <w:t> </w:t>
      </w:r>
      <w:r>
        <w:rPr/>
        <w:t>del</w:t>
      </w:r>
      <w:r>
        <w:rPr>
          <w:spacing w:val="-11"/>
        </w:rPr>
        <w:t> </w:t>
      </w:r>
      <w:r>
        <w:rPr/>
        <w:t>genoma</w:t>
      </w:r>
      <w:r>
        <w:rPr>
          <w:spacing w:val="-12"/>
        </w:rPr>
        <w:t> </w:t>
      </w:r>
      <w:r>
        <w:rPr/>
        <w:t>de</w:t>
      </w:r>
      <w:r>
        <w:rPr>
          <w:spacing w:val="-9"/>
        </w:rPr>
        <w:t> </w:t>
      </w:r>
      <w:r>
        <w:rPr/>
        <w:t>los</w:t>
      </w:r>
      <w:r>
        <w:rPr>
          <w:spacing w:val="-12"/>
        </w:rPr>
        <w:t> </w:t>
      </w:r>
      <w:r>
        <w:rPr/>
        <w:t>alfavirus</w:t>
      </w:r>
      <w:r>
        <w:rPr>
          <w:spacing w:val="-10"/>
        </w:rPr>
        <w:t> </w:t>
      </w:r>
      <w:r>
        <w:rPr/>
        <w:t>tiene</w:t>
      </w:r>
      <w:r>
        <w:rPr>
          <w:spacing w:val="-9"/>
        </w:rPr>
        <w:t> </w:t>
      </w:r>
      <w:r>
        <w:rPr/>
        <w:t>lugar</w:t>
      </w:r>
      <w:r>
        <w:rPr>
          <w:spacing w:val="-11"/>
        </w:rPr>
        <w:t> </w:t>
      </w:r>
      <w:r>
        <w:rPr/>
        <w:t>en</w:t>
      </w:r>
      <w:r>
        <w:rPr>
          <w:spacing w:val="-9"/>
        </w:rPr>
        <w:t> </w:t>
      </w:r>
      <w:r>
        <w:rPr/>
        <w:t>la</w:t>
      </w:r>
      <w:r>
        <w:rPr>
          <w:spacing w:val="-9"/>
        </w:rPr>
        <w:t> </w:t>
      </w:r>
      <w:r>
        <w:rPr/>
        <w:t>superficie</w:t>
      </w:r>
      <w:r>
        <w:rPr>
          <w:spacing w:val="-12"/>
        </w:rPr>
        <w:t> </w:t>
      </w:r>
      <w:r>
        <w:rPr/>
        <w:t>citoplasmática de</w:t>
      </w:r>
      <w:r>
        <w:rPr>
          <w:spacing w:val="-8"/>
        </w:rPr>
        <w:t> </w:t>
      </w:r>
      <w:r>
        <w:rPr/>
        <w:t>los</w:t>
      </w:r>
      <w:r>
        <w:rPr>
          <w:spacing w:val="-9"/>
        </w:rPr>
        <w:t> </w:t>
      </w:r>
      <w:r>
        <w:rPr/>
        <w:t>endosomas,</w:t>
      </w:r>
      <w:r>
        <w:rPr>
          <w:spacing w:val="-9"/>
        </w:rPr>
        <w:t> </w:t>
      </w:r>
      <w:r>
        <w:rPr/>
        <w:t>donde</w:t>
      </w:r>
      <w:r>
        <w:rPr>
          <w:spacing w:val="-8"/>
        </w:rPr>
        <w:t> </w:t>
      </w:r>
      <w:r>
        <w:rPr/>
        <w:t>el</w:t>
      </w:r>
      <w:r>
        <w:rPr>
          <w:spacing w:val="-10"/>
        </w:rPr>
        <w:t> </w:t>
      </w:r>
      <w:r>
        <w:rPr/>
        <w:t>ARN</w:t>
      </w:r>
      <w:r>
        <w:rPr>
          <w:spacing w:val="-10"/>
        </w:rPr>
        <w:t> </w:t>
      </w:r>
      <w:r>
        <w:rPr/>
        <w:t>genómico</w:t>
      </w:r>
      <w:r>
        <w:rPr>
          <w:spacing w:val="-11"/>
        </w:rPr>
        <w:t> </w:t>
      </w:r>
      <w:r>
        <w:rPr/>
        <w:t>actúa</w:t>
      </w:r>
      <w:r>
        <w:rPr>
          <w:spacing w:val="-8"/>
        </w:rPr>
        <w:t> </w:t>
      </w:r>
      <w:r>
        <w:rPr/>
        <w:t>como</w:t>
      </w:r>
      <w:r>
        <w:rPr>
          <w:spacing w:val="-8"/>
        </w:rPr>
        <w:t> </w:t>
      </w:r>
      <w:r>
        <w:rPr/>
        <w:t>mensajero</w:t>
      </w:r>
      <w:r>
        <w:rPr>
          <w:spacing w:val="-11"/>
        </w:rPr>
        <w:t> </w:t>
      </w:r>
      <w:r>
        <w:rPr/>
        <w:t>(ARNm)</w:t>
      </w:r>
      <w:r>
        <w:rPr>
          <w:spacing w:val="-10"/>
        </w:rPr>
        <w:t> </w:t>
      </w:r>
      <w:r>
        <w:rPr/>
        <w:t>para</w:t>
      </w:r>
      <w:r>
        <w:rPr>
          <w:spacing w:val="-9"/>
        </w:rPr>
        <w:t> </w:t>
      </w:r>
      <w:r>
        <w:rPr/>
        <w:t>la traducción de las proteínas no estructurales del virus y como molde para la</w:t>
      </w:r>
      <w:r>
        <w:rPr>
          <w:spacing w:val="-42"/>
        </w:rPr>
        <w:t> </w:t>
      </w:r>
      <w:r>
        <w:rPr/>
        <w:t>síntesis de la cadena complementaria del genoma viral, esta cadena complementaria sirve como molde para la síntesis del ARN genómico y</w:t>
      </w:r>
      <w:r>
        <w:rPr>
          <w:spacing w:val="-14"/>
        </w:rPr>
        <w:t> </w:t>
      </w:r>
      <w:r>
        <w:rPr/>
        <w:t>subgenómico.</w:t>
      </w:r>
    </w:p>
    <w:p>
      <w:pPr>
        <w:pStyle w:val="BodyText"/>
      </w:pPr>
    </w:p>
    <w:p>
      <w:pPr>
        <w:pStyle w:val="BodyText"/>
        <w:spacing w:line="360" w:lineRule="auto" w:before="142"/>
        <w:ind w:left="102" w:right="115"/>
        <w:jc w:val="both"/>
      </w:pPr>
      <w:r>
        <w:rPr/>
        <w:t>Se reconocen dos marcos de lectura abiertos (ORF): el marco de lectura no estructural, que codifica proteínas para la transcripción y replicación del ARN viral, la escisión de las poliproteínas y la caperuza del ARN. El marco de lectura estructural</w:t>
      </w:r>
      <w:r>
        <w:rPr>
          <w:spacing w:val="-10"/>
        </w:rPr>
        <w:t> </w:t>
      </w:r>
      <w:r>
        <w:rPr/>
        <w:t>que</w:t>
      </w:r>
      <w:r>
        <w:rPr>
          <w:spacing w:val="-7"/>
        </w:rPr>
        <w:t> </w:t>
      </w:r>
      <w:r>
        <w:rPr/>
        <w:t>codifica</w:t>
      </w:r>
      <w:r>
        <w:rPr>
          <w:spacing w:val="-7"/>
        </w:rPr>
        <w:t> </w:t>
      </w:r>
      <w:r>
        <w:rPr/>
        <w:t>la</w:t>
      </w:r>
      <w:r>
        <w:rPr>
          <w:spacing w:val="-10"/>
        </w:rPr>
        <w:t> </w:t>
      </w:r>
      <w:r>
        <w:rPr/>
        <w:t>proteína</w:t>
      </w:r>
      <w:r>
        <w:rPr>
          <w:spacing w:val="-9"/>
        </w:rPr>
        <w:t> </w:t>
      </w:r>
      <w:r>
        <w:rPr/>
        <w:t>de</w:t>
      </w:r>
      <w:r>
        <w:rPr>
          <w:spacing w:val="-9"/>
        </w:rPr>
        <w:t> </w:t>
      </w:r>
      <w:r>
        <w:rPr/>
        <w:t>la</w:t>
      </w:r>
      <w:r>
        <w:rPr>
          <w:spacing w:val="-7"/>
        </w:rPr>
        <w:t> </w:t>
      </w:r>
      <w:r>
        <w:rPr/>
        <w:t>cápside</w:t>
      </w:r>
      <w:r>
        <w:rPr>
          <w:spacing w:val="-7"/>
        </w:rPr>
        <w:t> </w:t>
      </w:r>
      <w:r>
        <w:rPr/>
        <w:t>y</w:t>
      </w:r>
      <w:r>
        <w:rPr>
          <w:spacing w:val="-10"/>
        </w:rPr>
        <w:t> </w:t>
      </w:r>
      <w:r>
        <w:rPr/>
        <w:t>las</w:t>
      </w:r>
      <w:r>
        <w:rPr>
          <w:spacing w:val="-7"/>
        </w:rPr>
        <w:t> </w:t>
      </w:r>
      <w:r>
        <w:rPr/>
        <w:t>glicoproteínas</w:t>
      </w:r>
      <w:r>
        <w:rPr>
          <w:spacing w:val="-8"/>
        </w:rPr>
        <w:t> </w:t>
      </w:r>
      <w:r>
        <w:rPr/>
        <w:t>de</w:t>
      </w:r>
      <w:r>
        <w:rPr>
          <w:spacing w:val="-9"/>
        </w:rPr>
        <w:t> </w:t>
      </w:r>
      <w:r>
        <w:rPr/>
        <w:t>la</w:t>
      </w:r>
      <w:r>
        <w:rPr>
          <w:spacing w:val="-10"/>
        </w:rPr>
        <w:t> </w:t>
      </w:r>
      <w:r>
        <w:rPr/>
        <w:t>envoltura (E1 y</w:t>
      </w:r>
      <w:r>
        <w:rPr>
          <w:spacing w:val="-3"/>
        </w:rPr>
        <w:t> </w:t>
      </w:r>
      <w:r>
        <w:rPr/>
        <w:t>E2).</w:t>
      </w:r>
    </w:p>
    <w:p>
      <w:pPr>
        <w:spacing w:after="0" w:line="360" w:lineRule="auto"/>
        <w:jc w:val="both"/>
        <w:sectPr>
          <w:footerReference w:type="default" r:id="rId15"/>
          <w:pgSz w:w="12240" w:h="15840"/>
          <w:pgMar w:footer="1118" w:header="0" w:top="1360" w:bottom="1300" w:left="1600" w:right="1580"/>
        </w:sectPr>
      </w:pPr>
    </w:p>
    <w:p>
      <w:pPr>
        <w:pStyle w:val="BodyText"/>
        <w:ind w:left="701"/>
        <w:rPr>
          <w:sz w:val="20"/>
        </w:rPr>
      </w:pPr>
      <w:r>
        <w:rPr>
          <w:sz w:val="20"/>
        </w:rPr>
        <w:drawing>
          <wp:inline distT="0" distB="0" distL="0" distR="0">
            <wp:extent cx="5742200" cy="4179951"/>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7" cstate="print"/>
                    <a:stretch>
                      <a:fillRect/>
                    </a:stretch>
                  </pic:blipFill>
                  <pic:spPr>
                    <a:xfrm>
                      <a:off x="0" y="0"/>
                      <a:ext cx="5742200" cy="417995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5"/>
        <w:rPr>
          <w:sz w:val="19"/>
        </w:rPr>
      </w:pPr>
      <w:r>
        <w:rPr/>
        <w:pict>
          <v:shape style="position:absolute;margin-left:55.200001pt;margin-top:13.55293pt;width:501.6pt;height:164.55pt;mso-position-horizontal-relative:page;mso-position-vertical-relative:paragraph;z-index:1144;mso-wrap-distance-left:0;mso-wrap-distance-right:0" type="#_x0000_t202" filled="false" stroked="true" strokeweight=".72pt" strokecolor="#000000">
            <v:textbox inset="0,0,0,0">
              <w:txbxContent>
                <w:p>
                  <w:pPr>
                    <w:spacing w:before="68"/>
                    <w:ind w:left="141" w:right="142" w:firstLine="0"/>
                    <w:jc w:val="both"/>
                    <w:rPr>
                      <w:sz w:val="18"/>
                    </w:rPr>
                  </w:pPr>
                  <w:r>
                    <w:rPr>
                      <w:b/>
                      <w:sz w:val="22"/>
                    </w:rPr>
                    <w:t>Figura 4. Replicación de los alfavirus</w:t>
                  </w:r>
                  <w:r>
                    <w:rPr>
                      <w:sz w:val="22"/>
                    </w:rPr>
                    <w:t>: 1) el virus se une a la célula hospedera mediante las glicoproteínas de la envoltura. 2) se lleva a cabo la internalización mediante endocitosis; 3) la membrana endosomal y vírica se fusionan; 4) la nucleocápside desnuda libera el ARN viral 7) inicia la traducción; 8) las proteínas no estructurales son traducidas y fragmentadas para formar el complejo replicativo necesario para la síntesis del ARN complementario de sentido negativo 10) el precursor subgenómico 26 S participa en la 11) traducción de las proteínas estructurales para producir las proteínas de la cápside y la envoltura, que son modificadas en la vía secretoria previo a la inserción en la membrana de la célula hospedera; 12) empaquetamiento de ARN genómico con las proteínas de la cápside en los núcleos de la nucleocápside; 13) la nucleocápside se asocia con las glicoproteínas de la envoltura: 14) ensamblaje viral. Adaptado de Tsai et al</w:t>
                  </w:r>
                  <w:r>
                    <w:rPr>
                      <w:sz w:val="18"/>
                    </w:rPr>
                    <w:t>.</w:t>
                  </w:r>
                </w:p>
              </w:txbxContent>
            </v:textbox>
            <w10:wrap type="topAndBottom"/>
          </v:shape>
        </w:pict>
      </w:r>
    </w:p>
    <w:p>
      <w:pPr>
        <w:pStyle w:val="BodyText"/>
        <w:rPr>
          <w:sz w:val="20"/>
        </w:rPr>
      </w:pPr>
    </w:p>
    <w:p>
      <w:pPr>
        <w:pStyle w:val="BodyText"/>
        <w:spacing w:before="5"/>
        <w:rPr>
          <w:sz w:val="16"/>
        </w:rPr>
      </w:pPr>
    </w:p>
    <w:p>
      <w:pPr>
        <w:pStyle w:val="BodyText"/>
        <w:spacing w:line="360" w:lineRule="auto" w:before="69"/>
        <w:ind w:left="702" w:right="696"/>
        <w:jc w:val="both"/>
      </w:pPr>
      <w:r>
        <w:rPr/>
        <w:t>Para el ensamblaje de nuevas partículas virales, una molécula de ARN genómico interactúa con 240 copias de la proteína de la cápside en el citoplasma de la célula para generar la nucleocápside. El dominio citoplasmático de la glicoproteína E2 interactúa con la nucleocápside para promover el ensamblaje del virus en la</w:t>
      </w:r>
    </w:p>
    <w:p>
      <w:pPr>
        <w:spacing w:after="0" w:line="360" w:lineRule="auto"/>
        <w:jc w:val="both"/>
        <w:sectPr>
          <w:footerReference w:type="default" r:id="rId16"/>
          <w:pgSz w:w="12240" w:h="15840"/>
          <w:pgMar w:footer="611" w:header="0" w:top="1420" w:bottom="800" w:left="1000" w:right="1000"/>
          <w:pgNumType w:start="7"/>
        </w:sectPr>
      </w:pPr>
    </w:p>
    <w:p>
      <w:pPr>
        <w:pStyle w:val="BodyText"/>
        <w:spacing w:line="360" w:lineRule="auto" w:before="54"/>
        <w:ind w:left="102" w:right="125"/>
        <w:jc w:val="both"/>
        <w:rPr>
          <w:sz w:val="16"/>
        </w:rPr>
      </w:pPr>
      <w:r>
        <w:rPr/>
        <w:t>membrana plasmática. Una vez que las glicoproteínas se unen a la nucleocápside y a la membrana celular, la membrana plasmática se pliega para envolver la partícula viral. Nuevos viriones son liberados de la célula, son capaces de infectar células hospederas susceptibles. </w:t>
      </w:r>
      <w:r>
        <w:rPr>
          <w:position w:val="8"/>
          <w:sz w:val="16"/>
        </w:rPr>
        <w:t>(39)</w:t>
      </w:r>
    </w:p>
    <w:p>
      <w:pPr>
        <w:pStyle w:val="BodyText"/>
        <w:rPr>
          <w:sz w:val="36"/>
        </w:rPr>
      </w:pPr>
    </w:p>
    <w:p>
      <w:pPr>
        <w:pStyle w:val="Heading4"/>
        <w:numPr>
          <w:ilvl w:val="1"/>
          <w:numId w:val="4"/>
        </w:numPr>
        <w:tabs>
          <w:tab w:pos="570" w:val="left" w:leader="none"/>
        </w:tabs>
        <w:spacing w:line="240" w:lineRule="auto" w:before="0" w:after="0"/>
        <w:ind w:left="570" w:right="0" w:hanging="468"/>
        <w:jc w:val="both"/>
      </w:pPr>
      <w:r>
        <w:rPr/>
        <w:t>El complejo de la Encefalitis Equina Venezolana</w:t>
      </w:r>
      <w:r>
        <w:rPr>
          <w:spacing w:val="-10"/>
        </w:rPr>
        <w:t> </w:t>
      </w:r>
      <w:r>
        <w:rPr/>
        <w:t>(EEV)</w:t>
      </w:r>
    </w:p>
    <w:p>
      <w:pPr>
        <w:pStyle w:val="BodyText"/>
        <w:rPr>
          <w:b/>
        </w:rPr>
      </w:pPr>
    </w:p>
    <w:p>
      <w:pPr>
        <w:pStyle w:val="BodyText"/>
        <w:rPr>
          <w:b/>
        </w:rPr>
      </w:pPr>
    </w:p>
    <w:p>
      <w:pPr>
        <w:pStyle w:val="BodyText"/>
        <w:spacing w:line="357" w:lineRule="auto"/>
        <w:ind w:left="102" w:right="116"/>
        <w:jc w:val="both"/>
        <w:rPr>
          <w:sz w:val="16"/>
        </w:rPr>
      </w:pPr>
      <w:r>
        <w:rPr/>
        <w:t>El complejo de la EEV está constituido por seis subtipos serológicos (I-VI), con</w:t>
      </w:r>
      <w:r>
        <w:rPr>
          <w:spacing w:val="-24"/>
        </w:rPr>
        <w:t> </w:t>
      </w:r>
      <w:r>
        <w:rPr/>
        <w:t>tres variantes definidas serológicamente en los tipos I y III. Dentro del subtipo I, hay cinco variantes antigénicas (AB–F) </w:t>
      </w:r>
      <w:r>
        <w:rPr>
          <w:position w:val="8"/>
          <w:sz w:val="16"/>
        </w:rPr>
        <w:t>(41,</w:t>
      </w:r>
      <w:r>
        <w:rPr>
          <w:spacing w:val="-11"/>
          <w:position w:val="8"/>
          <w:sz w:val="16"/>
        </w:rPr>
        <w:t> </w:t>
      </w:r>
      <w:r>
        <w:rPr>
          <w:position w:val="8"/>
          <w:sz w:val="16"/>
        </w:rPr>
        <w:t>42)</w:t>
      </w:r>
    </w:p>
    <w:p>
      <w:pPr>
        <w:pStyle w:val="BodyText"/>
        <w:spacing w:line="360" w:lineRule="auto" w:before="1"/>
        <w:ind w:left="102" w:right="116"/>
        <w:jc w:val="both"/>
        <w:rPr>
          <w:sz w:val="16"/>
        </w:rPr>
      </w:pPr>
      <w:r>
        <w:rPr/>
        <w:t>En</w:t>
      </w:r>
      <w:r>
        <w:rPr>
          <w:spacing w:val="-12"/>
        </w:rPr>
        <w:t> </w:t>
      </w:r>
      <w:r>
        <w:rPr/>
        <w:t>un</w:t>
      </w:r>
      <w:r>
        <w:rPr>
          <w:spacing w:val="-12"/>
        </w:rPr>
        <w:t> </w:t>
      </w:r>
      <w:r>
        <w:rPr/>
        <w:t>principio,</w:t>
      </w:r>
      <w:r>
        <w:rPr>
          <w:spacing w:val="-12"/>
        </w:rPr>
        <w:t> </w:t>
      </w:r>
      <w:r>
        <w:rPr/>
        <w:t>los</w:t>
      </w:r>
      <w:r>
        <w:rPr>
          <w:spacing w:val="-12"/>
        </w:rPr>
        <w:t> </w:t>
      </w:r>
      <w:r>
        <w:rPr/>
        <w:t>subtipos</w:t>
      </w:r>
      <w:r>
        <w:rPr>
          <w:spacing w:val="-13"/>
        </w:rPr>
        <w:t> </w:t>
      </w:r>
      <w:r>
        <w:rPr/>
        <w:t>I-A</w:t>
      </w:r>
      <w:r>
        <w:rPr>
          <w:spacing w:val="-14"/>
        </w:rPr>
        <w:t> </w:t>
      </w:r>
      <w:r>
        <w:rPr/>
        <w:t>e</w:t>
      </w:r>
      <w:r>
        <w:rPr>
          <w:spacing w:val="-12"/>
        </w:rPr>
        <w:t> </w:t>
      </w:r>
      <w:r>
        <w:rPr/>
        <w:t>I-B</w:t>
      </w:r>
      <w:r>
        <w:rPr>
          <w:spacing w:val="-14"/>
        </w:rPr>
        <w:t> </w:t>
      </w:r>
      <w:r>
        <w:rPr/>
        <w:t>se</w:t>
      </w:r>
      <w:r>
        <w:rPr>
          <w:spacing w:val="-12"/>
        </w:rPr>
        <w:t> </w:t>
      </w:r>
      <w:r>
        <w:rPr/>
        <w:t>consideraron</w:t>
      </w:r>
      <w:r>
        <w:rPr>
          <w:spacing w:val="-14"/>
        </w:rPr>
        <w:t> </w:t>
      </w:r>
      <w:r>
        <w:rPr/>
        <w:t>como</w:t>
      </w:r>
      <w:r>
        <w:rPr>
          <w:spacing w:val="-12"/>
        </w:rPr>
        <w:t> </w:t>
      </w:r>
      <w:r>
        <w:rPr/>
        <w:t>variantes</w:t>
      </w:r>
      <w:r>
        <w:rPr>
          <w:spacing w:val="-13"/>
        </w:rPr>
        <w:t> </w:t>
      </w:r>
      <w:r>
        <w:rPr/>
        <w:t>distintas,</w:t>
      </w:r>
      <w:r>
        <w:rPr>
          <w:spacing w:val="-12"/>
        </w:rPr>
        <w:t> </w:t>
      </w:r>
      <w:r>
        <w:rPr/>
        <w:t>pero hoy en día se consideran idénticas (I-AB). Las variantes antigénicas I-AB y I-C se reconocen por causar enfermedad severa en humanos y provocar una viremia elevada y muerte en los equinos. En los brotes epizoóticos los equinos son los principales</w:t>
      </w:r>
      <w:r>
        <w:rPr>
          <w:spacing w:val="-10"/>
        </w:rPr>
        <w:t> </w:t>
      </w:r>
      <w:r>
        <w:rPr/>
        <w:t>amplificadores</w:t>
      </w:r>
      <w:r>
        <w:rPr>
          <w:spacing w:val="-8"/>
        </w:rPr>
        <w:t> </w:t>
      </w:r>
      <w:r>
        <w:rPr/>
        <w:t>y</w:t>
      </w:r>
      <w:r>
        <w:rPr>
          <w:spacing w:val="-10"/>
        </w:rPr>
        <w:t> </w:t>
      </w:r>
      <w:r>
        <w:rPr/>
        <w:t>mosquitos</w:t>
      </w:r>
      <w:r>
        <w:rPr>
          <w:spacing w:val="-10"/>
        </w:rPr>
        <w:t> </w:t>
      </w:r>
      <w:r>
        <w:rPr/>
        <w:t>de</w:t>
      </w:r>
      <w:r>
        <w:rPr>
          <w:spacing w:val="-9"/>
        </w:rPr>
        <w:t> </w:t>
      </w:r>
      <w:r>
        <w:rPr/>
        <w:t>diferentes</w:t>
      </w:r>
      <w:r>
        <w:rPr>
          <w:spacing w:val="-8"/>
        </w:rPr>
        <w:t> </w:t>
      </w:r>
      <w:r>
        <w:rPr/>
        <w:t>géneros</w:t>
      </w:r>
      <w:r>
        <w:rPr>
          <w:spacing w:val="-8"/>
        </w:rPr>
        <w:t> </w:t>
      </w:r>
      <w:r>
        <w:rPr/>
        <w:t>(equinofílicos)</w:t>
      </w:r>
      <w:r>
        <w:rPr>
          <w:spacing w:val="-8"/>
        </w:rPr>
        <w:t> </w:t>
      </w:r>
      <w:r>
        <w:rPr/>
        <w:t>son</w:t>
      </w:r>
      <w:r>
        <w:rPr>
          <w:spacing w:val="-7"/>
        </w:rPr>
        <w:t> </w:t>
      </w:r>
      <w:r>
        <w:rPr/>
        <w:t>los transmisores del virus, pero el reservorio primario se desconoce.</w:t>
      </w:r>
      <w:r>
        <w:rPr>
          <w:spacing w:val="-23"/>
        </w:rPr>
        <w:t> </w:t>
      </w:r>
      <w:r>
        <w:rPr>
          <w:position w:val="8"/>
          <w:sz w:val="16"/>
        </w:rPr>
        <w:t>(43)</w:t>
      </w:r>
    </w:p>
    <w:p>
      <w:pPr>
        <w:pStyle w:val="BodyText"/>
        <w:rPr>
          <w:sz w:val="26"/>
        </w:rPr>
      </w:pPr>
    </w:p>
    <w:p>
      <w:pPr>
        <w:pStyle w:val="BodyText"/>
        <w:spacing w:before="9"/>
        <w:rPr>
          <w:sz w:val="23"/>
        </w:rPr>
      </w:pPr>
    </w:p>
    <w:p>
      <w:pPr>
        <w:pStyle w:val="BodyText"/>
        <w:spacing w:line="360" w:lineRule="auto"/>
        <w:ind w:left="102" w:right="123"/>
        <w:jc w:val="both"/>
      </w:pPr>
      <w:r>
        <w:rPr/>
        <w:t>Estos</w:t>
      </w:r>
      <w:r>
        <w:rPr>
          <w:spacing w:val="-15"/>
        </w:rPr>
        <w:t> </w:t>
      </w:r>
      <w:r>
        <w:rPr/>
        <w:t>subtipos</w:t>
      </w:r>
      <w:r>
        <w:rPr>
          <w:spacing w:val="-15"/>
        </w:rPr>
        <w:t> </w:t>
      </w:r>
      <w:r>
        <w:rPr/>
        <w:t>se</w:t>
      </w:r>
      <w:r>
        <w:rPr>
          <w:spacing w:val="-14"/>
        </w:rPr>
        <w:t> </w:t>
      </w:r>
      <w:r>
        <w:rPr/>
        <w:t>denominan</w:t>
      </w:r>
      <w:r>
        <w:rPr>
          <w:spacing w:val="-14"/>
        </w:rPr>
        <w:t> </w:t>
      </w:r>
      <w:r>
        <w:rPr/>
        <w:t>epizoóticos</w:t>
      </w:r>
      <w:r>
        <w:rPr>
          <w:spacing w:val="-17"/>
        </w:rPr>
        <w:t> </w:t>
      </w:r>
      <w:r>
        <w:rPr/>
        <w:t>porque</w:t>
      </w:r>
      <w:r>
        <w:rPr>
          <w:spacing w:val="-14"/>
        </w:rPr>
        <w:t> </w:t>
      </w:r>
      <w:r>
        <w:rPr/>
        <w:t>han</w:t>
      </w:r>
      <w:r>
        <w:rPr>
          <w:spacing w:val="-14"/>
        </w:rPr>
        <w:t> </w:t>
      </w:r>
      <w:r>
        <w:rPr/>
        <w:t>sido</w:t>
      </w:r>
      <w:r>
        <w:rPr>
          <w:spacing w:val="-16"/>
        </w:rPr>
        <w:t> </w:t>
      </w:r>
      <w:r>
        <w:rPr/>
        <w:t>aislados</w:t>
      </w:r>
      <w:r>
        <w:rPr>
          <w:spacing w:val="-17"/>
        </w:rPr>
        <w:t> </w:t>
      </w:r>
      <w:r>
        <w:rPr/>
        <w:t>durante</w:t>
      </w:r>
      <w:r>
        <w:rPr>
          <w:spacing w:val="-14"/>
        </w:rPr>
        <w:t> </w:t>
      </w:r>
      <w:r>
        <w:rPr/>
        <w:t>grandes brotes</w:t>
      </w:r>
      <w:r>
        <w:rPr>
          <w:spacing w:val="-14"/>
        </w:rPr>
        <w:t> </w:t>
      </w:r>
      <w:r>
        <w:rPr/>
        <w:t>que</w:t>
      </w:r>
      <w:r>
        <w:rPr>
          <w:spacing w:val="-13"/>
        </w:rPr>
        <w:t> </w:t>
      </w:r>
      <w:r>
        <w:rPr/>
        <w:t>involucran</w:t>
      </w:r>
      <w:r>
        <w:rPr>
          <w:spacing w:val="-13"/>
        </w:rPr>
        <w:t> </w:t>
      </w:r>
      <w:r>
        <w:rPr/>
        <w:t>cientos</w:t>
      </w:r>
      <w:r>
        <w:rPr>
          <w:spacing w:val="-16"/>
        </w:rPr>
        <w:t> </w:t>
      </w:r>
      <w:r>
        <w:rPr/>
        <w:t>de</w:t>
      </w:r>
      <w:r>
        <w:rPr>
          <w:spacing w:val="-16"/>
        </w:rPr>
        <w:t> </w:t>
      </w:r>
      <w:r>
        <w:rPr/>
        <w:t>miles</w:t>
      </w:r>
      <w:r>
        <w:rPr>
          <w:spacing w:val="-14"/>
        </w:rPr>
        <w:t> </w:t>
      </w:r>
      <w:r>
        <w:rPr/>
        <w:t>de</w:t>
      </w:r>
      <w:r>
        <w:rPr>
          <w:spacing w:val="-13"/>
        </w:rPr>
        <w:t> </w:t>
      </w:r>
      <w:r>
        <w:rPr/>
        <w:t>humanos</w:t>
      </w:r>
      <w:r>
        <w:rPr>
          <w:spacing w:val="-14"/>
        </w:rPr>
        <w:t> </w:t>
      </w:r>
      <w:r>
        <w:rPr/>
        <w:t>y</w:t>
      </w:r>
      <w:r>
        <w:rPr>
          <w:spacing w:val="-16"/>
        </w:rPr>
        <w:t> </w:t>
      </w:r>
      <w:r>
        <w:rPr/>
        <w:t>equinos</w:t>
      </w:r>
      <w:r>
        <w:rPr>
          <w:spacing w:val="-14"/>
        </w:rPr>
        <w:t> </w:t>
      </w:r>
      <w:r>
        <w:rPr/>
        <w:t>con</w:t>
      </w:r>
      <w:r>
        <w:rPr>
          <w:spacing w:val="-13"/>
        </w:rPr>
        <w:t> </w:t>
      </w:r>
      <w:r>
        <w:rPr/>
        <w:t>severa</w:t>
      </w:r>
      <w:r>
        <w:rPr>
          <w:spacing w:val="-14"/>
        </w:rPr>
        <w:t> </w:t>
      </w:r>
      <w:r>
        <w:rPr/>
        <w:t>morbilidad y altas tasas de mortalidad, especialmente en caballos, mulas y</w:t>
      </w:r>
      <w:r>
        <w:rPr>
          <w:spacing w:val="-30"/>
        </w:rPr>
        <w:t> </w:t>
      </w:r>
      <w:r>
        <w:rPr/>
        <w:t>burros.</w:t>
      </w:r>
    </w:p>
    <w:p>
      <w:pPr>
        <w:pStyle w:val="BodyText"/>
        <w:spacing w:line="357" w:lineRule="auto" w:before="163"/>
        <w:ind w:left="102" w:right="121"/>
        <w:jc w:val="both"/>
        <w:rPr>
          <w:sz w:val="16"/>
        </w:rPr>
      </w:pPr>
      <w:r>
        <w:rPr/>
        <w:t>Se</w:t>
      </w:r>
      <w:r>
        <w:rPr>
          <w:spacing w:val="-5"/>
        </w:rPr>
        <w:t> </w:t>
      </w:r>
      <w:r>
        <w:rPr/>
        <w:t>han</w:t>
      </w:r>
      <w:r>
        <w:rPr>
          <w:spacing w:val="-5"/>
        </w:rPr>
        <w:t> </w:t>
      </w:r>
      <w:r>
        <w:rPr/>
        <w:t>aislado</w:t>
      </w:r>
      <w:r>
        <w:rPr>
          <w:spacing w:val="-3"/>
        </w:rPr>
        <w:t> </w:t>
      </w:r>
      <w:r>
        <w:rPr/>
        <w:t>a</w:t>
      </w:r>
      <w:r>
        <w:rPr>
          <w:spacing w:val="-7"/>
        </w:rPr>
        <w:t> </w:t>
      </w:r>
      <w:r>
        <w:rPr/>
        <w:t>partir</w:t>
      </w:r>
      <w:r>
        <w:rPr>
          <w:spacing w:val="-6"/>
        </w:rPr>
        <w:t> </w:t>
      </w:r>
      <w:r>
        <w:rPr/>
        <w:t>de</w:t>
      </w:r>
      <w:r>
        <w:rPr>
          <w:spacing w:val="-5"/>
        </w:rPr>
        <w:t> </w:t>
      </w:r>
      <w:r>
        <w:rPr/>
        <w:t>équidos,</w:t>
      </w:r>
      <w:r>
        <w:rPr>
          <w:spacing w:val="-5"/>
        </w:rPr>
        <w:t> </w:t>
      </w:r>
      <w:r>
        <w:rPr/>
        <w:t>humanos</w:t>
      </w:r>
      <w:r>
        <w:rPr>
          <w:spacing w:val="-8"/>
        </w:rPr>
        <w:t> </w:t>
      </w:r>
      <w:r>
        <w:rPr/>
        <w:t>e</w:t>
      </w:r>
      <w:r>
        <w:rPr>
          <w:spacing w:val="-5"/>
        </w:rPr>
        <w:t> </w:t>
      </w:r>
      <w:r>
        <w:rPr/>
        <w:t>insectos</w:t>
      </w:r>
      <w:r>
        <w:rPr>
          <w:spacing w:val="-5"/>
        </w:rPr>
        <w:t> </w:t>
      </w:r>
      <w:r>
        <w:rPr/>
        <w:t>(principalmente</w:t>
      </w:r>
      <w:r>
        <w:rPr>
          <w:spacing w:val="-7"/>
        </w:rPr>
        <w:t> </w:t>
      </w:r>
      <w:r>
        <w:rPr/>
        <w:t>mosquitos) sólo durante epizootias equinas.</w:t>
      </w:r>
      <w:r>
        <w:rPr>
          <w:spacing w:val="-8"/>
        </w:rPr>
        <w:t> </w:t>
      </w:r>
      <w:r>
        <w:rPr>
          <w:position w:val="8"/>
          <w:sz w:val="16"/>
        </w:rPr>
        <w:t>(44)</w:t>
      </w:r>
    </w:p>
    <w:p>
      <w:pPr>
        <w:pStyle w:val="BodyText"/>
        <w:spacing w:line="360" w:lineRule="auto" w:before="1"/>
        <w:ind w:left="102" w:right="117"/>
        <w:jc w:val="both"/>
        <w:rPr>
          <w:sz w:val="16"/>
        </w:rPr>
      </w:pPr>
      <w:r>
        <w:rPr/>
        <w:t>Las</w:t>
      </w:r>
      <w:r>
        <w:rPr>
          <w:spacing w:val="36"/>
        </w:rPr>
        <w:t> </w:t>
      </w:r>
      <w:r>
        <w:rPr/>
        <w:t>cepas</w:t>
      </w:r>
      <w:r>
        <w:rPr>
          <w:spacing w:val="-17"/>
        </w:rPr>
        <w:t> </w:t>
      </w:r>
      <w:r>
        <w:rPr/>
        <w:t>enzoóticas</w:t>
      </w:r>
      <w:r>
        <w:rPr>
          <w:spacing w:val="-20"/>
        </w:rPr>
        <w:t> </w:t>
      </w:r>
      <w:r>
        <w:rPr/>
        <w:t>pueden</w:t>
      </w:r>
      <w:r>
        <w:rPr>
          <w:spacing w:val="-16"/>
        </w:rPr>
        <w:t> </w:t>
      </w:r>
      <w:r>
        <w:rPr/>
        <w:t>ser</w:t>
      </w:r>
      <w:r>
        <w:rPr>
          <w:spacing w:val="-18"/>
        </w:rPr>
        <w:t> </w:t>
      </w:r>
      <w:r>
        <w:rPr/>
        <w:t>diferenciadas</w:t>
      </w:r>
      <w:r>
        <w:rPr>
          <w:spacing w:val="-15"/>
        </w:rPr>
        <w:t> </w:t>
      </w:r>
      <w:r>
        <w:rPr/>
        <w:t>antigénicamente</w:t>
      </w:r>
      <w:r>
        <w:rPr>
          <w:spacing w:val="-16"/>
        </w:rPr>
        <w:t> </w:t>
      </w:r>
      <w:r>
        <w:rPr/>
        <w:t>no</w:t>
      </w:r>
      <w:r>
        <w:rPr>
          <w:spacing w:val="-19"/>
        </w:rPr>
        <w:t> </w:t>
      </w:r>
      <w:r>
        <w:rPr/>
        <w:t>solo</w:t>
      </w:r>
      <w:r>
        <w:rPr>
          <w:spacing w:val="-14"/>
        </w:rPr>
        <w:t> </w:t>
      </w:r>
      <w:r>
        <w:rPr/>
        <w:t>entre</w:t>
      </w:r>
      <w:r>
        <w:rPr>
          <w:spacing w:val="-17"/>
        </w:rPr>
        <w:t> </w:t>
      </w:r>
      <w:r>
        <w:rPr/>
        <w:t>ellas sino de las cepas epizoóticas, incluyen los subtipos ID- F, II-VI. Generalmente circulan en ciclos selváticos en los que los roedores son considerados como los principales amplificadores. Normalmente, los virus enzoóticos se consideran avirulentos para los equinos, sin embargo en México en los años 1993 y 1996 un tipo enzoótico causó una epizootia limitada en caballos. Estas variantes</w:t>
      </w:r>
      <w:r>
        <w:rPr>
          <w:spacing w:val="-37"/>
        </w:rPr>
        <w:t> </w:t>
      </w:r>
      <w:r>
        <w:rPr/>
        <w:t>enzoóticas pueden desencadenar la enfermedad clínica en el hombre. </w:t>
      </w:r>
      <w:r>
        <w:rPr>
          <w:position w:val="8"/>
          <w:sz w:val="16"/>
        </w:rPr>
        <w:t>(45,</w:t>
      </w:r>
      <w:r>
        <w:rPr>
          <w:spacing w:val="-24"/>
          <w:position w:val="8"/>
          <w:sz w:val="16"/>
        </w:rPr>
        <w:t> </w:t>
      </w:r>
      <w:r>
        <w:rPr>
          <w:position w:val="8"/>
          <w:sz w:val="16"/>
        </w:rPr>
        <w:t>46)</w:t>
      </w:r>
    </w:p>
    <w:p>
      <w:pPr>
        <w:spacing w:after="0" w:line="360" w:lineRule="auto"/>
        <w:jc w:val="both"/>
        <w:rPr>
          <w:sz w:val="16"/>
        </w:rPr>
        <w:sectPr>
          <w:pgSz w:w="12240" w:h="15840"/>
          <w:pgMar w:header="0" w:footer="611" w:top="1360" w:bottom="800" w:left="1600" w:right="1580"/>
        </w:sectPr>
      </w:pPr>
    </w:p>
    <w:p>
      <w:pPr>
        <w:spacing w:before="52"/>
        <w:ind w:left="508" w:right="0" w:firstLine="0"/>
        <w:jc w:val="left"/>
        <w:rPr>
          <w:sz w:val="22"/>
        </w:rPr>
      </w:pPr>
      <w:r>
        <w:rPr>
          <w:b/>
          <w:sz w:val="22"/>
        </w:rPr>
        <w:t>Tabla 1</w:t>
      </w:r>
      <w:r>
        <w:rPr>
          <w:sz w:val="22"/>
        </w:rPr>
        <w:t>. Complejo antigénico del Virus de la Encefalitis Equina Venezolana (Weaver et al. 2004)</w:t>
      </w:r>
    </w:p>
    <w:p>
      <w:pPr>
        <w:pStyle w:val="BodyText"/>
        <w:rPr>
          <w:sz w:val="20"/>
        </w:rPr>
      </w:pPr>
    </w:p>
    <w:p>
      <w:pPr>
        <w:pStyle w:val="BodyText"/>
        <w:rPr>
          <w:sz w:val="20"/>
        </w:rPr>
      </w:pPr>
    </w:p>
    <w:p>
      <w:pPr>
        <w:pStyle w:val="BodyText"/>
        <w:spacing w:before="2"/>
        <w:rPr>
          <w:sz w:val="19"/>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3"/>
        <w:gridCol w:w="1332"/>
        <w:gridCol w:w="1052"/>
        <w:gridCol w:w="1332"/>
        <w:gridCol w:w="1287"/>
        <w:gridCol w:w="1352"/>
        <w:gridCol w:w="1486"/>
        <w:gridCol w:w="1306"/>
      </w:tblGrid>
      <w:tr>
        <w:trPr>
          <w:trHeight w:val="410" w:hRule="exact"/>
        </w:trPr>
        <w:tc>
          <w:tcPr>
            <w:tcW w:w="1003" w:type="dxa"/>
            <w:tcBorders>
              <w:left w:val="nil"/>
              <w:right w:val="nil"/>
            </w:tcBorders>
          </w:tcPr>
          <w:p>
            <w:pPr>
              <w:pStyle w:val="TableParagraph"/>
              <w:spacing w:before="2"/>
              <w:ind w:left="153" w:right="121"/>
              <w:jc w:val="center"/>
              <w:rPr>
                <w:b/>
                <w:sz w:val="16"/>
              </w:rPr>
            </w:pPr>
            <w:r>
              <w:rPr>
                <w:b/>
                <w:color w:val="333333"/>
                <w:sz w:val="16"/>
              </w:rPr>
              <w:t>Subtipo</w:t>
            </w:r>
          </w:p>
        </w:tc>
        <w:tc>
          <w:tcPr>
            <w:tcW w:w="1332" w:type="dxa"/>
            <w:tcBorders>
              <w:left w:val="nil"/>
              <w:right w:val="nil"/>
            </w:tcBorders>
          </w:tcPr>
          <w:p>
            <w:pPr>
              <w:pStyle w:val="TableParagraph"/>
              <w:spacing w:before="2"/>
              <w:ind w:left="121" w:right="73"/>
              <w:jc w:val="center"/>
              <w:rPr>
                <w:b/>
                <w:sz w:val="16"/>
              </w:rPr>
            </w:pPr>
            <w:r>
              <w:rPr>
                <w:b/>
                <w:color w:val="333333"/>
                <w:sz w:val="16"/>
              </w:rPr>
              <w:t>Especies</w:t>
            </w:r>
          </w:p>
        </w:tc>
        <w:tc>
          <w:tcPr>
            <w:tcW w:w="1052" w:type="dxa"/>
            <w:tcBorders>
              <w:left w:val="nil"/>
              <w:right w:val="nil"/>
            </w:tcBorders>
          </w:tcPr>
          <w:p>
            <w:pPr>
              <w:pStyle w:val="TableParagraph"/>
              <w:spacing w:before="2"/>
              <w:ind w:left="110" w:right="101"/>
              <w:jc w:val="center"/>
              <w:rPr>
                <w:b/>
                <w:sz w:val="16"/>
              </w:rPr>
            </w:pPr>
            <w:r>
              <w:rPr>
                <w:b/>
                <w:color w:val="333333"/>
                <w:sz w:val="16"/>
              </w:rPr>
              <w:t>Variedad</w:t>
            </w:r>
          </w:p>
        </w:tc>
        <w:tc>
          <w:tcPr>
            <w:tcW w:w="1332" w:type="dxa"/>
            <w:tcBorders>
              <w:left w:val="nil"/>
              <w:right w:val="nil"/>
            </w:tcBorders>
          </w:tcPr>
          <w:p>
            <w:pPr>
              <w:pStyle w:val="TableParagraph"/>
              <w:spacing w:before="2"/>
              <w:ind w:left="120" w:right="126" w:firstLine="96"/>
              <w:rPr>
                <w:b/>
                <w:sz w:val="16"/>
              </w:rPr>
            </w:pPr>
            <w:r>
              <w:rPr>
                <w:b/>
                <w:color w:val="333333"/>
                <w:sz w:val="16"/>
              </w:rPr>
              <w:t>Patrón de transmisión</w:t>
            </w:r>
          </w:p>
        </w:tc>
        <w:tc>
          <w:tcPr>
            <w:tcW w:w="1287" w:type="dxa"/>
            <w:tcBorders>
              <w:left w:val="nil"/>
              <w:right w:val="nil"/>
            </w:tcBorders>
          </w:tcPr>
          <w:p>
            <w:pPr>
              <w:pStyle w:val="TableParagraph"/>
              <w:spacing w:before="2"/>
              <w:ind w:left="156" w:right="130" w:firstLine="40"/>
              <w:rPr>
                <w:b/>
                <w:sz w:val="16"/>
              </w:rPr>
            </w:pPr>
            <w:r>
              <w:rPr>
                <w:b/>
                <w:color w:val="333333"/>
                <w:sz w:val="16"/>
              </w:rPr>
              <w:t>Virulencia en equinos</w:t>
            </w:r>
          </w:p>
        </w:tc>
        <w:tc>
          <w:tcPr>
            <w:tcW w:w="1352" w:type="dxa"/>
            <w:tcBorders>
              <w:left w:val="nil"/>
              <w:right w:val="nil"/>
            </w:tcBorders>
          </w:tcPr>
          <w:p>
            <w:pPr>
              <w:pStyle w:val="TableParagraph"/>
              <w:spacing w:before="2"/>
              <w:ind w:left="135" w:right="99" w:firstLine="7"/>
              <w:rPr>
                <w:b/>
                <w:sz w:val="16"/>
              </w:rPr>
            </w:pPr>
            <w:r>
              <w:rPr>
                <w:b/>
                <w:color w:val="333333"/>
                <w:sz w:val="16"/>
              </w:rPr>
              <w:t>Enfermedad en humanos</w:t>
            </w:r>
          </w:p>
        </w:tc>
        <w:tc>
          <w:tcPr>
            <w:tcW w:w="1486" w:type="dxa"/>
            <w:tcBorders>
              <w:left w:val="nil"/>
              <w:right w:val="nil"/>
            </w:tcBorders>
          </w:tcPr>
          <w:p>
            <w:pPr>
              <w:pStyle w:val="TableParagraph"/>
              <w:spacing w:before="2"/>
              <w:ind w:left="184" w:right="147"/>
              <w:rPr>
                <w:b/>
                <w:sz w:val="16"/>
              </w:rPr>
            </w:pPr>
            <w:r>
              <w:rPr>
                <w:b/>
                <w:color w:val="333333"/>
                <w:sz w:val="16"/>
              </w:rPr>
              <w:t>Localización</w:t>
            </w:r>
          </w:p>
        </w:tc>
        <w:tc>
          <w:tcPr>
            <w:tcW w:w="1306" w:type="dxa"/>
            <w:tcBorders>
              <w:left w:val="nil"/>
              <w:right w:val="nil"/>
            </w:tcBorders>
          </w:tcPr>
          <w:p>
            <w:pPr>
              <w:pStyle w:val="TableParagraph"/>
              <w:spacing w:before="2"/>
              <w:ind w:left="187" w:right="196"/>
              <w:jc w:val="center"/>
              <w:rPr>
                <w:b/>
                <w:sz w:val="16"/>
              </w:rPr>
            </w:pPr>
            <w:r>
              <w:rPr>
                <w:b/>
                <w:color w:val="333333"/>
                <w:sz w:val="16"/>
              </w:rPr>
              <w:t>Vector</w:t>
            </w:r>
          </w:p>
        </w:tc>
      </w:tr>
      <w:tr>
        <w:trPr>
          <w:trHeight w:val="519" w:hRule="exact"/>
        </w:trPr>
        <w:tc>
          <w:tcPr>
            <w:tcW w:w="1003" w:type="dxa"/>
            <w:tcBorders>
              <w:left w:val="nil"/>
              <w:bottom w:val="nil"/>
              <w:right w:val="nil"/>
            </w:tcBorders>
          </w:tcPr>
          <w:p>
            <w:pPr>
              <w:pStyle w:val="TableParagraph"/>
              <w:spacing w:before="2"/>
              <w:ind w:left="30"/>
              <w:jc w:val="center"/>
              <w:rPr>
                <w:sz w:val="16"/>
              </w:rPr>
            </w:pPr>
            <w:r>
              <w:rPr>
                <w:color w:val="333333"/>
                <w:w w:val="100"/>
                <w:sz w:val="16"/>
              </w:rPr>
              <w:t>I</w:t>
            </w:r>
          </w:p>
        </w:tc>
        <w:tc>
          <w:tcPr>
            <w:tcW w:w="1332" w:type="dxa"/>
            <w:tcBorders>
              <w:left w:val="nil"/>
              <w:bottom w:val="nil"/>
              <w:right w:val="nil"/>
            </w:tcBorders>
          </w:tcPr>
          <w:p>
            <w:pPr>
              <w:pStyle w:val="TableParagraph"/>
              <w:spacing w:before="2"/>
              <w:ind w:left="121" w:right="76"/>
              <w:jc w:val="center"/>
              <w:rPr>
                <w:sz w:val="16"/>
              </w:rPr>
            </w:pPr>
            <w:r>
              <w:rPr>
                <w:color w:val="333333"/>
                <w:sz w:val="16"/>
              </w:rPr>
              <w:t>Virus de EEV</w:t>
            </w:r>
          </w:p>
        </w:tc>
        <w:tc>
          <w:tcPr>
            <w:tcW w:w="1052" w:type="dxa"/>
            <w:tcBorders>
              <w:left w:val="nil"/>
              <w:bottom w:val="nil"/>
              <w:right w:val="nil"/>
            </w:tcBorders>
          </w:tcPr>
          <w:p>
            <w:pPr>
              <w:pStyle w:val="TableParagraph"/>
              <w:spacing w:before="2"/>
              <w:ind w:left="110" w:right="100"/>
              <w:jc w:val="center"/>
              <w:rPr>
                <w:sz w:val="16"/>
              </w:rPr>
            </w:pPr>
            <w:r>
              <w:rPr>
                <w:color w:val="333333"/>
                <w:sz w:val="16"/>
              </w:rPr>
              <w:t>AB</w:t>
            </w:r>
          </w:p>
        </w:tc>
        <w:tc>
          <w:tcPr>
            <w:tcW w:w="1332" w:type="dxa"/>
            <w:tcBorders>
              <w:left w:val="nil"/>
              <w:bottom w:val="nil"/>
              <w:right w:val="nil"/>
            </w:tcBorders>
          </w:tcPr>
          <w:p>
            <w:pPr>
              <w:pStyle w:val="TableParagraph"/>
              <w:spacing w:before="2"/>
              <w:ind w:left="247" w:right="126"/>
              <w:rPr>
                <w:sz w:val="16"/>
              </w:rPr>
            </w:pPr>
            <w:r>
              <w:rPr>
                <w:color w:val="333333"/>
                <w:sz w:val="16"/>
              </w:rPr>
              <w:t>Epizoótico</w:t>
            </w:r>
          </w:p>
        </w:tc>
        <w:tc>
          <w:tcPr>
            <w:tcW w:w="1287" w:type="dxa"/>
            <w:tcBorders>
              <w:left w:val="nil"/>
              <w:bottom w:val="nil"/>
              <w:right w:val="nil"/>
            </w:tcBorders>
          </w:tcPr>
          <w:p>
            <w:pPr>
              <w:pStyle w:val="TableParagraph"/>
              <w:spacing w:before="2"/>
              <w:ind w:left="125" w:right="114"/>
              <w:jc w:val="center"/>
              <w:rPr>
                <w:sz w:val="16"/>
              </w:rPr>
            </w:pPr>
            <w:r>
              <w:rPr>
                <w:color w:val="333333"/>
                <w:sz w:val="16"/>
              </w:rPr>
              <w:t>Si</w:t>
            </w:r>
          </w:p>
        </w:tc>
        <w:tc>
          <w:tcPr>
            <w:tcW w:w="1352" w:type="dxa"/>
            <w:tcBorders>
              <w:left w:val="nil"/>
              <w:bottom w:val="nil"/>
              <w:right w:val="nil"/>
            </w:tcBorders>
          </w:tcPr>
          <w:p>
            <w:pPr>
              <w:pStyle w:val="TableParagraph"/>
              <w:spacing w:before="2"/>
              <w:ind w:left="161" w:right="143"/>
              <w:jc w:val="center"/>
              <w:rPr>
                <w:sz w:val="16"/>
              </w:rPr>
            </w:pPr>
            <w:r>
              <w:rPr>
                <w:color w:val="333333"/>
                <w:sz w:val="16"/>
              </w:rPr>
              <w:t>Si</w:t>
            </w:r>
          </w:p>
        </w:tc>
        <w:tc>
          <w:tcPr>
            <w:tcW w:w="1486" w:type="dxa"/>
            <w:tcBorders>
              <w:left w:val="nil"/>
              <w:bottom w:val="nil"/>
              <w:right w:val="nil"/>
            </w:tcBorders>
          </w:tcPr>
          <w:p>
            <w:pPr>
              <w:pStyle w:val="TableParagraph"/>
              <w:spacing w:before="2"/>
              <w:ind w:left="191" w:right="192"/>
              <w:rPr>
                <w:sz w:val="16"/>
              </w:rPr>
            </w:pPr>
            <w:r>
              <w:rPr>
                <w:color w:val="333333"/>
                <w:sz w:val="16"/>
              </w:rPr>
              <w:t>Centro, Sur y Norteamérica</w:t>
            </w:r>
          </w:p>
        </w:tc>
        <w:tc>
          <w:tcPr>
            <w:tcW w:w="1306" w:type="dxa"/>
            <w:tcBorders>
              <w:left w:val="nil"/>
              <w:bottom w:val="nil"/>
              <w:right w:val="nil"/>
            </w:tcBorders>
          </w:tcPr>
          <w:p>
            <w:pPr>
              <w:pStyle w:val="TableParagraph"/>
              <w:spacing w:before="2"/>
              <w:ind w:left="168" w:right="161" w:firstLine="74"/>
              <w:rPr>
                <w:sz w:val="16"/>
              </w:rPr>
            </w:pPr>
            <w:r>
              <w:rPr>
                <w:color w:val="333333"/>
                <w:sz w:val="16"/>
              </w:rPr>
              <w:t>Mosquitos mamofílicos</w:t>
            </w:r>
          </w:p>
        </w:tc>
      </w:tr>
      <w:tr>
        <w:trPr>
          <w:trHeight w:val="616"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before="100"/>
              <w:ind w:left="86" w:right="110"/>
              <w:jc w:val="center"/>
              <w:rPr>
                <w:sz w:val="16"/>
              </w:rPr>
            </w:pPr>
            <w:r>
              <w:rPr>
                <w:color w:val="333333"/>
                <w:sz w:val="16"/>
              </w:rPr>
              <w:t>Virus de EEV</w:t>
            </w:r>
          </w:p>
        </w:tc>
        <w:tc>
          <w:tcPr>
            <w:tcW w:w="1052" w:type="dxa"/>
            <w:tcBorders>
              <w:top w:val="nil"/>
              <w:left w:val="nil"/>
              <w:bottom w:val="nil"/>
              <w:right w:val="nil"/>
            </w:tcBorders>
          </w:tcPr>
          <w:p>
            <w:pPr>
              <w:pStyle w:val="TableParagraph"/>
              <w:spacing w:before="100"/>
              <w:ind w:left="8"/>
              <w:jc w:val="center"/>
              <w:rPr>
                <w:sz w:val="16"/>
              </w:rPr>
            </w:pPr>
            <w:r>
              <w:rPr>
                <w:color w:val="333333"/>
                <w:w w:val="100"/>
                <w:sz w:val="16"/>
              </w:rPr>
              <w:t>C</w:t>
            </w:r>
          </w:p>
        </w:tc>
        <w:tc>
          <w:tcPr>
            <w:tcW w:w="1332" w:type="dxa"/>
            <w:tcBorders>
              <w:top w:val="nil"/>
              <w:left w:val="nil"/>
              <w:bottom w:val="nil"/>
              <w:right w:val="nil"/>
            </w:tcBorders>
          </w:tcPr>
          <w:p>
            <w:pPr>
              <w:pStyle w:val="TableParagraph"/>
              <w:spacing w:before="100"/>
              <w:ind w:left="247" w:right="126"/>
              <w:rPr>
                <w:sz w:val="16"/>
              </w:rPr>
            </w:pPr>
            <w:r>
              <w:rPr>
                <w:color w:val="333333"/>
                <w:sz w:val="16"/>
              </w:rPr>
              <w:t>Epizoótico</w:t>
            </w:r>
          </w:p>
        </w:tc>
        <w:tc>
          <w:tcPr>
            <w:tcW w:w="1287" w:type="dxa"/>
            <w:tcBorders>
              <w:top w:val="nil"/>
              <w:left w:val="nil"/>
              <w:bottom w:val="nil"/>
              <w:right w:val="nil"/>
            </w:tcBorders>
          </w:tcPr>
          <w:p>
            <w:pPr>
              <w:pStyle w:val="TableParagraph"/>
              <w:spacing w:before="100"/>
              <w:ind w:left="125" w:right="114"/>
              <w:jc w:val="center"/>
              <w:rPr>
                <w:sz w:val="16"/>
              </w:rPr>
            </w:pPr>
            <w:r>
              <w:rPr>
                <w:color w:val="333333"/>
                <w:sz w:val="16"/>
              </w:rPr>
              <w:t>Si</w:t>
            </w:r>
          </w:p>
        </w:tc>
        <w:tc>
          <w:tcPr>
            <w:tcW w:w="1352" w:type="dxa"/>
            <w:tcBorders>
              <w:top w:val="nil"/>
              <w:left w:val="nil"/>
              <w:bottom w:val="nil"/>
              <w:right w:val="nil"/>
            </w:tcBorders>
          </w:tcPr>
          <w:p>
            <w:pPr>
              <w:pStyle w:val="TableParagraph"/>
              <w:spacing w:before="100"/>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100"/>
              <w:ind w:left="258" w:right="147"/>
              <w:rPr>
                <w:sz w:val="16"/>
              </w:rPr>
            </w:pPr>
            <w:r>
              <w:rPr>
                <w:color w:val="333333"/>
                <w:sz w:val="16"/>
              </w:rPr>
              <w:t>Sudamérica</w:t>
            </w:r>
          </w:p>
        </w:tc>
        <w:tc>
          <w:tcPr>
            <w:tcW w:w="1306" w:type="dxa"/>
            <w:tcBorders>
              <w:top w:val="nil"/>
              <w:left w:val="nil"/>
              <w:bottom w:val="nil"/>
              <w:right w:val="nil"/>
            </w:tcBorders>
          </w:tcPr>
          <w:p>
            <w:pPr>
              <w:pStyle w:val="TableParagraph"/>
              <w:spacing w:before="100"/>
              <w:ind w:left="168" w:right="161" w:firstLine="74"/>
              <w:rPr>
                <w:sz w:val="16"/>
              </w:rPr>
            </w:pPr>
            <w:r>
              <w:rPr>
                <w:color w:val="333333"/>
                <w:sz w:val="16"/>
              </w:rPr>
              <w:t>Mosquitos mamofílicos</w:t>
            </w:r>
          </w:p>
        </w:tc>
      </w:tr>
      <w:tr>
        <w:trPr>
          <w:trHeight w:val="1379"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ind w:left="0"/>
              <w:rPr>
                <w:rFonts w:ascii="Arial"/>
                <w:sz w:val="16"/>
              </w:rPr>
            </w:pPr>
          </w:p>
          <w:p>
            <w:pPr>
              <w:pStyle w:val="TableParagraph"/>
              <w:ind w:left="0"/>
              <w:rPr>
                <w:rFonts w:ascii="Arial"/>
                <w:sz w:val="16"/>
              </w:rPr>
            </w:pPr>
          </w:p>
          <w:p>
            <w:pPr>
              <w:pStyle w:val="TableParagraph"/>
              <w:spacing w:before="125"/>
              <w:ind w:left="121" w:right="76"/>
              <w:jc w:val="center"/>
              <w:rPr>
                <w:sz w:val="16"/>
              </w:rPr>
            </w:pPr>
            <w:r>
              <w:rPr>
                <w:color w:val="333333"/>
                <w:sz w:val="16"/>
              </w:rPr>
              <w:t>Virus de EEV</w:t>
            </w:r>
          </w:p>
        </w:tc>
        <w:tc>
          <w:tcPr>
            <w:tcW w:w="1052" w:type="dxa"/>
            <w:tcBorders>
              <w:top w:val="nil"/>
              <w:left w:val="nil"/>
              <w:bottom w:val="nil"/>
              <w:right w:val="nil"/>
            </w:tcBorders>
          </w:tcPr>
          <w:p>
            <w:pPr>
              <w:pStyle w:val="TableParagraph"/>
              <w:spacing w:before="104"/>
              <w:ind w:left="10"/>
              <w:jc w:val="center"/>
              <w:rPr>
                <w:sz w:val="16"/>
              </w:rPr>
            </w:pPr>
            <w:r>
              <w:rPr>
                <w:color w:val="333333"/>
                <w:w w:val="100"/>
                <w:sz w:val="16"/>
              </w:rPr>
              <w:t>D</w:t>
            </w:r>
          </w:p>
        </w:tc>
        <w:tc>
          <w:tcPr>
            <w:tcW w:w="1332" w:type="dxa"/>
            <w:tcBorders>
              <w:top w:val="nil"/>
              <w:left w:val="nil"/>
              <w:bottom w:val="nil"/>
              <w:right w:val="nil"/>
            </w:tcBorders>
          </w:tcPr>
          <w:p>
            <w:pPr>
              <w:pStyle w:val="TableParagraph"/>
              <w:spacing w:before="104"/>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104"/>
              <w:ind w:left="125" w:right="114"/>
              <w:jc w:val="center"/>
              <w:rPr>
                <w:sz w:val="16"/>
              </w:rPr>
            </w:pPr>
            <w:r>
              <w:rPr>
                <w:color w:val="333333"/>
                <w:sz w:val="16"/>
              </w:rPr>
              <w:t>No</w:t>
            </w:r>
          </w:p>
        </w:tc>
        <w:tc>
          <w:tcPr>
            <w:tcW w:w="1352" w:type="dxa"/>
            <w:tcBorders>
              <w:top w:val="nil"/>
              <w:left w:val="nil"/>
              <w:bottom w:val="nil"/>
              <w:right w:val="nil"/>
            </w:tcBorders>
          </w:tcPr>
          <w:p>
            <w:pPr>
              <w:pStyle w:val="TableParagraph"/>
              <w:spacing w:before="104"/>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104"/>
              <w:ind w:left="258" w:right="258" w:firstLine="129"/>
              <w:rPr>
                <w:sz w:val="16"/>
              </w:rPr>
            </w:pPr>
            <w:r>
              <w:rPr>
                <w:color w:val="333333"/>
                <w:sz w:val="16"/>
              </w:rPr>
              <w:t>Centro y Sudamérica</w:t>
            </w:r>
          </w:p>
        </w:tc>
        <w:tc>
          <w:tcPr>
            <w:tcW w:w="1306" w:type="dxa"/>
            <w:tcBorders>
              <w:top w:val="nil"/>
              <w:left w:val="nil"/>
              <w:bottom w:val="nil"/>
              <w:right w:val="nil"/>
            </w:tcBorders>
          </w:tcPr>
          <w:p>
            <w:pPr>
              <w:pStyle w:val="TableParagraph"/>
              <w:spacing w:before="104"/>
              <w:ind w:left="187" w:right="201"/>
              <w:jc w:val="center"/>
              <w:rPr>
                <w:sz w:val="16"/>
              </w:rPr>
            </w:pPr>
            <w:r>
              <w:rPr>
                <w:color w:val="333333"/>
                <w:sz w:val="16"/>
              </w:rPr>
              <w:t>Culex (Cx.) (Mel.) aikenii, vomerifer, pedroi, ademesi.</w:t>
            </w:r>
          </w:p>
        </w:tc>
      </w:tr>
      <w:tr>
        <w:trPr>
          <w:trHeight w:val="611" w:hRule="exact"/>
        </w:trPr>
        <w:tc>
          <w:tcPr>
            <w:tcW w:w="1003" w:type="dxa"/>
            <w:tcBorders>
              <w:top w:val="nil"/>
              <w:left w:val="nil"/>
              <w:bottom w:val="nil"/>
              <w:right w:val="nil"/>
            </w:tcBorders>
          </w:tcPr>
          <w:p>
            <w:pPr/>
          </w:p>
        </w:tc>
        <w:tc>
          <w:tcPr>
            <w:tcW w:w="1332" w:type="dxa"/>
            <w:tcBorders>
              <w:top w:val="nil"/>
              <w:left w:val="nil"/>
              <w:bottom w:val="nil"/>
              <w:right w:val="nil"/>
            </w:tcBorders>
          </w:tcPr>
          <w:p>
            <w:pPr/>
          </w:p>
        </w:tc>
        <w:tc>
          <w:tcPr>
            <w:tcW w:w="1052" w:type="dxa"/>
            <w:tcBorders>
              <w:top w:val="nil"/>
              <w:left w:val="nil"/>
              <w:bottom w:val="nil"/>
              <w:right w:val="nil"/>
            </w:tcBorders>
          </w:tcPr>
          <w:p>
            <w:pPr>
              <w:pStyle w:val="TableParagraph"/>
              <w:spacing w:before="86"/>
              <w:ind w:left="12"/>
              <w:jc w:val="center"/>
              <w:rPr>
                <w:sz w:val="16"/>
              </w:rPr>
            </w:pPr>
            <w:r>
              <w:rPr>
                <w:color w:val="333333"/>
                <w:w w:val="100"/>
                <w:sz w:val="16"/>
              </w:rPr>
              <w:t>E</w:t>
            </w:r>
          </w:p>
        </w:tc>
        <w:tc>
          <w:tcPr>
            <w:tcW w:w="1332" w:type="dxa"/>
            <w:tcBorders>
              <w:top w:val="nil"/>
              <w:left w:val="nil"/>
              <w:bottom w:val="nil"/>
              <w:right w:val="nil"/>
            </w:tcBorders>
          </w:tcPr>
          <w:p>
            <w:pPr>
              <w:pStyle w:val="TableParagraph"/>
              <w:spacing w:before="86"/>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86"/>
              <w:ind w:left="125" w:right="113"/>
              <w:jc w:val="center"/>
              <w:rPr>
                <w:sz w:val="16"/>
              </w:rPr>
            </w:pPr>
            <w:r>
              <w:rPr>
                <w:color w:val="333333"/>
                <w:sz w:val="16"/>
              </w:rPr>
              <w:t>Variable</w:t>
            </w:r>
          </w:p>
        </w:tc>
        <w:tc>
          <w:tcPr>
            <w:tcW w:w="1352" w:type="dxa"/>
            <w:tcBorders>
              <w:top w:val="nil"/>
              <w:left w:val="nil"/>
              <w:bottom w:val="nil"/>
              <w:right w:val="nil"/>
            </w:tcBorders>
          </w:tcPr>
          <w:p>
            <w:pPr>
              <w:pStyle w:val="TableParagraph"/>
              <w:spacing w:before="86"/>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86"/>
              <w:ind w:left="381" w:right="147" w:hanging="238"/>
              <w:rPr>
                <w:sz w:val="16"/>
              </w:rPr>
            </w:pPr>
            <w:r>
              <w:rPr>
                <w:color w:val="333333"/>
                <w:sz w:val="16"/>
              </w:rPr>
              <w:t>Centroamérica y México</w:t>
            </w:r>
          </w:p>
        </w:tc>
        <w:tc>
          <w:tcPr>
            <w:tcW w:w="1306" w:type="dxa"/>
            <w:tcBorders>
              <w:top w:val="nil"/>
              <w:left w:val="nil"/>
              <w:bottom w:val="nil"/>
              <w:right w:val="nil"/>
            </w:tcBorders>
          </w:tcPr>
          <w:p>
            <w:pPr>
              <w:pStyle w:val="TableParagraph"/>
              <w:spacing w:before="86"/>
              <w:ind w:left="254" w:right="250" w:firstLine="84"/>
              <w:rPr>
                <w:sz w:val="16"/>
              </w:rPr>
            </w:pPr>
            <w:r>
              <w:rPr>
                <w:color w:val="333333"/>
                <w:sz w:val="16"/>
              </w:rPr>
              <w:t>Cx(Mel. tanieopus</w:t>
            </w:r>
          </w:p>
        </w:tc>
      </w:tr>
      <w:tr>
        <w:trPr>
          <w:trHeight w:val="625"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before="113"/>
              <w:ind w:left="252" w:right="146" w:hanging="44"/>
              <w:rPr>
                <w:sz w:val="16"/>
              </w:rPr>
            </w:pPr>
            <w:r>
              <w:rPr>
                <w:color w:val="333333"/>
                <w:sz w:val="16"/>
              </w:rPr>
              <w:t>Virus Mosso das Pedras</w:t>
            </w:r>
          </w:p>
        </w:tc>
        <w:tc>
          <w:tcPr>
            <w:tcW w:w="1052" w:type="dxa"/>
            <w:tcBorders>
              <w:top w:val="nil"/>
              <w:left w:val="nil"/>
              <w:bottom w:val="nil"/>
              <w:right w:val="nil"/>
            </w:tcBorders>
          </w:tcPr>
          <w:p>
            <w:pPr>
              <w:pStyle w:val="TableParagraph"/>
              <w:spacing w:before="113"/>
              <w:ind w:left="12"/>
              <w:jc w:val="center"/>
              <w:rPr>
                <w:sz w:val="16"/>
              </w:rPr>
            </w:pPr>
            <w:r>
              <w:rPr>
                <w:color w:val="333333"/>
                <w:w w:val="100"/>
                <w:sz w:val="16"/>
              </w:rPr>
              <w:t>F</w:t>
            </w:r>
          </w:p>
        </w:tc>
        <w:tc>
          <w:tcPr>
            <w:tcW w:w="1332" w:type="dxa"/>
            <w:tcBorders>
              <w:top w:val="nil"/>
              <w:left w:val="nil"/>
              <w:bottom w:val="nil"/>
              <w:right w:val="nil"/>
            </w:tcBorders>
          </w:tcPr>
          <w:p>
            <w:pPr>
              <w:pStyle w:val="TableParagraph"/>
              <w:spacing w:before="113"/>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113"/>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113"/>
              <w:ind w:left="161" w:right="145"/>
              <w:jc w:val="center"/>
              <w:rPr>
                <w:sz w:val="16"/>
              </w:rPr>
            </w:pPr>
            <w:r>
              <w:rPr>
                <w:color w:val="333333"/>
                <w:sz w:val="16"/>
              </w:rPr>
              <w:t>Desconocido</w:t>
            </w:r>
          </w:p>
        </w:tc>
        <w:tc>
          <w:tcPr>
            <w:tcW w:w="1486" w:type="dxa"/>
            <w:tcBorders>
              <w:top w:val="nil"/>
              <w:left w:val="nil"/>
              <w:bottom w:val="nil"/>
              <w:right w:val="nil"/>
            </w:tcBorders>
          </w:tcPr>
          <w:p>
            <w:pPr>
              <w:pStyle w:val="TableParagraph"/>
              <w:spacing w:before="113"/>
              <w:ind w:left="490" w:right="509"/>
              <w:jc w:val="center"/>
              <w:rPr>
                <w:sz w:val="16"/>
              </w:rPr>
            </w:pPr>
            <w:r>
              <w:rPr>
                <w:color w:val="333333"/>
                <w:sz w:val="16"/>
              </w:rPr>
              <w:t>Brasil</w:t>
            </w:r>
          </w:p>
        </w:tc>
        <w:tc>
          <w:tcPr>
            <w:tcW w:w="1306" w:type="dxa"/>
            <w:tcBorders>
              <w:top w:val="nil"/>
              <w:left w:val="nil"/>
              <w:bottom w:val="nil"/>
              <w:right w:val="nil"/>
            </w:tcBorders>
          </w:tcPr>
          <w:p>
            <w:pPr>
              <w:pStyle w:val="TableParagraph"/>
              <w:spacing w:before="113"/>
              <w:ind w:left="123" w:right="136"/>
              <w:jc w:val="center"/>
              <w:rPr>
                <w:sz w:val="16"/>
              </w:rPr>
            </w:pPr>
            <w:r>
              <w:rPr>
                <w:color w:val="333333"/>
                <w:sz w:val="16"/>
              </w:rPr>
              <w:t>Desconocido</w:t>
            </w:r>
          </w:p>
        </w:tc>
      </w:tr>
      <w:tr>
        <w:trPr>
          <w:trHeight w:val="607" w:hRule="exact"/>
        </w:trPr>
        <w:tc>
          <w:tcPr>
            <w:tcW w:w="1003" w:type="dxa"/>
            <w:tcBorders>
              <w:top w:val="nil"/>
              <w:left w:val="nil"/>
              <w:bottom w:val="nil"/>
              <w:right w:val="nil"/>
            </w:tcBorders>
          </w:tcPr>
          <w:p>
            <w:pPr>
              <w:pStyle w:val="TableParagraph"/>
              <w:spacing w:before="100"/>
              <w:ind w:left="151" w:right="121"/>
              <w:jc w:val="center"/>
              <w:rPr>
                <w:sz w:val="16"/>
              </w:rPr>
            </w:pPr>
            <w:r>
              <w:rPr>
                <w:color w:val="333333"/>
                <w:sz w:val="16"/>
              </w:rPr>
              <w:t>II</w:t>
            </w:r>
          </w:p>
        </w:tc>
        <w:tc>
          <w:tcPr>
            <w:tcW w:w="1332" w:type="dxa"/>
            <w:tcBorders>
              <w:top w:val="nil"/>
              <w:left w:val="nil"/>
              <w:bottom w:val="nil"/>
              <w:right w:val="nil"/>
            </w:tcBorders>
          </w:tcPr>
          <w:p>
            <w:pPr>
              <w:pStyle w:val="TableParagraph"/>
              <w:spacing w:before="100"/>
              <w:ind w:left="250" w:right="184" w:firstLine="235"/>
              <w:rPr>
                <w:sz w:val="16"/>
              </w:rPr>
            </w:pPr>
            <w:r>
              <w:rPr>
                <w:color w:val="333333"/>
                <w:sz w:val="16"/>
              </w:rPr>
              <w:t>Virus Everglades</w:t>
            </w:r>
          </w:p>
        </w:tc>
        <w:tc>
          <w:tcPr>
            <w:tcW w:w="1052" w:type="dxa"/>
            <w:tcBorders>
              <w:top w:val="nil"/>
              <w:left w:val="nil"/>
              <w:bottom w:val="nil"/>
              <w:right w:val="nil"/>
            </w:tcBorders>
          </w:tcPr>
          <w:p>
            <w:pPr/>
          </w:p>
        </w:tc>
        <w:tc>
          <w:tcPr>
            <w:tcW w:w="1332" w:type="dxa"/>
            <w:tcBorders>
              <w:top w:val="nil"/>
              <w:left w:val="nil"/>
              <w:bottom w:val="nil"/>
              <w:right w:val="nil"/>
            </w:tcBorders>
          </w:tcPr>
          <w:p>
            <w:pPr>
              <w:pStyle w:val="TableParagraph"/>
              <w:spacing w:before="100"/>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100"/>
              <w:ind w:left="125" w:right="114"/>
              <w:jc w:val="center"/>
              <w:rPr>
                <w:sz w:val="16"/>
              </w:rPr>
            </w:pPr>
            <w:r>
              <w:rPr>
                <w:color w:val="333333"/>
                <w:sz w:val="16"/>
              </w:rPr>
              <w:t>No</w:t>
            </w:r>
          </w:p>
        </w:tc>
        <w:tc>
          <w:tcPr>
            <w:tcW w:w="1352" w:type="dxa"/>
            <w:tcBorders>
              <w:top w:val="nil"/>
              <w:left w:val="nil"/>
              <w:bottom w:val="nil"/>
              <w:right w:val="nil"/>
            </w:tcBorders>
          </w:tcPr>
          <w:p>
            <w:pPr>
              <w:pStyle w:val="TableParagraph"/>
              <w:spacing w:before="100"/>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100"/>
              <w:ind w:left="0" w:right="185"/>
              <w:jc w:val="right"/>
              <w:rPr>
                <w:sz w:val="16"/>
              </w:rPr>
            </w:pPr>
            <w:r>
              <w:rPr>
                <w:color w:val="333333"/>
                <w:sz w:val="16"/>
              </w:rPr>
              <w:t>Sur de Florida</w:t>
            </w:r>
          </w:p>
        </w:tc>
        <w:tc>
          <w:tcPr>
            <w:tcW w:w="1306" w:type="dxa"/>
            <w:tcBorders>
              <w:top w:val="nil"/>
              <w:left w:val="nil"/>
              <w:bottom w:val="nil"/>
              <w:right w:val="nil"/>
            </w:tcBorders>
          </w:tcPr>
          <w:p>
            <w:pPr>
              <w:pStyle w:val="TableParagraph"/>
              <w:spacing w:before="100"/>
              <w:ind w:left="348" w:right="270" w:hanging="75"/>
              <w:rPr>
                <w:sz w:val="16"/>
              </w:rPr>
            </w:pPr>
            <w:r>
              <w:rPr>
                <w:color w:val="333333"/>
                <w:sz w:val="16"/>
              </w:rPr>
              <w:t>Cx.(Mel.) cedecei</w:t>
            </w:r>
          </w:p>
        </w:tc>
      </w:tr>
      <w:tr>
        <w:trPr>
          <w:trHeight w:val="593" w:hRule="exact"/>
        </w:trPr>
        <w:tc>
          <w:tcPr>
            <w:tcW w:w="1003" w:type="dxa"/>
            <w:tcBorders>
              <w:top w:val="nil"/>
              <w:left w:val="nil"/>
              <w:bottom w:val="nil"/>
              <w:right w:val="nil"/>
            </w:tcBorders>
          </w:tcPr>
          <w:p>
            <w:pPr>
              <w:pStyle w:val="TableParagraph"/>
              <w:spacing w:before="95"/>
              <w:ind w:left="151" w:right="121"/>
              <w:jc w:val="center"/>
              <w:rPr>
                <w:sz w:val="16"/>
              </w:rPr>
            </w:pPr>
            <w:r>
              <w:rPr>
                <w:color w:val="333333"/>
                <w:sz w:val="16"/>
              </w:rPr>
              <w:t>III</w:t>
            </w:r>
          </w:p>
        </w:tc>
        <w:tc>
          <w:tcPr>
            <w:tcW w:w="1332" w:type="dxa"/>
            <w:tcBorders>
              <w:top w:val="nil"/>
              <w:left w:val="nil"/>
              <w:bottom w:val="nil"/>
              <w:right w:val="nil"/>
            </w:tcBorders>
          </w:tcPr>
          <w:p>
            <w:pPr>
              <w:pStyle w:val="TableParagraph"/>
              <w:spacing w:before="95"/>
              <w:ind w:left="305" w:right="239" w:firstLine="180"/>
              <w:rPr>
                <w:sz w:val="16"/>
              </w:rPr>
            </w:pPr>
            <w:r>
              <w:rPr>
                <w:color w:val="333333"/>
                <w:sz w:val="16"/>
              </w:rPr>
              <w:t>Virus Mucambo</w:t>
            </w:r>
          </w:p>
        </w:tc>
        <w:tc>
          <w:tcPr>
            <w:tcW w:w="1052" w:type="dxa"/>
            <w:tcBorders>
              <w:top w:val="nil"/>
              <w:left w:val="nil"/>
              <w:bottom w:val="nil"/>
              <w:right w:val="nil"/>
            </w:tcBorders>
          </w:tcPr>
          <w:p>
            <w:pPr>
              <w:pStyle w:val="TableParagraph"/>
              <w:spacing w:before="95"/>
              <w:ind w:left="10"/>
              <w:jc w:val="center"/>
              <w:rPr>
                <w:sz w:val="16"/>
              </w:rPr>
            </w:pPr>
            <w:r>
              <w:rPr>
                <w:color w:val="333333"/>
                <w:w w:val="100"/>
                <w:sz w:val="16"/>
              </w:rPr>
              <w:t>A</w:t>
            </w:r>
          </w:p>
        </w:tc>
        <w:tc>
          <w:tcPr>
            <w:tcW w:w="1332" w:type="dxa"/>
            <w:tcBorders>
              <w:top w:val="nil"/>
              <w:left w:val="nil"/>
              <w:bottom w:val="nil"/>
              <w:right w:val="nil"/>
            </w:tcBorders>
          </w:tcPr>
          <w:p>
            <w:pPr>
              <w:pStyle w:val="TableParagraph"/>
              <w:spacing w:before="95"/>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95"/>
              <w:ind w:left="125" w:right="114"/>
              <w:jc w:val="center"/>
              <w:rPr>
                <w:sz w:val="16"/>
              </w:rPr>
            </w:pPr>
            <w:r>
              <w:rPr>
                <w:color w:val="333333"/>
                <w:sz w:val="16"/>
              </w:rPr>
              <w:t>No</w:t>
            </w:r>
          </w:p>
        </w:tc>
        <w:tc>
          <w:tcPr>
            <w:tcW w:w="1352" w:type="dxa"/>
            <w:tcBorders>
              <w:top w:val="nil"/>
              <w:left w:val="nil"/>
              <w:bottom w:val="nil"/>
              <w:right w:val="nil"/>
            </w:tcBorders>
          </w:tcPr>
          <w:p>
            <w:pPr>
              <w:pStyle w:val="TableParagraph"/>
              <w:spacing w:before="95"/>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95"/>
              <w:ind w:left="258" w:right="147"/>
              <w:rPr>
                <w:sz w:val="16"/>
              </w:rPr>
            </w:pPr>
            <w:r>
              <w:rPr>
                <w:color w:val="333333"/>
                <w:sz w:val="16"/>
              </w:rPr>
              <w:t>Sudamérica</w:t>
            </w:r>
          </w:p>
        </w:tc>
        <w:tc>
          <w:tcPr>
            <w:tcW w:w="1306" w:type="dxa"/>
            <w:tcBorders>
              <w:top w:val="nil"/>
              <w:left w:val="nil"/>
              <w:bottom w:val="nil"/>
              <w:right w:val="nil"/>
            </w:tcBorders>
          </w:tcPr>
          <w:p>
            <w:pPr/>
          </w:p>
        </w:tc>
      </w:tr>
      <w:tr>
        <w:trPr>
          <w:trHeight w:val="592"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before="86"/>
              <w:ind w:left="121" w:right="73"/>
              <w:jc w:val="center"/>
              <w:rPr>
                <w:sz w:val="16"/>
              </w:rPr>
            </w:pPr>
            <w:r>
              <w:rPr>
                <w:color w:val="333333"/>
                <w:sz w:val="16"/>
              </w:rPr>
              <w:t>Virus Tonate</w:t>
            </w:r>
          </w:p>
        </w:tc>
        <w:tc>
          <w:tcPr>
            <w:tcW w:w="1052" w:type="dxa"/>
            <w:tcBorders>
              <w:top w:val="nil"/>
              <w:left w:val="nil"/>
              <w:bottom w:val="nil"/>
              <w:right w:val="nil"/>
            </w:tcBorders>
          </w:tcPr>
          <w:p>
            <w:pPr>
              <w:pStyle w:val="TableParagraph"/>
              <w:spacing w:before="86"/>
              <w:ind w:left="11"/>
              <w:jc w:val="center"/>
              <w:rPr>
                <w:sz w:val="16"/>
              </w:rPr>
            </w:pPr>
            <w:r>
              <w:rPr>
                <w:color w:val="333333"/>
                <w:w w:val="100"/>
                <w:sz w:val="16"/>
              </w:rPr>
              <w:t>B</w:t>
            </w:r>
          </w:p>
        </w:tc>
        <w:tc>
          <w:tcPr>
            <w:tcW w:w="1332" w:type="dxa"/>
            <w:tcBorders>
              <w:top w:val="nil"/>
              <w:left w:val="nil"/>
              <w:bottom w:val="nil"/>
              <w:right w:val="nil"/>
            </w:tcBorders>
          </w:tcPr>
          <w:p>
            <w:pPr>
              <w:pStyle w:val="TableParagraph"/>
              <w:spacing w:before="86"/>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86"/>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86"/>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86"/>
              <w:ind w:left="258" w:right="258" w:firstLine="175"/>
              <w:rPr>
                <w:sz w:val="16"/>
              </w:rPr>
            </w:pPr>
            <w:r>
              <w:rPr>
                <w:color w:val="333333"/>
                <w:sz w:val="16"/>
              </w:rPr>
              <w:t>Norte y Sudamérica</w:t>
            </w:r>
          </w:p>
        </w:tc>
        <w:tc>
          <w:tcPr>
            <w:tcW w:w="1306" w:type="dxa"/>
            <w:tcBorders>
              <w:top w:val="nil"/>
              <w:left w:val="nil"/>
              <w:bottom w:val="nil"/>
              <w:right w:val="nil"/>
            </w:tcBorders>
          </w:tcPr>
          <w:p>
            <w:pPr>
              <w:pStyle w:val="TableParagraph"/>
              <w:spacing w:before="86"/>
              <w:ind w:left="338" w:right="286" w:hanging="51"/>
              <w:rPr>
                <w:sz w:val="16"/>
              </w:rPr>
            </w:pPr>
            <w:r>
              <w:rPr>
                <w:color w:val="333333"/>
                <w:sz w:val="16"/>
              </w:rPr>
              <w:t>Oeciacus vicarius</w:t>
            </w:r>
          </w:p>
        </w:tc>
      </w:tr>
      <w:tr>
        <w:trPr>
          <w:trHeight w:val="601"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before="94"/>
              <w:ind w:left="305" w:right="239" w:firstLine="180"/>
              <w:rPr>
                <w:sz w:val="16"/>
              </w:rPr>
            </w:pPr>
            <w:r>
              <w:rPr>
                <w:color w:val="333333"/>
                <w:sz w:val="16"/>
              </w:rPr>
              <w:t>Virus Mucambo</w:t>
            </w:r>
          </w:p>
        </w:tc>
        <w:tc>
          <w:tcPr>
            <w:tcW w:w="1052" w:type="dxa"/>
            <w:tcBorders>
              <w:top w:val="nil"/>
              <w:left w:val="nil"/>
              <w:bottom w:val="nil"/>
              <w:right w:val="nil"/>
            </w:tcBorders>
          </w:tcPr>
          <w:p>
            <w:pPr>
              <w:pStyle w:val="TableParagraph"/>
              <w:spacing w:before="94"/>
              <w:ind w:left="8"/>
              <w:jc w:val="center"/>
              <w:rPr>
                <w:sz w:val="16"/>
              </w:rPr>
            </w:pPr>
            <w:r>
              <w:rPr>
                <w:color w:val="333333"/>
                <w:w w:val="100"/>
                <w:sz w:val="16"/>
              </w:rPr>
              <w:t>C</w:t>
            </w:r>
          </w:p>
        </w:tc>
        <w:tc>
          <w:tcPr>
            <w:tcW w:w="1332" w:type="dxa"/>
            <w:tcBorders>
              <w:top w:val="nil"/>
              <w:left w:val="nil"/>
              <w:bottom w:val="nil"/>
              <w:right w:val="nil"/>
            </w:tcBorders>
          </w:tcPr>
          <w:p>
            <w:pPr>
              <w:pStyle w:val="TableParagraph"/>
              <w:spacing w:before="94"/>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94"/>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94"/>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94"/>
              <w:ind w:left="0" w:right="139"/>
              <w:jc w:val="right"/>
              <w:rPr>
                <w:sz w:val="16"/>
              </w:rPr>
            </w:pPr>
            <w:r>
              <w:rPr>
                <w:color w:val="333333"/>
                <w:sz w:val="16"/>
              </w:rPr>
              <w:t>Perú occidental</w:t>
            </w:r>
          </w:p>
        </w:tc>
        <w:tc>
          <w:tcPr>
            <w:tcW w:w="1306" w:type="dxa"/>
            <w:tcBorders>
              <w:top w:val="nil"/>
              <w:left w:val="nil"/>
              <w:bottom w:val="nil"/>
              <w:right w:val="nil"/>
            </w:tcBorders>
          </w:tcPr>
          <w:p>
            <w:pPr>
              <w:pStyle w:val="TableParagraph"/>
              <w:spacing w:before="94"/>
              <w:ind w:left="123" w:right="136"/>
              <w:jc w:val="center"/>
              <w:rPr>
                <w:sz w:val="16"/>
              </w:rPr>
            </w:pPr>
            <w:r>
              <w:rPr>
                <w:color w:val="333333"/>
                <w:sz w:val="16"/>
              </w:rPr>
              <w:t>Desconocido</w:t>
            </w:r>
          </w:p>
        </w:tc>
      </w:tr>
      <w:tr>
        <w:trPr>
          <w:trHeight w:val="603"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before="96"/>
              <w:ind w:left="305" w:right="239" w:firstLine="180"/>
              <w:rPr>
                <w:sz w:val="16"/>
              </w:rPr>
            </w:pPr>
            <w:r>
              <w:rPr>
                <w:color w:val="333333"/>
                <w:sz w:val="16"/>
              </w:rPr>
              <w:t>Virus Mucambo</w:t>
            </w:r>
          </w:p>
        </w:tc>
        <w:tc>
          <w:tcPr>
            <w:tcW w:w="1052" w:type="dxa"/>
            <w:tcBorders>
              <w:top w:val="nil"/>
              <w:left w:val="nil"/>
              <w:bottom w:val="nil"/>
              <w:right w:val="nil"/>
            </w:tcBorders>
          </w:tcPr>
          <w:p>
            <w:pPr>
              <w:pStyle w:val="TableParagraph"/>
              <w:spacing w:before="96"/>
              <w:ind w:left="10"/>
              <w:jc w:val="center"/>
              <w:rPr>
                <w:sz w:val="16"/>
              </w:rPr>
            </w:pPr>
            <w:r>
              <w:rPr>
                <w:color w:val="333333"/>
                <w:w w:val="100"/>
                <w:sz w:val="16"/>
              </w:rPr>
              <w:t>D</w:t>
            </w:r>
          </w:p>
        </w:tc>
        <w:tc>
          <w:tcPr>
            <w:tcW w:w="1332" w:type="dxa"/>
            <w:tcBorders>
              <w:top w:val="nil"/>
              <w:left w:val="nil"/>
              <w:bottom w:val="nil"/>
              <w:right w:val="nil"/>
            </w:tcBorders>
          </w:tcPr>
          <w:p>
            <w:pPr>
              <w:pStyle w:val="TableParagraph"/>
              <w:spacing w:before="96"/>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96"/>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96"/>
              <w:ind w:left="161" w:right="143"/>
              <w:jc w:val="center"/>
              <w:rPr>
                <w:sz w:val="16"/>
              </w:rPr>
            </w:pPr>
            <w:r>
              <w:rPr>
                <w:color w:val="333333"/>
                <w:sz w:val="16"/>
              </w:rPr>
              <w:t>Si</w:t>
            </w:r>
          </w:p>
        </w:tc>
        <w:tc>
          <w:tcPr>
            <w:tcW w:w="1486" w:type="dxa"/>
            <w:tcBorders>
              <w:top w:val="nil"/>
              <w:left w:val="nil"/>
              <w:bottom w:val="nil"/>
              <w:right w:val="nil"/>
            </w:tcBorders>
          </w:tcPr>
          <w:p>
            <w:pPr>
              <w:pStyle w:val="TableParagraph"/>
              <w:spacing w:before="96"/>
              <w:ind w:left="0" w:right="139"/>
              <w:jc w:val="right"/>
              <w:rPr>
                <w:sz w:val="16"/>
              </w:rPr>
            </w:pPr>
            <w:r>
              <w:rPr>
                <w:color w:val="333333"/>
                <w:sz w:val="16"/>
              </w:rPr>
              <w:t>Perú occidental</w:t>
            </w:r>
          </w:p>
        </w:tc>
        <w:tc>
          <w:tcPr>
            <w:tcW w:w="1306" w:type="dxa"/>
            <w:tcBorders>
              <w:top w:val="nil"/>
              <w:left w:val="nil"/>
              <w:bottom w:val="nil"/>
              <w:right w:val="nil"/>
            </w:tcBorders>
          </w:tcPr>
          <w:p>
            <w:pPr>
              <w:pStyle w:val="TableParagraph"/>
              <w:spacing w:before="96"/>
              <w:ind w:left="123" w:right="136"/>
              <w:jc w:val="center"/>
              <w:rPr>
                <w:sz w:val="16"/>
              </w:rPr>
            </w:pPr>
            <w:r>
              <w:rPr>
                <w:color w:val="333333"/>
                <w:sz w:val="16"/>
              </w:rPr>
              <w:t>Desconocido</w:t>
            </w:r>
          </w:p>
        </w:tc>
      </w:tr>
      <w:tr>
        <w:trPr>
          <w:trHeight w:val="416" w:hRule="exact"/>
        </w:trPr>
        <w:tc>
          <w:tcPr>
            <w:tcW w:w="1003" w:type="dxa"/>
            <w:tcBorders>
              <w:top w:val="nil"/>
              <w:left w:val="nil"/>
              <w:bottom w:val="nil"/>
              <w:right w:val="nil"/>
            </w:tcBorders>
          </w:tcPr>
          <w:p>
            <w:pPr>
              <w:pStyle w:val="TableParagraph"/>
              <w:spacing w:before="95"/>
              <w:ind w:left="153" w:right="120"/>
              <w:jc w:val="center"/>
              <w:rPr>
                <w:sz w:val="16"/>
              </w:rPr>
            </w:pPr>
            <w:r>
              <w:rPr>
                <w:color w:val="333333"/>
                <w:sz w:val="16"/>
              </w:rPr>
              <w:t>IV</w:t>
            </w:r>
          </w:p>
        </w:tc>
        <w:tc>
          <w:tcPr>
            <w:tcW w:w="1332" w:type="dxa"/>
            <w:tcBorders>
              <w:top w:val="nil"/>
              <w:left w:val="nil"/>
              <w:bottom w:val="nil"/>
              <w:right w:val="nil"/>
            </w:tcBorders>
          </w:tcPr>
          <w:p>
            <w:pPr>
              <w:pStyle w:val="TableParagraph"/>
              <w:spacing w:before="95"/>
              <w:ind w:left="121" w:right="74"/>
              <w:jc w:val="center"/>
              <w:rPr>
                <w:sz w:val="16"/>
              </w:rPr>
            </w:pPr>
            <w:r>
              <w:rPr>
                <w:color w:val="333333"/>
                <w:sz w:val="16"/>
              </w:rPr>
              <w:t>Virus Pixuna</w:t>
            </w:r>
          </w:p>
        </w:tc>
        <w:tc>
          <w:tcPr>
            <w:tcW w:w="1052" w:type="dxa"/>
            <w:tcBorders>
              <w:top w:val="nil"/>
              <w:left w:val="nil"/>
              <w:bottom w:val="nil"/>
              <w:right w:val="nil"/>
            </w:tcBorders>
          </w:tcPr>
          <w:p>
            <w:pPr/>
          </w:p>
        </w:tc>
        <w:tc>
          <w:tcPr>
            <w:tcW w:w="1332" w:type="dxa"/>
            <w:tcBorders>
              <w:top w:val="nil"/>
              <w:left w:val="nil"/>
              <w:bottom w:val="nil"/>
              <w:right w:val="nil"/>
            </w:tcBorders>
          </w:tcPr>
          <w:p>
            <w:pPr>
              <w:pStyle w:val="TableParagraph"/>
              <w:spacing w:before="95"/>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95"/>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95"/>
              <w:ind w:left="161" w:right="145"/>
              <w:jc w:val="center"/>
              <w:rPr>
                <w:sz w:val="16"/>
              </w:rPr>
            </w:pPr>
            <w:r>
              <w:rPr>
                <w:color w:val="333333"/>
                <w:sz w:val="16"/>
              </w:rPr>
              <w:t>Desconocido</w:t>
            </w:r>
          </w:p>
        </w:tc>
        <w:tc>
          <w:tcPr>
            <w:tcW w:w="1486" w:type="dxa"/>
            <w:tcBorders>
              <w:top w:val="nil"/>
              <w:left w:val="nil"/>
              <w:bottom w:val="nil"/>
              <w:right w:val="nil"/>
            </w:tcBorders>
          </w:tcPr>
          <w:p>
            <w:pPr>
              <w:pStyle w:val="TableParagraph"/>
              <w:spacing w:before="95"/>
              <w:ind w:left="490" w:right="509"/>
              <w:jc w:val="center"/>
              <w:rPr>
                <w:sz w:val="16"/>
              </w:rPr>
            </w:pPr>
            <w:r>
              <w:rPr>
                <w:color w:val="333333"/>
                <w:sz w:val="16"/>
              </w:rPr>
              <w:t>Brasil</w:t>
            </w:r>
          </w:p>
        </w:tc>
        <w:tc>
          <w:tcPr>
            <w:tcW w:w="1306" w:type="dxa"/>
            <w:tcBorders>
              <w:top w:val="nil"/>
              <w:left w:val="nil"/>
              <w:bottom w:val="nil"/>
              <w:right w:val="nil"/>
            </w:tcBorders>
          </w:tcPr>
          <w:p>
            <w:pPr>
              <w:pStyle w:val="TableParagraph"/>
              <w:spacing w:before="95"/>
              <w:ind w:left="123" w:right="136"/>
              <w:jc w:val="center"/>
              <w:rPr>
                <w:sz w:val="16"/>
              </w:rPr>
            </w:pPr>
            <w:r>
              <w:rPr>
                <w:color w:val="333333"/>
                <w:sz w:val="16"/>
              </w:rPr>
              <w:t>Desconocido</w:t>
            </w:r>
          </w:p>
        </w:tc>
      </w:tr>
      <w:tr>
        <w:trPr>
          <w:trHeight w:val="311" w:hRule="exact"/>
        </w:trPr>
        <w:tc>
          <w:tcPr>
            <w:tcW w:w="1003" w:type="dxa"/>
            <w:tcBorders>
              <w:top w:val="nil"/>
              <w:left w:val="nil"/>
              <w:bottom w:val="nil"/>
              <w:right w:val="nil"/>
            </w:tcBorders>
          </w:tcPr>
          <w:p>
            <w:pPr>
              <w:pStyle w:val="TableParagraph"/>
              <w:spacing w:before="104"/>
              <w:ind w:left="29"/>
              <w:jc w:val="center"/>
              <w:rPr>
                <w:sz w:val="16"/>
              </w:rPr>
            </w:pPr>
            <w:r>
              <w:rPr>
                <w:color w:val="333333"/>
                <w:w w:val="100"/>
                <w:sz w:val="16"/>
              </w:rPr>
              <w:t>V</w:t>
            </w:r>
          </w:p>
        </w:tc>
        <w:tc>
          <w:tcPr>
            <w:tcW w:w="1332" w:type="dxa"/>
            <w:tcBorders>
              <w:top w:val="nil"/>
              <w:left w:val="nil"/>
              <w:bottom w:val="nil"/>
              <w:right w:val="nil"/>
            </w:tcBorders>
          </w:tcPr>
          <w:p>
            <w:pPr>
              <w:pStyle w:val="TableParagraph"/>
              <w:spacing w:before="104"/>
              <w:ind w:left="121" w:right="75"/>
              <w:jc w:val="center"/>
              <w:rPr>
                <w:sz w:val="16"/>
              </w:rPr>
            </w:pPr>
            <w:r>
              <w:rPr>
                <w:color w:val="333333"/>
                <w:sz w:val="16"/>
              </w:rPr>
              <w:t>Virus</w:t>
            </w:r>
          </w:p>
        </w:tc>
        <w:tc>
          <w:tcPr>
            <w:tcW w:w="1052" w:type="dxa"/>
            <w:tcBorders>
              <w:top w:val="nil"/>
              <w:left w:val="nil"/>
              <w:bottom w:val="nil"/>
              <w:right w:val="nil"/>
            </w:tcBorders>
          </w:tcPr>
          <w:p>
            <w:pPr/>
          </w:p>
        </w:tc>
        <w:tc>
          <w:tcPr>
            <w:tcW w:w="1332" w:type="dxa"/>
            <w:tcBorders>
              <w:top w:val="nil"/>
              <w:left w:val="nil"/>
              <w:bottom w:val="nil"/>
              <w:right w:val="nil"/>
            </w:tcBorders>
          </w:tcPr>
          <w:p>
            <w:pPr>
              <w:pStyle w:val="TableParagraph"/>
              <w:spacing w:before="104"/>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104"/>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104"/>
              <w:ind w:left="161" w:right="145"/>
              <w:jc w:val="center"/>
              <w:rPr>
                <w:sz w:val="16"/>
              </w:rPr>
            </w:pPr>
            <w:r>
              <w:rPr>
                <w:color w:val="333333"/>
                <w:sz w:val="16"/>
              </w:rPr>
              <w:t>Desconocido</w:t>
            </w:r>
          </w:p>
        </w:tc>
        <w:tc>
          <w:tcPr>
            <w:tcW w:w="1486" w:type="dxa"/>
            <w:tcBorders>
              <w:top w:val="nil"/>
              <w:left w:val="nil"/>
              <w:bottom w:val="nil"/>
              <w:right w:val="nil"/>
            </w:tcBorders>
          </w:tcPr>
          <w:p>
            <w:pPr>
              <w:pStyle w:val="TableParagraph"/>
              <w:spacing w:before="104"/>
              <w:ind w:left="376" w:right="147"/>
              <w:rPr>
                <w:sz w:val="16"/>
              </w:rPr>
            </w:pPr>
            <w:r>
              <w:rPr>
                <w:color w:val="333333"/>
                <w:sz w:val="16"/>
              </w:rPr>
              <w:t>Guayana</w:t>
            </w:r>
          </w:p>
        </w:tc>
        <w:tc>
          <w:tcPr>
            <w:tcW w:w="1306" w:type="dxa"/>
            <w:tcBorders>
              <w:top w:val="nil"/>
              <w:left w:val="nil"/>
              <w:bottom w:val="nil"/>
              <w:right w:val="nil"/>
            </w:tcBorders>
          </w:tcPr>
          <w:p>
            <w:pPr>
              <w:pStyle w:val="TableParagraph"/>
              <w:spacing w:before="104"/>
              <w:ind w:left="123" w:right="136"/>
              <w:jc w:val="center"/>
              <w:rPr>
                <w:sz w:val="16"/>
              </w:rPr>
            </w:pPr>
            <w:r>
              <w:rPr>
                <w:color w:val="333333"/>
                <w:sz w:val="16"/>
              </w:rPr>
              <w:t>Desconocido</w:t>
            </w:r>
          </w:p>
        </w:tc>
      </w:tr>
      <w:tr>
        <w:trPr>
          <w:trHeight w:val="293" w:hRule="exact"/>
        </w:trPr>
        <w:tc>
          <w:tcPr>
            <w:tcW w:w="1003" w:type="dxa"/>
            <w:tcBorders>
              <w:top w:val="nil"/>
              <w:left w:val="nil"/>
              <w:bottom w:val="nil"/>
              <w:right w:val="nil"/>
            </w:tcBorders>
          </w:tcPr>
          <w:p>
            <w:pPr/>
          </w:p>
        </w:tc>
        <w:tc>
          <w:tcPr>
            <w:tcW w:w="1332" w:type="dxa"/>
            <w:tcBorders>
              <w:top w:val="nil"/>
              <w:left w:val="nil"/>
              <w:bottom w:val="nil"/>
              <w:right w:val="nil"/>
            </w:tcBorders>
          </w:tcPr>
          <w:p>
            <w:pPr>
              <w:pStyle w:val="TableParagraph"/>
              <w:spacing w:line="185" w:lineRule="exact"/>
              <w:ind w:left="121" w:right="72"/>
              <w:jc w:val="center"/>
              <w:rPr>
                <w:sz w:val="16"/>
              </w:rPr>
            </w:pPr>
            <w:r>
              <w:rPr>
                <w:color w:val="333333"/>
                <w:sz w:val="16"/>
              </w:rPr>
              <w:t>Cabassou</w:t>
            </w:r>
          </w:p>
        </w:tc>
        <w:tc>
          <w:tcPr>
            <w:tcW w:w="1052" w:type="dxa"/>
            <w:tcBorders>
              <w:top w:val="nil"/>
              <w:left w:val="nil"/>
              <w:bottom w:val="nil"/>
              <w:right w:val="nil"/>
            </w:tcBorders>
          </w:tcPr>
          <w:p>
            <w:pPr/>
          </w:p>
        </w:tc>
        <w:tc>
          <w:tcPr>
            <w:tcW w:w="1332" w:type="dxa"/>
            <w:tcBorders>
              <w:top w:val="nil"/>
              <w:left w:val="nil"/>
              <w:bottom w:val="nil"/>
              <w:right w:val="nil"/>
            </w:tcBorders>
          </w:tcPr>
          <w:p>
            <w:pPr/>
          </w:p>
        </w:tc>
        <w:tc>
          <w:tcPr>
            <w:tcW w:w="1287" w:type="dxa"/>
            <w:tcBorders>
              <w:top w:val="nil"/>
              <w:left w:val="nil"/>
              <w:bottom w:val="nil"/>
              <w:right w:val="nil"/>
            </w:tcBorders>
          </w:tcPr>
          <w:p>
            <w:pPr/>
          </w:p>
        </w:tc>
        <w:tc>
          <w:tcPr>
            <w:tcW w:w="1352" w:type="dxa"/>
            <w:tcBorders>
              <w:top w:val="nil"/>
              <w:left w:val="nil"/>
              <w:bottom w:val="nil"/>
              <w:right w:val="nil"/>
            </w:tcBorders>
          </w:tcPr>
          <w:p>
            <w:pPr/>
          </w:p>
        </w:tc>
        <w:tc>
          <w:tcPr>
            <w:tcW w:w="1486" w:type="dxa"/>
            <w:tcBorders>
              <w:top w:val="nil"/>
              <w:left w:val="nil"/>
              <w:bottom w:val="nil"/>
              <w:right w:val="nil"/>
            </w:tcBorders>
          </w:tcPr>
          <w:p>
            <w:pPr>
              <w:pStyle w:val="TableParagraph"/>
              <w:spacing w:line="185" w:lineRule="exact"/>
              <w:ind w:left="373" w:right="147"/>
              <w:rPr>
                <w:sz w:val="16"/>
              </w:rPr>
            </w:pPr>
            <w:r>
              <w:rPr>
                <w:color w:val="333333"/>
                <w:sz w:val="16"/>
              </w:rPr>
              <w:t>Francesa</w:t>
            </w:r>
          </w:p>
        </w:tc>
        <w:tc>
          <w:tcPr>
            <w:tcW w:w="1306" w:type="dxa"/>
            <w:tcBorders>
              <w:top w:val="nil"/>
              <w:left w:val="nil"/>
              <w:bottom w:val="nil"/>
              <w:right w:val="nil"/>
            </w:tcBorders>
          </w:tcPr>
          <w:p>
            <w:pPr/>
          </w:p>
        </w:tc>
      </w:tr>
      <w:tr>
        <w:trPr>
          <w:trHeight w:val="569" w:hRule="exact"/>
        </w:trPr>
        <w:tc>
          <w:tcPr>
            <w:tcW w:w="1003" w:type="dxa"/>
            <w:tcBorders>
              <w:top w:val="nil"/>
              <w:left w:val="nil"/>
              <w:bottom w:val="nil"/>
              <w:right w:val="nil"/>
            </w:tcBorders>
          </w:tcPr>
          <w:p>
            <w:pPr>
              <w:pStyle w:val="TableParagraph"/>
              <w:spacing w:before="86"/>
              <w:ind w:left="152" w:right="121"/>
              <w:jc w:val="center"/>
              <w:rPr>
                <w:sz w:val="16"/>
              </w:rPr>
            </w:pPr>
            <w:r>
              <w:rPr>
                <w:color w:val="333333"/>
                <w:sz w:val="16"/>
              </w:rPr>
              <w:t>VI</w:t>
            </w:r>
          </w:p>
        </w:tc>
        <w:tc>
          <w:tcPr>
            <w:tcW w:w="1332" w:type="dxa"/>
            <w:tcBorders>
              <w:top w:val="nil"/>
              <w:left w:val="nil"/>
              <w:bottom w:val="nil"/>
              <w:right w:val="nil"/>
            </w:tcBorders>
          </w:tcPr>
          <w:p>
            <w:pPr>
              <w:pStyle w:val="TableParagraph"/>
              <w:spacing w:before="86"/>
              <w:ind w:left="449" w:right="266" w:hanging="118"/>
              <w:rPr>
                <w:sz w:val="16"/>
              </w:rPr>
            </w:pPr>
            <w:r>
              <w:rPr>
                <w:color w:val="333333"/>
                <w:sz w:val="16"/>
              </w:rPr>
              <w:t>Virus Rio Negro</w:t>
            </w:r>
          </w:p>
        </w:tc>
        <w:tc>
          <w:tcPr>
            <w:tcW w:w="1052" w:type="dxa"/>
            <w:tcBorders>
              <w:top w:val="nil"/>
              <w:left w:val="nil"/>
              <w:bottom w:val="nil"/>
              <w:right w:val="nil"/>
            </w:tcBorders>
          </w:tcPr>
          <w:p>
            <w:pPr/>
          </w:p>
        </w:tc>
        <w:tc>
          <w:tcPr>
            <w:tcW w:w="1332" w:type="dxa"/>
            <w:tcBorders>
              <w:top w:val="nil"/>
              <w:left w:val="nil"/>
              <w:bottom w:val="nil"/>
              <w:right w:val="nil"/>
            </w:tcBorders>
          </w:tcPr>
          <w:p>
            <w:pPr>
              <w:pStyle w:val="TableParagraph"/>
              <w:spacing w:before="86"/>
              <w:ind w:left="269" w:right="126"/>
              <w:rPr>
                <w:sz w:val="16"/>
              </w:rPr>
            </w:pPr>
            <w:r>
              <w:rPr>
                <w:color w:val="333333"/>
                <w:sz w:val="16"/>
              </w:rPr>
              <w:t>Enzoótico</w:t>
            </w:r>
          </w:p>
        </w:tc>
        <w:tc>
          <w:tcPr>
            <w:tcW w:w="1287" w:type="dxa"/>
            <w:tcBorders>
              <w:top w:val="nil"/>
              <w:left w:val="nil"/>
              <w:bottom w:val="nil"/>
              <w:right w:val="nil"/>
            </w:tcBorders>
          </w:tcPr>
          <w:p>
            <w:pPr>
              <w:pStyle w:val="TableParagraph"/>
              <w:spacing w:before="86"/>
              <w:ind w:left="125" w:right="116"/>
              <w:jc w:val="center"/>
              <w:rPr>
                <w:sz w:val="16"/>
              </w:rPr>
            </w:pPr>
            <w:r>
              <w:rPr>
                <w:color w:val="333333"/>
                <w:sz w:val="16"/>
              </w:rPr>
              <w:t>Desconocido</w:t>
            </w:r>
          </w:p>
        </w:tc>
        <w:tc>
          <w:tcPr>
            <w:tcW w:w="1352" w:type="dxa"/>
            <w:tcBorders>
              <w:top w:val="nil"/>
              <w:left w:val="nil"/>
              <w:bottom w:val="nil"/>
              <w:right w:val="nil"/>
            </w:tcBorders>
          </w:tcPr>
          <w:p>
            <w:pPr>
              <w:pStyle w:val="TableParagraph"/>
              <w:spacing w:before="86"/>
              <w:ind w:left="161" w:right="145"/>
              <w:jc w:val="center"/>
              <w:rPr>
                <w:sz w:val="16"/>
              </w:rPr>
            </w:pPr>
            <w:r>
              <w:rPr>
                <w:color w:val="333333"/>
                <w:sz w:val="16"/>
              </w:rPr>
              <w:t>Desconocido</w:t>
            </w:r>
          </w:p>
        </w:tc>
        <w:tc>
          <w:tcPr>
            <w:tcW w:w="1486" w:type="dxa"/>
            <w:tcBorders>
              <w:top w:val="nil"/>
              <w:left w:val="nil"/>
              <w:bottom w:val="nil"/>
              <w:right w:val="nil"/>
            </w:tcBorders>
          </w:tcPr>
          <w:p>
            <w:pPr>
              <w:pStyle w:val="TableParagraph"/>
              <w:spacing w:before="86"/>
              <w:ind w:left="342" w:right="345" w:firstLine="40"/>
              <w:rPr>
                <w:sz w:val="16"/>
              </w:rPr>
            </w:pPr>
            <w:r>
              <w:rPr>
                <w:color w:val="333333"/>
                <w:sz w:val="16"/>
              </w:rPr>
              <w:t>Norte de Argentina</w:t>
            </w:r>
          </w:p>
        </w:tc>
        <w:tc>
          <w:tcPr>
            <w:tcW w:w="1306" w:type="dxa"/>
            <w:tcBorders>
              <w:top w:val="nil"/>
              <w:left w:val="nil"/>
              <w:bottom w:val="nil"/>
              <w:right w:val="nil"/>
            </w:tcBorders>
          </w:tcPr>
          <w:p>
            <w:pPr>
              <w:pStyle w:val="TableParagraph"/>
              <w:spacing w:before="86"/>
              <w:ind w:left="276" w:right="243" w:hanging="32"/>
              <w:rPr>
                <w:sz w:val="16"/>
              </w:rPr>
            </w:pPr>
            <w:r>
              <w:rPr>
                <w:color w:val="333333"/>
                <w:sz w:val="16"/>
              </w:rPr>
              <w:t>Cx. (Mel.) delpontei</w:t>
            </w:r>
          </w:p>
        </w:tc>
      </w:tr>
    </w:tbl>
    <w:p>
      <w:pPr>
        <w:pStyle w:val="BodyText"/>
        <w:spacing w:before="4"/>
        <w:rPr>
          <w:sz w:val="7"/>
        </w:rPr>
      </w:pPr>
      <w:r>
        <w:rPr/>
        <w:pict>
          <v:group style="position:absolute;margin-left:50.990002pt;margin-top:6.201018pt;width:508.7pt;height:.5pt;mso-position-horizontal-relative:page;mso-position-vertical-relative:paragraph;z-index:1168;mso-wrap-distance-left:0;mso-wrap-distance-right:0" coordorigin="1020,124" coordsize="10174,10">
            <v:line style="position:absolute" from="1025,129" to="2074,129" stroked="true" strokeweight=".47998pt" strokecolor="#000000"/>
            <v:line style="position:absolute" from="2060,129" to="2069,129" stroked="true" strokeweight=".47998pt" strokecolor="#000000"/>
            <v:line style="position:absolute" from="2069,129" to="3389,129" stroked="true" strokeweight=".47998pt" strokecolor="#000000"/>
            <v:line style="position:absolute" from="3375,129" to="3384,129" stroked="true" strokeweight=".47998pt" strokecolor="#000000"/>
            <v:line style="position:absolute" from="3384,129" to="4419,129" stroked="true" strokeweight=".47998pt" strokecolor="#000000"/>
            <v:line style="position:absolute" from="4405,129" to="4415,129" stroked="true" strokeweight=".47998pt" strokecolor="#000000"/>
            <v:line style="position:absolute" from="4415,129" to="5744,129" stroked="true" strokeweight=".47998pt" strokecolor="#000000"/>
            <v:line style="position:absolute" from="5730,129" to="5739,129" stroked="true" strokeweight=".47998pt" strokecolor="#000000"/>
            <v:line style="position:absolute" from="5739,129" to="7067,129" stroked="true" strokeweight=".47998pt" strokecolor="#000000"/>
            <v:line style="position:absolute" from="7053,129" to="7062,129" stroked="true" strokeweight=".47998pt" strokecolor="#000000"/>
            <v:line style="position:absolute" from="7062,129" to="8392,129" stroked="true" strokeweight=".47998pt" strokecolor="#000000"/>
            <v:line style="position:absolute" from="8377,129" to="8387,129" stroked="true" strokeweight=".47998pt" strokecolor="#000000"/>
            <v:line style="position:absolute" from="8387,129" to="9868,129" stroked="true" strokeweight=".47998pt" strokecolor="#000000"/>
            <v:line style="position:absolute" from="9854,129" to="9864,129" stroked="true" strokeweight=".47998pt" strokecolor="#000000"/>
            <v:line style="position:absolute" from="9864,129" to="11188,129" stroked="true" strokeweight=".47998pt" strokecolor="#000000"/>
            <w10:wrap type="topAndBottom"/>
          </v:group>
        </w:pict>
      </w:r>
    </w:p>
    <w:p>
      <w:pPr>
        <w:spacing w:after="0"/>
        <w:rPr>
          <w:sz w:val="7"/>
        </w:rPr>
        <w:sectPr>
          <w:footerReference w:type="default" r:id="rId18"/>
          <w:pgSz w:w="12240" w:h="15840"/>
          <w:pgMar w:footer="943" w:header="0" w:top="920" w:bottom="1140" w:left="920" w:right="940"/>
          <w:pgNumType w:start="9"/>
        </w:sectPr>
      </w:pPr>
    </w:p>
    <w:p>
      <w:pPr>
        <w:pStyle w:val="BodyText"/>
        <w:ind w:left="113"/>
        <w:rPr>
          <w:sz w:val="20"/>
        </w:rPr>
      </w:pPr>
      <w:r>
        <w:rPr>
          <w:sz w:val="20"/>
        </w:rPr>
        <w:drawing>
          <wp:inline distT="0" distB="0" distL="0" distR="0">
            <wp:extent cx="5628891" cy="6915150"/>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0" cstate="print"/>
                    <a:stretch>
                      <a:fillRect/>
                    </a:stretch>
                  </pic:blipFill>
                  <pic:spPr>
                    <a:xfrm>
                      <a:off x="0" y="0"/>
                      <a:ext cx="5628891" cy="6915150"/>
                    </a:xfrm>
                    <a:prstGeom prst="rect">
                      <a:avLst/>
                    </a:prstGeom>
                  </pic:spPr>
                </pic:pic>
              </a:graphicData>
            </a:graphic>
          </wp:inline>
        </w:drawing>
      </w:r>
      <w:r>
        <w:rPr>
          <w:sz w:val="20"/>
        </w:rPr>
      </w:r>
    </w:p>
    <w:p>
      <w:pPr>
        <w:pStyle w:val="BodyText"/>
        <w:spacing w:before="1"/>
        <w:rPr>
          <w:sz w:val="19"/>
        </w:rPr>
      </w:pPr>
    </w:p>
    <w:p>
      <w:pPr>
        <w:spacing w:before="72"/>
        <w:ind w:left="122" w:right="0" w:firstLine="0"/>
        <w:jc w:val="left"/>
        <w:rPr>
          <w:sz w:val="22"/>
        </w:rPr>
      </w:pPr>
      <w:r>
        <w:rPr>
          <w:b/>
          <w:sz w:val="22"/>
        </w:rPr>
        <w:t>Figura 5 Mapa mostrando la distribución conocida del complejo de la EEV</w:t>
      </w:r>
      <w:r>
        <w:rPr>
          <w:sz w:val="22"/>
        </w:rPr>
        <w:t>. Los subtipos están indicados entre paréntesis.</w:t>
      </w:r>
    </w:p>
    <w:p>
      <w:pPr>
        <w:spacing w:after="0"/>
        <w:jc w:val="left"/>
        <w:rPr>
          <w:sz w:val="22"/>
        </w:rPr>
        <w:sectPr>
          <w:footerReference w:type="default" r:id="rId19"/>
          <w:pgSz w:w="12240" w:h="15840"/>
          <w:pgMar w:footer="1077" w:header="0" w:top="1420" w:bottom="1260" w:left="1580" w:right="1560"/>
          <w:pgNumType w:start="10"/>
        </w:sectPr>
      </w:pPr>
    </w:p>
    <w:p>
      <w:pPr>
        <w:pStyle w:val="Heading4"/>
        <w:numPr>
          <w:ilvl w:val="1"/>
          <w:numId w:val="4"/>
        </w:numPr>
        <w:tabs>
          <w:tab w:pos="638" w:val="left" w:leader="none"/>
        </w:tabs>
        <w:spacing w:line="240" w:lineRule="auto" w:before="54" w:after="0"/>
        <w:ind w:left="637" w:right="0" w:hanging="535"/>
        <w:jc w:val="both"/>
      </w:pPr>
      <w:r>
        <w:rPr/>
        <w:t>Historia de la</w:t>
      </w:r>
      <w:r>
        <w:rPr>
          <w:spacing w:val="-6"/>
        </w:rPr>
        <w:t> </w:t>
      </w:r>
      <w:r>
        <w:rPr/>
        <w:t>EEV</w:t>
      </w:r>
    </w:p>
    <w:p>
      <w:pPr>
        <w:pStyle w:val="BodyText"/>
        <w:rPr>
          <w:b/>
        </w:rPr>
      </w:pPr>
    </w:p>
    <w:p>
      <w:pPr>
        <w:pStyle w:val="BodyText"/>
        <w:rPr>
          <w:b/>
        </w:rPr>
      </w:pPr>
    </w:p>
    <w:p>
      <w:pPr>
        <w:pStyle w:val="BodyText"/>
        <w:spacing w:line="360" w:lineRule="auto"/>
        <w:ind w:left="102" w:right="122"/>
        <w:jc w:val="both"/>
      </w:pPr>
      <w:r>
        <w:rPr/>
        <w:t>En América Latina los equinos se mantienen como una importante herramienta de trabajo para tareas agrícolas y transporte individual y de productos agropecuarios, por</w:t>
      </w:r>
      <w:r>
        <w:rPr>
          <w:spacing w:val="-17"/>
        </w:rPr>
        <w:t> </w:t>
      </w:r>
      <w:r>
        <w:rPr/>
        <w:t>lo</w:t>
      </w:r>
      <w:r>
        <w:rPr>
          <w:spacing w:val="-16"/>
        </w:rPr>
        <w:t> </w:t>
      </w:r>
      <w:r>
        <w:rPr/>
        <w:t>que</w:t>
      </w:r>
      <w:r>
        <w:rPr>
          <w:spacing w:val="-16"/>
        </w:rPr>
        <w:t> </w:t>
      </w:r>
      <w:r>
        <w:rPr/>
        <w:t>los</w:t>
      </w:r>
      <w:r>
        <w:rPr>
          <w:spacing w:val="-18"/>
        </w:rPr>
        <w:t> </w:t>
      </w:r>
      <w:r>
        <w:rPr/>
        <w:t>brotes</w:t>
      </w:r>
      <w:r>
        <w:rPr>
          <w:spacing w:val="-16"/>
        </w:rPr>
        <w:t> </w:t>
      </w:r>
      <w:r>
        <w:rPr/>
        <w:t>de</w:t>
      </w:r>
      <w:r>
        <w:rPr>
          <w:spacing w:val="-18"/>
        </w:rPr>
        <w:t> </w:t>
      </w:r>
      <w:r>
        <w:rPr/>
        <w:t>EEV</w:t>
      </w:r>
      <w:r>
        <w:rPr>
          <w:spacing w:val="-18"/>
        </w:rPr>
        <w:t> </w:t>
      </w:r>
      <w:r>
        <w:rPr/>
        <w:t>tienen</w:t>
      </w:r>
      <w:r>
        <w:rPr>
          <w:spacing w:val="-18"/>
        </w:rPr>
        <w:t> </w:t>
      </w:r>
      <w:r>
        <w:rPr/>
        <w:t>un</w:t>
      </w:r>
      <w:r>
        <w:rPr>
          <w:spacing w:val="-18"/>
        </w:rPr>
        <w:t> </w:t>
      </w:r>
      <w:r>
        <w:rPr/>
        <w:t>profundo</w:t>
      </w:r>
      <w:r>
        <w:rPr>
          <w:spacing w:val="-16"/>
        </w:rPr>
        <w:t> </w:t>
      </w:r>
      <w:r>
        <w:rPr/>
        <w:t>impacto</w:t>
      </w:r>
      <w:r>
        <w:rPr>
          <w:spacing w:val="-16"/>
        </w:rPr>
        <w:t> </w:t>
      </w:r>
      <w:r>
        <w:rPr/>
        <w:t>social</w:t>
      </w:r>
      <w:r>
        <w:rPr>
          <w:spacing w:val="-17"/>
        </w:rPr>
        <w:t> </w:t>
      </w:r>
      <w:r>
        <w:rPr/>
        <w:t>y</w:t>
      </w:r>
      <w:r>
        <w:rPr>
          <w:spacing w:val="-19"/>
        </w:rPr>
        <w:t> </w:t>
      </w:r>
      <w:r>
        <w:rPr/>
        <w:t>económico</w:t>
      </w:r>
      <w:r>
        <w:rPr>
          <w:spacing w:val="-18"/>
        </w:rPr>
        <w:t> </w:t>
      </w:r>
      <w:r>
        <w:rPr/>
        <w:t>además de los efectos directos sobre la salud</w:t>
      </w:r>
      <w:r>
        <w:rPr>
          <w:spacing w:val="-16"/>
        </w:rPr>
        <w:t> </w:t>
      </w:r>
      <w:r>
        <w:rPr/>
        <w:t>humana.</w:t>
      </w:r>
    </w:p>
    <w:p>
      <w:pPr>
        <w:pStyle w:val="BodyText"/>
        <w:spacing w:line="360" w:lineRule="auto" w:before="2"/>
        <w:ind w:left="102" w:right="124"/>
        <w:jc w:val="both"/>
      </w:pPr>
      <w:r>
        <w:rPr/>
        <w:t>La</w:t>
      </w:r>
      <w:r>
        <w:rPr>
          <w:spacing w:val="-9"/>
        </w:rPr>
        <w:t> </w:t>
      </w:r>
      <w:r>
        <w:rPr/>
        <w:t>EEV</w:t>
      </w:r>
      <w:r>
        <w:rPr>
          <w:spacing w:val="-10"/>
        </w:rPr>
        <w:t> </w:t>
      </w:r>
      <w:r>
        <w:rPr/>
        <w:t>ha</w:t>
      </w:r>
      <w:r>
        <w:rPr>
          <w:spacing w:val="-9"/>
        </w:rPr>
        <w:t> </w:t>
      </w:r>
      <w:r>
        <w:rPr/>
        <w:t>sido</w:t>
      </w:r>
      <w:r>
        <w:rPr>
          <w:spacing w:val="-9"/>
        </w:rPr>
        <w:t> </w:t>
      </w:r>
      <w:r>
        <w:rPr/>
        <w:t>una</w:t>
      </w:r>
      <w:r>
        <w:rPr>
          <w:spacing w:val="-9"/>
        </w:rPr>
        <w:t> </w:t>
      </w:r>
      <w:r>
        <w:rPr/>
        <w:t>importante</w:t>
      </w:r>
      <w:r>
        <w:rPr>
          <w:spacing w:val="-9"/>
        </w:rPr>
        <w:t> </w:t>
      </w:r>
      <w:r>
        <w:rPr/>
        <w:t>enfermedad</w:t>
      </w:r>
      <w:r>
        <w:rPr>
          <w:spacing w:val="-12"/>
        </w:rPr>
        <w:t> </w:t>
      </w:r>
      <w:r>
        <w:rPr/>
        <w:t>en</w:t>
      </w:r>
      <w:r>
        <w:rPr>
          <w:spacing w:val="-9"/>
        </w:rPr>
        <w:t> </w:t>
      </w:r>
      <w:r>
        <w:rPr/>
        <w:t>humanos</w:t>
      </w:r>
      <w:r>
        <w:rPr>
          <w:spacing w:val="-10"/>
        </w:rPr>
        <w:t> </w:t>
      </w:r>
      <w:r>
        <w:rPr/>
        <w:t>y</w:t>
      </w:r>
      <w:r>
        <w:rPr>
          <w:spacing w:val="-13"/>
        </w:rPr>
        <w:t> </w:t>
      </w:r>
      <w:r>
        <w:rPr/>
        <w:t>equinos</w:t>
      </w:r>
      <w:r>
        <w:rPr>
          <w:spacing w:val="-10"/>
        </w:rPr>
        <w:t> </w:t>
      </w:r>
      <w:r>
        <w:rPr/>
        <w:t>en</w:t>
      </w:r>
      <w:r>
        <w:rPr>
          <w:spacing w:val="-9"/>
        </w:rPr>
        <w:t> </w:t>
      </w:r>
      <w:r>
        <w:rPr/>
        <w:t>las</w:t>
      </w:r>
      <w:r>
        <w:rPr>
          <w:spacing w:val="-10"/>
        </w:rPr>
        <w:t> </w:t>
      </w:r>
      <w:r>
        <w:rPr/>
        <w:t>Américas desde hace 70</w:t>
      </w:r>
      <w:r>
        <w:rPr>
          <w:spacing w:val="-7"/>
        </w:rPr>
        <w:t> </w:t>
      </w:r>
      <w:r>
        <w:rPr/>
        <w:t>años.</w:t>
      </w:r>
    </w:p>
    <w:p>
      <w:pPr>
        <w:pStyle w:val="BodyText"/>
        <w:spacing w:line="360" w:lineRule="auto" w:before="2"/>
        <w:ind w:left="102" w:right="116" w:firstLine="67"/>
        <w:jc w:val="both"/>
      </w:pPr>
      <w:r>
        <w:rPr/>
        <w:t>El primer brote de EEV ampliamente reconocido apareció en los valles centrales de Colombia durante 1935, sin embargo reportes epidemiológicos sugieren que</w:t>
      </w:r>
      <w:r>
        <w:rPr>
          <w:spacing w:val="-32"/>
        </w:rPr>
        <w:t> </w:t>
      </w:r>
      <w:r>
        <w:rPr/>
        <w:t>los brotes comenzaron desde la década de 1920. </w:t>
      </w:r>
      <w:r>
        <w:rPr>
          <w:position w:val="8"/>
          <w:sz w:val="16"/>
        </w:rPr>
        <w:t>(47) </w:t>
      </w:r>
      <w:r>
        <w:rPr/>
        <w:t>Un año después el brote se extendió a la península de la Guajira en la frontera de Venezuela y Colombia, un ambiente desértico poblado por un gran número de mosquitos seguido de precipitaciones poco</w:t>
      </w:r>
      <w:r>
        <w:rPr>
          <w:spacing w:val="-7"/>
        </w:rPr>
        <w:t> </w:t>
      </w:r>
      <w:r>
        <w:rPr/>
        <w:t>frecuentes.</w:t>
      </w:r>
    </w:p>
    <w:p>
      <w:pPr>
        <w:pStyle w:val="BodyText"/>
        <w:spacing w:line="357" w:lineRule="auto" w:before="2"/>
        <w:ind w:left="102" w:right="119"/>
        <w:jc w:val="both"/>
        <w:rPr>
          <w:sz w:val="16"/>
        </w:rPr>
      </w:pPr>
      <w:r>
        <w:rPr/>
        <w:t>El VEEV fue aislado por primera vez </w:t>
      </w:r>
      <w:r>
        <w:rPr>
          <w:color w:val="202020"/>
        </w:rPr>
        <w:t>de los cerebros de los casos equinos fatales en</w:t>
      </w:r>
      <w:r>
        <w:rPr>
          <w:color w:val="202020"/>
          <w:spacing w:val="-17"/>
        </w:rPr>
        <w:t> </w:t>
      </w:r>
      <w:r>
        <w:rPr>
          <w:color w:val="202020"/>
        </w:rPr>
        <w:t>1938</w:t>
      </w:r>
      <w:r>
        <w:rPr>
          <w:color w:val="202020"/>
          <w:spacing w:val="-19"/>
        </w:rPr>
        <w:t> </w:t>
      </w:r>
      <w:r>
        <w:rPr>
          <w:color w:val="202020"/>
        </w:rPr>
        <w:t>de</w:t>
      </w:r>
      <w:r>
        <w:rPr>
          <w:color w:val="202020"/>
          <w:spacing w:val="-19"/>
        </w:rPr>
        <w:t> </w:t>
      </w:r>
      <w:r>
        <w:rPr>
          <w:color w:val="202020"/>
        </w:rPr>
        <w:t>Estado</w:t>
      </w:r>
      <w:r>
        <w:rPr>
          <w:color w:val="202020"/>
          <w:spacing w:val="-17"/>
        </w:rPr>
        <w:t> </w:t>
      </w:r>
      <w:r>
        <w:rPr>
          <w:color w:val="202020"/>
        </w:rPr>
        <w:t>Yaracuy,</w:t>
      </w:r>
      <w:r>
        <w:rPr>
          <w:color w:val="202020"/>
          <w:spacing w:val="-17"/>
        </w:rPr>
        <w:t> </w:t>
      </w:r>
      <w:r>
        <w:rPr>
          <w:color w:val="202020"/>
        </w:rPr>
        <w:t>Venezuela.</w:t>
      </w:r>
      <w:r>
        <w:rPr>
          <w:color w:val="202020"/>
          <w:spacing w:val="-13"/>
        </w:rPr>
        <w:t> </w:t>
      </w:r>
      <w:r>
        <w:rPr/>
        <w:t>El</w:t>
      </w:r>
      <w:r>
        <w:rPr>
          <w:spacing w:val="-18"/>
        </w:rPr>
        <w:t> </w:t>
      </w:r>
      <w:r>
        <w:rPr/>
        <w:t>aislado</w:t>
      </w:r>
      <w:r>
        <w:rPr>
          <w:spacing w:val="-17"/>
        </w:rPr>
        <w:t> </w:t>
      </w:r>
      <w:r>
        <w:rPr/>
        <w:t>demostró</w:t>
      </w:r>
      <w:r>
        <w:rPr>
          <w:spacing w:val="-19"/>
        </w:rPr>
        <w:t> </w:t>
      </w:r>
      <w:r>
        <w:rPr/>
        <w:t>diferencias</w:t>
      </w:r>
      <w:r>
        <w:rPr>
          <w:spacing w:val="-17"/>
        </w:rPr>
        <w:t> </w:t>
      </w:r>
      <w:r>
        <w:rPr/>
        <w:t>antigénicas con los virus EEE y EEO aislados previamente en Estados Unidos. </w:t>
      </w:r>
      <w:r>
        <w:rPr>
          <w:position w:val="8"/>
          <w:sz w:val="16"/>
        </w:rPr>
        <w:t>(8,</w:t>
      </w:r>
      <w:r>
        <w:rPr>
          <w:spacing w:val="-18"/>
          <w:position w:val="8"/>
          <w:sz w:val="16"/>
        </w:rPr>
        <w:t> </w:t>
      </w:r>
      <w:r>
        <w:rPr>
          <w:position w:val="8"/>
          <w:sz w:val="16"/>
        </w:rPr>
        <w:t>46)</w:t>
      </w:r>
    </w:p>
    <w:p>
      <w:pPr>
        <w:pStyle w:val="BodyText"/>
        <w:spacing w:line="360" w:lineRule="auto" w:before="4"/>
        <w:ind w:left="102" w:right="127"/>
        <w:jc w:val="both"/>
      </w:pPr>
      <w:r>
        <w:rPr>
          <w:color w:val="202020"/>
        </w:rPr>
        <w:t>Desde 1936 a 1938 el brote de EEV se extendió por el norte de Venezuela y en 1943 apareció en la isla de Trinidad, donde los primeros esfuerzos de vacunación pueden haber contribuido para su contención.</w:t>
      </w:r>
    </w:p>
    <w:p>
      <w:pPr>
        <w:pStyle w:val="BodyText"/>
      </w:pPr>
    </w:p>
    <w:p>
      <w:pPr>
        <w:pStyle w:val="BodyText"/>
        <w:spacing w:line="360" w:lineRule="auto" w:before="142"/>
        <w:ind w:left="102" w:right="115"/>
        <w:jc w:val="both"/>
      </w:pPr>
      <w:r>
        <w:rPr/>
        <w:t>En los 30 años siguientes (1938-1956) solo se aislaron cepas epizoóticas de la región norte de Sudamérica </w:t>
      </w:r>
      <w:r>
        <w:rPr>
          <w:color w:val="202020"/>
        </w:rPr>
        <w:t>que más tarde fueron clasificados como subtipo IAB</w:t>
      </w:r>
      <w:r>
        <w:rPr/>
        <w:t>. Numerosos casos equinos se reportaron, y pronto se volvió aparente que los humanos</w:t>
      </w:r>
      <w:r>
        <w:rPr>
          <w:spacing w:val="-17"/>
        </w:rPr>
        <w:t> </w:t>
      </w:r>
      <w:r>
        <w:rPr/>
        <w:t>también</w:t>
      </w:r>
      <w:r>
        <w:rPr>
          <w:spacing w:val="-18"/>
        </w:rPr>
        <w:t> </w:t>
      </w:r>
      <w:r>
        <w:rPr/>
        <w:t>se</w:t>
      </w:r>
      <w:r>
        <w:rPr>
          <w:spacing w:val="-19"/>
        </w:rPr>
        <w:t> </w:t>
      </w:r>
      <w:r>
        <w:rPr/>
        <w:t>infectaban</w:t>
      </w:r>
      <w:r>
        <w:rPr>
          <w:spacing w:val="-19"/>
        </w:rPr>
        <w:t> </w:t>
      </w:r>
      <w:r>
        <w:rPr/>
        <w:t>durante</w:t>
      </w:r>
      <w:r>
        <w:rPr>
          <w:spacing w:val="-17"/>
        </w:rPr>
        <w:t> </w:t>
      </w:r>
      <w:r>
        <w:rPr/>
        <w:t>las</w:t>
      </w:r>
      <w:r>
        <w:rPr>
          <w:spacing w:val="-19"/>
        </w:rPr>
        <w:t> </w:t>
      </w:r>
      <w:r>
        <w:rPr/>
        <w:t>epizootias.</w:t>
      </w:r>
      <w:r>
        <w:rPr>
          <w:spacing w:val="-17"/>
        </w:rPr>
        <w:t> </w:t>
      </w:r>
      <w:r>
        <w:rPr/>
        <w:t>La</w:t>
      </w:r>
      <w:r>
        <w:rPr>
          <w:spacing w:val="-19"/>
        </w:rPr>
        <w:t> </w:t>
      </w:r>
      <w:r>
        <w:rPr/>
        <w:t>mayoría</w:t>
      </w:r>
      <w:r>
        <w:rPr>
          <w:spacing w:val="-17"/>
        </w:rPr>
        <w:t> </w:t>
      </w:r>
      <w:r>
        <w:rPr/>
        <w:t>de</w:t>
      </w:r>
      <w:r>
        <w:rPr>
          <w:spacing w:val="-17"/>
        </w:rPr>
        <w:t> </w:t>
      </w:r>
      <w:r>
        <w:rPr/>
        <w:t>los</w:t>
      </w:r>
      <w:r>
        <w:rPr>
          <w:spacing w:val="-19"/>
        </w:rPr>
        <w:t> </w:t>
      </w:r>
      <w:r>
        <w:rPr/>
        <w:t>infectados se recuperaban después de sufrir episodios febriles agudos, pero cuadros severos con</w:t>
      </w:r>
      <w:r>
        <w:rPr>
          <w:spacing w:val="-17"/>
        </w:rPr>
        <w:t> </w:t>
      </w:r>
      <w:r>
        <w:rPr/>
        <w:t>encefalitis</w:t>
      </w:r>
      <w:r>
        <w:rPr>
          <w:spacing w:val="-17"/>
        </w:rPr>
        <w:t> </w:t>
      </w:r>
      <w:r>
        <w:rPr/>
        <w:t>y</w:t>
      </w:r>
      <w:r>
        <w:rPr>
          <w:spacing w:val="-19"/>
        </w:rPr>
        <w:t> </w:t>
      </w:r>
      <w:r>
        <w:rPr/>
        <w:t>muerte</w:t>
      </w:r>
      <w:r>
        <w:rPr>
          <w:spacing w:val="-17"/>
        </w:rPr>
        <w:t> </w:t>
      </w:r>
      <w:r>
        <w:rPr/>
        <w:t>también</w:t>
      </w:r>
      <w:r>
        <w:rPr>
          <w:spacing w:val="-17"/>
        </w:rPr>
        <w:t> </w:t>
      </w:r>
      <w:r>
        <w:rPr/>
        <w:t>se</w:t>
      </w:r>
      <w:r>
        <w:rPr>
          <w:spacing w:val="-17"/>
        </w:rPr>
        <w:t> </w:t>
      </w:r>
      <w:r>
        <w:rPr/>
        <w:t>presentaron,</w:t>
      </w:r>
      <w:r>
        <w:rPr>
          <w:spacing w:val="-17"/>
        </w:rPr>
        <w:t> </w:t>
      </w:r>
      <w:r>
        <w:rPr/>
        <w:t>en</w:t>
      </w:r>
      <w:r>
        <w:rPr>
          <w:spacing w:val="-17"/>
        </w:rPr>
        <w:t> </w:t>
      </w:r>
      <w:r>
        <w:rPr/>
        <w:t>su</w:t>
      </w:r>
      <w:r>
        <w:rPr>
          <w:spacing w:val="-19"/>
        </w:rPr>
        <w:t> </w:t>
      </w:r>
      <w:r>
        <w:rPr/>
        <w:t>mayoría</w:t>
      </w:r>
      <w:r>
        <w:rPr>
          <w:spacing w:val="-17"/>
        </w:rPr>
        <w:t> </w:t>
      </w:r>
      <w:r>
        <w:rPr/>
        <w:t>en</w:t>
      </w:r>
      <w:r>
        <w:rPr>
          <w:spacing w:val="-17"/>
        </w:rPr>
        <w:t> </w:t>
      </w:r>
      <w:r>
        <w:rPr/>
        <w:t>niños</w:t>
      </w:r>
      <w:r>
        <w:rPr>
          <w:spacing w:val="-17"/>
        </w:rPr>
        <w:t> </w:t>
      </w:r>
      <w:r>
        <w:rPr/>
        <w:t>y</w:t>
      </w:r>
      <w:r>
        <w:rPr>
          <w:spacing w:val="-19"/>
        </w:rPr>
        <w:t> </w:t>
      </w:r>
      <w:r>
        <w:rPr/>
        <w:t>ancianos.</w:t>
      </w:r>
    </w:p>
    <w:p>
      <w:pPr>
        <w:pStyle w:val="BodyText"/>
      </w:pPr>
    </w:p>
    <w:p>
      <w:pPr>
        <w:pStyle w:val="BodyText"/>
        <w:spacing w:line="360" w:lineRule="auto" w:before="142"/>
        <w:ind w:left="102" w:right="124"/>
        <w:jc w:val="both"/>
      </w:pPr>
      <w:r>
        <w:rPr/>
        <w:t>Entre las epizootias activas no fue posible aislar los virus de los equinos virulentos. Sin</w:t>
      </w:r>
      <w:r>
        <w:rPr>
          <w:spacing w:val="-8"/>
        </w:rPr>
        <w:t> </w:t>
      </w:r>
      <w:r>
        <w:rPr/>
        <w:t>embargo</w:t>
      </w:r>
      <w:r>
        <w:rPr>
          <w:spacing w:val="-8"/>
        </w:rPr>
        <w:t> </w:t>
      </w:r>
      <w:r>
        <w:rPr/>
        <w:t>durante</w:t>
      </w:r>
      <w:r>
        <w:rPr>
          <w:spacing w:val="-8"/>
        </w:rPr>
        <w:t> </w:t>
      </w:r>
      <w:r>
        <w:rPr/>
        <w:t>las</w:t>
      </w:r>
      <w:r>
        <w:rPr>
          <w:spacing w:val="-9"/>
        </w:rPr>
        <w:t> </w:t>
      </w:r>
      <w:r>
        <w:rPr/>
        <w:t>décadas</w:t>
      </w:r>
      <w:r>
        <w:rPr>
          <w:spacing w:val="-11"/>
        </w:rPr>
        <w:t> </w:t>
      </w:r>
      <w:r>
        <w:rPr/>
        <w:t>de</w:t>
      </w:r>
      <w:r>
        <w:rPr>
          <w:spacing w:val="-10"/>
        </w:rPr>
        <w:t> </w:t>
      </w:r>
      <w:r>
        <w:rPr/>
        <w:t>1950</w:t>
      </w:r>
      <w:r>
        <w:rPr>
          <w:spacing w:val="-10"/>
        </w:rPr>
        <w:t> </w:t>
      </w:r>
      <w:r>
        <w:rPr/>
        <w:t>y</w:t>
      </w:r>
      <w:r>
        <w:rPr>
          <w:spacing w:val="-11"/>
        </w:rPr>
        <w:t> </w:t>
      </w:r>
      <w:r>
        <w:rPr/>
        <w:t>1960,</w:t>
      </w:r>
      <w:r>
        <w:rPr>
          <w:spacing w:val="-11"/>
        </w:rPr>
        <w:t> </w:t>
      </w:r>
      <w:r>
        <w:rPr/>
        <w:t>diferentes</w:t>
      </w:r>
      <w:r>
        <w:rPr>
          <w:spacing w:val="-11"/>
        </w:rPr>
        <w:t> </w:t>
      </w:r>
      <w:r>
        <w:rPr/>
        <w:t>virus</w:t>
      </w:r>
      <w:r>
        <w:rPr>
          <w:spacing w:val="-9"/>
        </w:rPr>
        <w:t> </w:t>
      </w:r>
      <w:r>
        <w:rPr/>
        <w:t>antigénicamente diferentes</w:t>
      </w:r>
      <w:r>
        <w:rPr>
          <w:spacing w:val="30"/>
        </w:rPr>
        <w:t> </w:t>
      </w:r>
      <w:r>
        <w:rPr/>
        <w:t>de</w:t>
      </w:r>
      <w:r>
        <w:rPr>
          <w:spacing w:val="30"/>
        </w:rPr>
        <w:t> </w:t>
      </w:r>
      <w:r>
        <w:rPr/>
        <w:t>las</w:t>
      </w:r>
      <w:r>
        <w:rPr>
          <w:spacing w:val="30"/>
        </w:rPr>
        <w:t> </w:t>
      </w:r>
      <w:r>
        <w:rPr/>
        <w:t>cepas</w:t>
      </w:r>
      <w:r>
        <w:rPr>
          <w:spacing w:val="30"/>
        </w:rPr>
        <w:t> </w:t>
      </w:r>
      <w:r>
        <w:rPr/>
        <w:t>de</w:t>
      </w:r>
      <w:r>
        <w:rPr>
          <w:spacing w:val="30"/>
        </w:rPr>
        <w:t> </w:t>
      </w:r>
      <w:r>
        <w:rPr/>
        <w:t>EEV</w:t>
      </w:r>
      <w:r>
        <w:rPr>
          <w:spacing w:val="28"/>
        </w:rPr>
        <w:t> </w:t>
      </w:r>
      <w:r>
        <w:rPr/>
        <w:t>fueron</w:t>
      </w:r>
      <w:r>
        <w:rPr>
          <w:spacing w:val="29"/>
        </w:rPr>
        <w:t> </w:t>
      </w:r>
      <w:r>
        <w:rPr/>
        <w:t>aislados</w:t>
      </w:r>
      <w:r>
        <w:rPr>
          <w:spacing w:val="30"/>
        </w:rPr>
        <w:t> </w:t>
      </w:r>
      <w:r>
        <w:rPr/>
        <w:t>en</w:t>
      </w:r>
      <w:r>
        <w:rPr>
          <w:spacing w:val="30"/>
        </w:rPr>
        <w:t> </w:t>
      </w:r>
      <w:r>
        <w:rPr/>
        <w:t>Centroamérica,</w:t>
      </w:r>
      <w:r>
        <w:rPr>
          <w:spacing w:val="30"/>
        </w:rPr>
        <w:t> </w:t>
      </w:r>
      <w:r>
        <w:rPr/>
        <w:t>Sudamérica,</w:t>
      </w:r>
    </w:p>
    <w:p>
      <w:pPr>
        <w:spacing w:after="0" w:line="360" w:lineRule="auto"/>
        <w:jc w:val="both"/>
        <w:sectPr>
          <w:pgSz w:w="12240" w:h="15840"/>
          <w:pgMar w:header="0" w:footer="1077" w:top="1360" w:bottom="1260" w:left="1600" w:right="1580"/>
        </w:sectPr>
      </w:pPr>
    </w:p>
    <w:p>
      <w:pPr>
        <w:pStyle w:val="BodyText"/>
        <w:spacing w:line="362" w:lineRule="auto" w:before="54"/>
        <w:ind w:left="102" w:right="117"/>
        <w:jc w:val="both"/>
      </w:pPr>
      <w:r>
        <w:rPr/>
        <w:t>México y Florida; estos eran atenuados en equinos y persistían indefinidamente en áreas endémicas.</w:t>
      </w:r>
    </w:p>
    <w:p>
      <w:pPr>
        <w:pStyle w:val="BodyText"/>
        <w:spacing w:line="360" w:lineRule="auto"/>
        <w:ind w:left="102" w:right="124"/>
        <w:jc w:val="both"/>
      </w:pPr>
      <w:r>
        <w:rPr/>
        <w:t>No hay evidencia clara de los registros epidemiológicos de brotes durante el siglo XIX, y las estimaciones filogenéticas derivadas de secuencias de cepas EEV implicadas en brotes tempranos indican que probablemente evolucionaron a principios del siglo XX.</w:t>
      </w:r>
    </w:p>
    <w:p>
      <w:pPr>
        <w:pStyle w:val="BodyText"/>
        <w:spacing w:line="360" w:lineRule="auto" w:before="2"/>
        <w:ind w:left="102" w:right="119"/>
        <w:jc w:val="both"/>
        <w:rPr>
          <w:sz w:val="16"/>
        </w:rPr>
      </w:pPr>
      <w:r>
        <w:rPr/>
        <w:t>Durante las décadas de 1950 y 1960 grandes epizootias ocurrieron en Venezuela, Perú,</w:t>
      </w:r>
      <w:r>
        <w:rPr>
          <w:spacing w:val="-12"/>
        </w:rPr>
        <w:t> </w:t>
      </w:r>
      <w:r>
        <w:rPr/>
        <w:t>Colombia,</w:t>
      </w:r>
      <w:r>
        <w:rPr>
          <w:spacing w:val="-12"/>
        </w:rPr>
        <w:t> </w:t>
      </w:r>
      <w:r>
        <w:rPr/>
        <w:t>Ecuador</w:t>
      </w:r>
      <w:r>
        <w:rPr>
          <w:spacing w:val="-11"/>
        </w:rPr>
        <w:t> </w:t>
      </w:r>
      <w:r>
        <w:rPr/>
        <w:t>y</w:t>
      </w:r>
      <w:r>
        <w:rPr>
          <w:spacing w:val="-13"/>
        </w:rPr>
        <w:t> </w:t>
      </w:r>
      <w:r>
        <w:rPr/>
        <w:t>se</w:t>
      </w:r>
      <w:r>
        <w:rPr>
          <w:spacing w:val="-12"/>
        </w:rPr>
        <w:t> </w:t>
      </w:r>
      <w:r>
        <w:rPr/>
        <w:t>diseminaron</w:t>
      </w:r>
      <w:r>
        <w:rPr>
          <w:spacing w:val="-12"/>
        </w:rPr>
        <w:t> </w:t>
      </w:r>
      <w:r>
        <w:rPr/>
        <w:t>hasta</w:t>
      </w:r>
      <w:r>
        <w:rPr>
          <w:spacing w:val="-9"/>
        </w:rPr>
        <w:t> </w:t>
      </w:r>
      <w:r>
        <w:rPr/>
        <w:t>Centroamérica</w:t>
      </w:r>
      <w:r>
        <w:rPr>
          <w:spacing w:val="46"/>
        </w:rPr>
        <w:t> </w:t>
      </w:r>
      <w:r>
        <w:rPr/>
        <w:t>en</w:t>
      </w:r>
      <w:r>
        <w:rPr>
          <w:spacing w:val="-12"/>
        </w:rPr>
        <w:t> </w:t>
      </w:r>
      <w:r>
        <w:rPr/>
        <w:t>1969,</w:t>
      </w:r>
      <w:r>
        <w:rPr>
          <w:spacing w:val="-12"/>
        </w:rPr>
        <w:t> </w:t>
      </w:r>
      <w:r>
        <w:rPr/>
        <w:t>Entre</w:t>
      </w:r>
      <w:r>
        <w:rPr>
          <w:spacing w:val="-12"/>
        </w:rPr>
        <w:t> </w:t>
      </w:r>
      <w:r>
        <w:rPr/>
        <w:t>las epizootias activas no fue posible aislar los virus de los equinos virulentos. Sin embargo diferentes virus antigénicamente diferentes de las cepas de EEV fueron aislados</w:t>
      </w:r>
      <w:r>
        <w:rPr>
          <w:spacing w:val="-13"/>
        </w:rPr>
        <w:t> </w:t>
      </w:r>
      <w:r>
        <w:rPr/>
        <w:t>en</w:t>
      </w:r>
      <w:r>
        <w:rPr>
          <w:spacing w:val="-12"/>
        </w:rPr>
        <w:t> </w:t>
      </w:r>
      <w:r>
        <w:rPr/>
        <w:t>Centroamérica,</w:t>
      </w:r>
      <w:r>
        <w:rPr>
          <w:spacing w:val="-12"/>
        </w:rPr>
        <w:t> </w:t>
      </w:r>
      <w:r>
        <w:rPr/>
        <w:t>Sudamérica,</w:t>
      </w:r>
      <w:r>
        <w:rPr>
          <w:spacing w:val="-12"/>
        </w:rPr>
        <w:t> </w:t>
      </w:r>
      <w:r>
        <w:rPr/>
        <w:t>México</w:t>
      </w:r>
      <w:r>
        <w:rPr>
          <w:spacing w:val="-12"/>
        </w:rPr>
        <w:t> </w:t>
      </w:r>
      <w:r>
        <w:rPr/>
        <w:t>y</w:t>
      </w:r>
      <w:r>
        <w:rPr>
          <w:spacing w:val="-15"/>
        </w:rPr>
        <w:t> </w:t>
      </w:r>
      <w:r>
        <w:rPr/>
        <w:t>Florida;</w:t>
      </w:r>
      <w:r>
        <w:rPr>
          <w:spacing w:val="-12"/>
        </w:rPr>
        <w:t> </w:t>
      </w:r>
      <w:r>
        <w:rPr/>
        <w:t>estos</w:t>
      </w:r>
      <w:r>
        <w:rPr>
          <w:spacing w:val="-13"/>
        </w:rPr>
        <w:t> </w:t>
      </w:r>
      <w:r>
        <w:rPr/>
        <w:t>eran</w:t>
      </w:r>
      <w:r>
        <w:rPr>
          <w:spacing w:val="-12"/>
        </w:rPr>
        <w:t> </w:t>
      </w:r>
      <w:r>
        <w:rPr/>
        <w:t>atenuados</w:t>
      </w:r>
      <w:r>
        <w:rPr>
          <w:spacing w:val="-13"/>
        </w:rPr>
        <w:t> </w:t>
      </w:r>
      <w:r>
        <w:rPr/>
        <w:t>en equinos y persistían indefinidamente en áreas endémicas. Estas epizootias afectaron principalmente a la población rural, que no solo sufrieron por la enfermedad, sino que afectaron la economía familiar ya que muchos campesinos usan estos animales para tareas agrícolas y transporte individual y de productos agropecuarios. Entre 1969 y 1971, grandes epizootias fueron reportadas en Centroamérica y subsecuentemente en México y el sur del estado de Texas en la Unión Americana.</w:t>
      </w:r>
      <w:r>
        <w:rPr>
          <w:spacing w:val="-6"/>
        </w:rPr>
        <w:t> </w:t>
      </w:r>
      <w:r>
        <w:rPr>
          <w:position w:val="8"/>
          <w:sz w:val="16"/>
        </w:rPr>
        <w:t>(46)</w:t>
      </w:r>
    </w:p>
    <w:p>
      <w:pPr>
        <w:pStyle w:val="BodyText"/>
        <w:spacing w:line="360" w:lineRule="auto"/>
        <w:ind w:left="102" w:right="119"/>
        <w:jc w:val="both"/>
      </w:pPr>
      <w:r>
        <w:rPr/>
        <w:t>Entre 1973 y 1992 no se reportaron brotes de EEV, lo que provocó la especulación de que las cepas epizoóticas IAB e IC se habían extinguido. Sin embargo, varios brotes recientes ponen manifiesto la continua amenaza natural de la EEV en las Américas.</w:t>
      </w:r>
    </w:p>
    <w:p>
      <w:pPr>
        <w:pStyle w:val="BodyText"/>
      </w:pPr>
    </w:p>
    <w:p>
      <w:pPr>
        <w:pStyle w:val="Heading4"/>
        <w:numPr>
          <w:ilvl w:val="1"/>
          <w:numId w:val="4"/>
        </w:numPr>
        <w:tabs>
          <w:tab w:pos="637" w:val="left" w:leader="none"/>
        </w:tabs>
        <w:spacing w:line="240" w:lineRule="auto" w:before="142" w:after="0"/>
        <w:ind w:left="636" w:right="0" w:hanging="534"/>
        <w:jc w:val="both"/>
      </w:pPr>
      <w:r>
        <w:rPr/>
        <w:t>Reemergencia de la</w:t>
      </w:r>
      <w:r>
        <w:rPr>
          <w:spacing w:val="-10"/>
        </w:rPr>
        <w:t> </w:t>
      </w:r>
      <w:r>
        <w:rPr/>
        <w:t>EEV</w:t>
      </w:r>
    </w:p>
    <w:p>
      <w:pPr>
        <w:pStyle w:val="BodyText"/>
        <w:spacing w:line="360" w:lineRule="auto" w:before="137"/>
        <w:ind w:left="102" w:right="115"/>
        <w:jc w:val="both"/>
        <w:rPr>
          <w:sz w:val="16"/>
        </w:rPr>
      </w:pPr>
      <w:r>
        <w:rPr/>
        <w:t>Después de un largo periodo de 19 años sin actividad confirmada de EEV, varios brotes tuvieron lugar durante la última década. El primer brote ocurrió en diciembre de 1992 en Trujillo estado del oeste de Venezuela que se extendió hacia el oeste de la costa del Lago Maracaibo a finales de 1993, durante este brote veinticuatro casos</w:t>
      </w:r>
      <w:r>
        <w:rPr>
          <w:spacing w:val="-8"/>
        </w:rPr>
        <w:t> </w:t>
      </w:r>
      <w:r>
        <w:rPr/>
        <w:t>de</w:t>
      </w:r>
      <w:r>
        <w:rPr>
          <w:spacing w:val="-9"/>
        </w:rPr>
        <w:t> </w:t>
      </w:r>
      <w:r>
        <w:rPr/>
        <w:t>equinos</w:t>
      </w:r>
      <w:r>
        <w:rPr>
          <w:spacing w:val="-8"/>
        </w:rPr>
        <w:t> </w:t>
      </w:r>
      <w:r>
        <w:rPr/>
        <w:t>y</w:t>
      </w:r>
      <w:r>
        <w:rPr>
          <w:spacing w:val="-10"/>
        </w:rPr>
        <w:t> </w:t>
      </w:r>
      <w:r>
        <w:rPr/>
        <w:t>cuatro</w:t>
      </w:r>
      <w:r>
        <w:rPr>
          <w:spacing w:val="-7"/>
        </w:rPr>
        <w:t> </w:t>
      </w:r>
      <w:r>
        <w:rPr/>
        <w:t>de</w:t>
      </w:r>
      <w:r>
        <w:rPr>
          <w:spacing w:val="-7"/>
        </w:rPr>
        <w:t> </w:t>
      </w:r>
      <w:r>
        <w:rPr/>
        <w:t>humanos</w:t>
      </w:r>
      <w:r>
        <w:rPr>
          <w:spacing w:val="-10"/>
        </w:rPr>
        <w:t> </w:t>
      </w:r>
      <w:r>
        <w:rPr/>
        <w:t>fueron</w:t>
      </w:r>
      <w:r>
        <w:rPr>
          <w:spacing w:val="-7"/>
        </w:rPr>
        <w:t> </w:t>
      </w:r>
      <w:r>
        <w:rPr/>
        <w:t>documentados.</w:t>
      </w:r>
      <w:r>
        <w:rPr>
          <w:spacing w:val="-7"/>
        </w:rPr>
        <w:t> </w:t>
      </w:r>
      <w:r>
        <w:rPr/>
        <w:t>A</w:t>
      </w:r>
      <w:r>
        <w:rPr>
          <w:spacing w:val="-9"/>
        </w:rPr>
        <w:t> </w:t>
      </w:r>
      <w:r>
        <w:rPr/>
        <w:t>diferencia</w:t>
      </w:r>
      <w:r>
        <w:rPr>
          <w:spacing w:val="-10"/>
        </w:rPr>
        <w:t> </w:t>
      </w:r>
      <w:r>
        <w:rPr/>
        <w:t>de</w:t>
      </w:r>
      <w:r>
        <w:rPr>
          <w:spacing w:val="-9"/>
        </w:rPr>
        <w:t> </w:t>
      </w:r>
      <w:r>
        <w:rPr/>
        <w:t>otros brotes</w:t>
      </w:r>
      <w:r>
        <w:rPr>
          <w:spacing w:val="-15"/>
        </w:rPr>
        <w:t> </w:t>
      </w:r>
      <w:r>
        <w:rPr/>
        <w:t>extensivos</w:t>
      </w:r>
      <w:r>
        <w:rPr>
          <w:spacing w:val="-15"/>
        </w:rPr>
        <w:t> </w:t>
      </w:r>
      <w:r>
        <w:rPr/>
        <w:t>de</w:t>
      </w:r>
      <w:r>
        <w:rPr>
          <w:spacing w:val="-14"/>
        </w:rPr>
        <w:t> </w:t>
      </w:r>
      <w:r>
        <w:rPr/>
        <w:t>la</w:t>
      </w:r>
      <w:r>
        <w:rPr>
          <w:spacing w:val="-16"/>
        </w:rPr>
        <w:t> </w:t>
      </w:r>
      <w:r>
        <w:rPr/>
        <w:t>región,</w:t>
      </w:r>
      <w:r>
        <w:rPr>
          <w:spacing w:val="-14"/>
        </w:rPr>
        <w:t> </w:t>
      </w:r>
      <w:r>
        <w:rPr/>
        <w:t>este</w:t>
      </w:r>
      <w:r>
        <w:rPr>
          <w:spacing w:val="-16"/>
        </w:rPr>
        <w:t> </w:t>
      </w:r>
      <w:r>
        <w:rPr/>
        <w:t>brote</w:t>
      </w:r>
      <w:r>
        <w:rPr>
          <w:spacing w:val="-16"/>
        </w:rPr>
        <w:t> </w:t>
      </w:r>
      <w:r>
        <w:rPr/>
        <w:t>epizoótico/epidémico</w:t>
      </w:r>
      <w:r>
        <w:rPr>
          <w:spacing w:val="-14"/>
        </w:rPr>
        <w:t> </w:t>
      </w:r>
      <w:r>
        <w:rPr/>
        <w:t>no</w:t>
      </w:r>
      <w:r>
        <w:rPr>
          <w:spacing w:val="-14"/>
        </w:rPr>
        <w:t> </w:t>
      </w:r>
      <w:r>
        <w:rPr/>
        <w:t>se</w:t>
      </w:r>
      <w:r>
        <w:rPr>
          <w:spacing w:val="-16"/>
        </w:rPr>
        <w:t> </w:t>
      </w:r>
      <w:r>
        <w:rPr/>
        <w:t>extendió</w:t>
      </w:r>
      <w:r>
        <w:rPr>
          <w:spacing w:val="-14"/>
        </w:rPr>
        <w:t> </w:t>
      </w:r>
      <w:r>
        <w:rPr/>
        <w:t>hacia la Guajira Península de Venezuela y Colombia.</w:t>
      </w:r>
      <w:r>
        <w:rPr>
          <w:spacing w:val="-14"/>
        </w:rPr>
        <w:t> </w:t>
      </w:r>
      <w:r>
        <w:rPr>
          <w:position w:val="8"/>
          <w:sz w:val="16"/>
        </w:rPr>
        <w:t>(48)</w:t>
      </w:r>
    </w:p>
    <w:p>
      <w:pPr>
        <w:spacing w:after="0" w:line="360" w:lineRule="auto"/>
        <w:jc w:val="both"/>
        <w:rPr>
          <w:sz w:val="16"/>
        </w:rPr>
        <w:sectPr>
          <w:footerReference w:type="default" r:id="rId21"/>
          <w:pgSz w:w="12240" w:h="15840"/>
          <w:pgMar w:footer="642" w:header="0" w:top="1360" w:bottom="840" w:left="1600" w:right="1580"/>
          <w:pgNumType w:start="12"/>
        </w:sectPr>
      </w:pPr>
    </w:p>
    <w:p>
      <w:pPr>
        <w:pStyle w:val="BodyText"/>
        <w:spacing w:line="360" w:lineRule="auto" w:before="54"/>
        <w:ind w:left="102" w:right="116"/>
        <w:jc w:val="both"/>
      </w:pPr>
      <w:r>
        <w:rPr/>
        <w:t>También en el verano de 1993 en las comunidades costeras del sureste de México en el estado de Chiapas, se documentaron un pequeño brote donde fueron documentados 125 casos de equinos con 63 muertes. Tres años después de junio a julio de 1996, ocurrió otra epizootia en el estado adyacente de Oaxaca, involucrando 32 equinos con 12 muertes.</w:t>
      </w:r>
    </w:p>
    <w:p>
      <w:pPr>
        <w:pStyle w:val="BodyText"/>
        <w:spacing w:line="357" w:lineRule="auto" w:before="166"/>
        <w:ind w:left="102" w:right="117"/>
        <w:jc w:val="both"/>
        <w:rPr>
          <w:sz w:val="16"/>
        </w:rPr>
      </w:pPr>
      <w:r>
        <w:rPr/>
        <w:t>En</w:t>
      </w:r>
      <w:r>
        <w:rPr>
          <w:spacing w:val="-11"/>
        </w:rPr>
        <w:t> </w:t>
      </w:r>
      <w:r>
        <w:rPr/>
        <w:t>1995,</w:t>
      </w:r>
      <w:r>
        <w:rPr>
          <w:spacing w:val="-11"/>
        </w:rPr>
        <w:t> </w:t>
      </w:r>
      <w:r>
        <w:rPr/>
        <w:t>uno</w:t>
      </w:r>
      <w:r>
        <w:rPr>
          <w:spacing w:val="-11"/>
        </w:rPr>
        <w:t> </w:t>
      </w:r>
      <w:r>
        <w:rPr/>
        <w:t>de</w:t>
      </w:r>
      <w:r>
        <w:rPr>
          <w:spacing w:val="-11"/>
        </w:rPr>
        <w:t> </w:t>
      </w:r>
      <w:r>
        <w:rPr/>
        <w:t>los</w:t>
      </w:r>
      <w:r>
        <w:rPr>
          <w:spacing w:val="-13"/>
        </w:rPr>
        <w:t> </w:t>
      </w:r>
      <w:r>
        <w:rPr/>
        <w:t>brotes</w:t>
      </w:r>
      <w:r>
        <w:rPr>
          <w:spacing w:val="-14"/>
        </w:rPr>
        <w:t> </w:t>
      </w:r>
      <w:r>
        <w:rPr/>
        <w:t>más</w:t>
      </w:r>
      <w:r>
        <w:rPr>
          <w:spacing w:val="-12"/>
        </w:rPr>
        <w:t> </w:t>
      </w:r>
      <w:r>
        <w:rPr/>
        <w:t>grandes</w:t>
      </w:r>
      <w:r>
        <w:rPr>
          <w:spacing w:val="-12"/>
        </w:rPr>
        <w:t> </w:t>
      </w:r>
      <w:r>
        <w:rPr/>
        <w:t>de</w:t>
      </w:r>
      <w:r>
        <w:rPr>
          <w:spacing w:val="-11"/>
        </w:rPr>
        <w:t> </w:t>
      </w:r>
      <w:r>
        <w:rPr/>
        <w:t>los</w:t>
      </w:r>
      <w:r>
        <w:rPr>
          <w:spacing w:val="-12"/>
        </w:rPr>
        <w:t> </w:t>
      </w:r>
      <w:r>
        <w:rPr/>
        <w:t>que</w:t>
      </w:r>
      <w:r>
        <w:rPr>
          <w:spacing w:val="-11"/>
        </w:rPr>
        <w:t> </w:t>
      </w:r>
      <w:r>
        <w:rPr/>
        <w:t>se</w:t>
      </w:r>
      <w:r>
        <w:rPr>
          <w:spacing w:val="-8"/>
        </w:rPr>
        <w:t> </w:t>
      </w:r>
      <w:r>
        <w:rPr/>
        <w:t>han</w:t>
      </w:r>
      <w:r>
        <w:rPr>
          <w:spacing w:val="-13"/>
        </w:rPr>
        <w:t> </w:t>
      </w:r>
      <w:r>
        <w:rPr/>
        <w:t>tenido</w:t>
      </w:r>
      <w:r>
        <w:rPr>
          <w:spacing w:val="-9"/>
        </w:rPr>
        <w:t> </w:t>
      </w:r>
      <w:r>
        <w:rPr/>
        <w:t>registro,</w:t>
      </w:r>
      <w:r>
        <w:rPr>
          <w:spacing w:val="-11"/>
        </w:rPr>
        <w:t> </w:t>
      </w:r>
      <w:r>
        <w:rPr/>
        <w:t>comenzó en Venezuela y se extendió a Colombia e involucro a un estimado de 75,000 a 100,000 personas.</w:t>
      </w:r>
      <w:r>
        <w:rPr>
          <w:spacing w:val="-10"/>
        </w:rPr>
        <w:t> </w:t>
      </w:r>
      <w:r>
        <w:rPr>
          <w:position w:val="8"/>
          <w:sz w:val="16"/>
        </w:rPr>
        <w:t>(49)</w:t>
      </w:r>
    </w:p>
    <w:p>
      <w:pPr>
        <w:pStyle w:val="BodyText"/>
        <w:spacing w:line="360" w:lineRule="auto" w:before="4"/>
        <w:ind w:left="102" w:right="119"/>
        <w:jc w:val="both"/>
        <w:rPr>
          <w:sz w:val="16"/>
        </w:rPr>
      </w:pPr>
      <w:r>
        <w:rPr/>
        <w:t>Medidas de control de emergencia, incluyendo la restricción de la movilización de los</w:t>
      </w:r>
      <w:r>
        <w:rPr>
          <w:spacing w:val="-11"/>
        </w:rPr>
        <w:t> </w:t>
      </w:r>
      <w:r>
        <w:rPr/>
        <w:t>equinos,</w:t>
      </w:r>
      <w:r>
        <w:rPr>
          <w:spacing w:val="-13"/>
        </w:rPr>
        <w:t> </w:t>
      </w:r>
      <w:r>
        <w:rPr/>
        <w:t>aplicaciones</w:t>
      </w:r>
      <w:r>
        <w:rPr>
          <w:spacing w:val="-12"/>
        </w:rPr>
        <w:t> </w:t>
      </w:r>
      <w:r>
        <w:rPr/>
        <w:t>áreas</w:t>
      </w:r>
      <w:r>
        <w:rPr>
          <w:spacing w:val="-14"/>
        </w:rPr>
        <w:t> </w:t>
      </w:r>
      <w:r>
        <w:rPr/>
        <w:t>y</w:t>
      </w:r>
      <w:r>
        <w:rPr>
          <w:spacing w:val="-14"/>
        </w:rPr>
        <w:t> </w:t>
      </w:r>
      <w:r>
        <w:rPr/>
        <w:t>terrestres</w:t>
      </w:r>
      <w:r>
        <w:rPr>
          <w:spacing w:val="-12"/>
        </w:rPr>
        <w:t> </w:t>
      </w:r>
      <w:r>
        <w:rPr/>
        <w:t>de</w:t>
      </w:r>
      <w:r>
        <w:rPr>
          <w:spacing w:val="-11"/>
        </w:rPr>
        <w:t> </w:t>
      </w:r>
      <w:r>
        <w:rPr/>
        <w:t>insecticidas,</w:t>
      </w:r>
      <w:r>
        <w:rPr>
          <w:spacing w:val="42"/>
        </w:rPr>
        <w:t> </w:t>
      </w:r>
      <w:r>
        <w:rPr/>
        <w:t>el</w:t>
      </w:r>
      <w:r>
        <w:rPr>
          <w:spacing w:val="-12"/>
        </w:rPr>
        <w:t> </w:t>
      </w:r>
      <w:r>
        <w:rPr/>
        <w:t>cese</w:t>
      </w:r>
      <w:r>
        <w:rPr>
          <w:spacing w:val="-13"/>
        </w:rPr>
        <w:t> </w:t>
      </w:r>
      <w:r>
        <w:rPr/>
        <w:t>a</w:t>
      </w:r>
      <w:r>
        <w:rPr>
          <w:spacing w:val="-11"/>
        </w:rPr>
        <w:t> </w:t>
      </w:r>
      <w:r>
        <w:rPr/>
        <w:t>la</w:t>
      </w:r>
      <w:r>
        <w:rPr>
          <w:spacing w:val="-11"/>
        </w:rPr>
        <w:t> </w:t>
      </w:r>
      <w:r>
        <w:rPr/>
        <w:t>importación de</w:t>
      </w:r>
      <w:r>
        <w:rPr>
          <w:spacing w:val="-8"/>
        </w:rPr>
        <w:t> </w:t>
      </w:r>
      <w:r>
        <w:rPr/>
        <w:t>equinos</w:t>
      </w:r>
      <w:r>
        <w:rPr>
          <w:spacing w:val="-9"/>
        </w:rPr>
        <w:t> </w:t>
      </w:r>
      <w:r>
        <w:rPr/>
        <w:t>a</w:t>
      </w:r>
      <w:r>
        <w:rPr>
          <w:spacing w:val="-8"/>
        </w:rPr>
        <w:t> </w:t>
      </w:r>
      <w:r>
        <w:rPr/>
        <w:t>los</w:t>
      </w:r>
      <w:r>
        <w:rPr>
          <w:spacing w:val="-9"/>
        </w:rPr>
        <w:t> </w:t>
      </w:r>
      <w:r>
        <w:rPr/>
        <w:t>Estados</w:t>
      </w:r>
      <w:r>
        <w:rPr>
          <w:spacing w:val="-9"/>
        </w:rPr>
        <w:t> </w:t>
      </w:r>
      <w:r>
        <w:rPr/>
        <w:t>Unidos</w:t>
      </w:r>
      <w:r>
        <w:rPr>
          <w:spacing w:val="-12"/>
        </w:rPr>
        <w:t> </w:t>
      </w:r>
      <w:r>
        <w:rPr/>
        <w:t>y</w:t>
      </w:r>
      <w:r>
        <w:rPr>
          <w:spacing w:val="-12"/>
        </w:rPr>
        <w:t> </w:t>
      </w:r>
      <w:r>
        <w:rPr/>
        <w:t>la</w:t>
      </w:r>
      <w:r>
        <w:rPr>
          <w:spacing w:val="-6"/>
        </w:rPr>
        <w:t> </w:t>
      </w:r>
      <w:r>
        <w:rPr/>
        <w:t>vacunación</w:t>
      </w:r>
      <w:r>
        <w:rPr>
          <w:spacing w:val="49"/>
        </w:rPr>
        <w:t> </w:t>
      </w:r>
      <w:r>
        <w:rPr/>
        <w:t>(TC-83)</w:t>
      </w:r>
      <w:r>
        <w:rPr>
          <w:spacing w:val="-10"/>
        </w:rPr>
        <w:t> </w:t>
      </w:r>
      <w:r>
        <w:rPr/>
        <w:t>de</w:t>
      </w:r>
      <w:r>
        <w:rPr>
          <w:spacing w:val="-11"/>
        </w:rPr>
        <w:t> </w:t>
      </w:r>
      <w:r>
        <w:rPr/>
        <w:t>38,000</w:t>
      </w:r>
      <w:r>
        <w:rPr>
          <w:spacing w:val="-11"/>
        </w:rPr>
        <w:t> </w:t>
      </w:r>
      <w:r>
        <w:rPr/>
        <w:t>(1993),</w:t>
      </w:r>
      <w:r>
        <w:rPr>
          <w:spacing w:val="-12"/>
        </w:rPr>
        <w:t> </w:t>
      </w:r>
      <w:r>
        <w:rPr/>
        <w:t>95,000 (1995) y 16,000 (1996) fueron establecidas para contener los brotes. Desde 1996, casos esporádicos de encefalitis equinas han ocurrido en México y Centroamérica pero permanecen sin ser confirmados por medio de aislamiento viral o serología específica.</w:t>
      </w:r>
      <w:r>
        <w:rPr>
          <w:spacing w:val="-4"/>
        </w:rPr>
        <w:t> </w:t>
      </w:r>
      <w:r>
        <w:rPr>
          <w:position w:val="8"/>
          <w:sz w:val="16"/>
        </w:rPr>
        <w:t>(33)</w:t>
      </w:r>
    </w:p>
    <w:p>
      <w:pPr>
        <w:spacing w:after="0" w:line="360" w:lineRule="auto"/>
        <w:jc w:val="both"/>
        <w:rPr>
          <w:sz w:val="16"/>
        </w:rPr>
        <w:sectPr>
          <w:pgSz w:w="12240" w:h="15840"/>
          <w:pgMar w:header="0" w:footer="642" w:top="1360" w:bottom="840" w:left="1600" w:right="1580"/>
        </w:sectPr>
      </w:pPr>
    </w:p>
    <w:p>
      <w:pPr>
        <w:pStyle w:val="BodyText"/>
        <w:ind w:left="101"/>
        <w:rPr>
          <w:sz w:val="20"/>
        </w:rPr>
      </w:pPr>
      <w:r>
        <w:rPr>
          <w:sz w:val="20"/>
        </w:rPr>
        <w:drawing>
          <wp:inline distT="0" distB="0" distL="0" distR="0">
            <wp:extent cx="5627010" cy="6664833"/>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3" cstate="print"/>
                    <a:stretch>
                      <a:fillRect/>
                    </a:stretch>
                  </pic:blipFill>
                  <pic:spPr>
                    <a:xfrm>
                      <a:off x="0" y="0"/>
                      <a:ext cx="5627010" cy="6664833"/>
                    </a:xfrm>
                    <a:prstGeom prst="rect">
                      <a:avLst/>
                    </a:prstGeom>
                  </pic:spPr>
                </pic:pic>
              </a:graphicData>
            </a:graphic>
          </wp:inline>
        </w:drawing>
      </w:r>
      <w:r>
        <w:rPr>
          <w:sz w:val="20"/>
        </w:rPr>
      </w:r>
    </w:p>
    <w:p>
      <w:pPr>
        <w:spacing w:line="242" w:lineRule="auto" w:before="105"/>
        <w:ind w:left="102" w:right="98" w:firstLine="0"/>
        <w:jc w:val="both"/>
        <w:rPr>
          <w:sz w:val="22"/>
        </w:rPr>
      </w:pPr>
      <w:r>
        <w:rPr>
          <w:b/>
          <w:sz w:val="22"/>
        </w:rPr>
        <w:t>Figura 6 Localización de las epizootias de EEV. </w:t>
      </w:r>
      <w:r>
        <w:rPr>
          <w:sz w:val="22"/>
        </w:rPr>
        <w:t>El mapa muestra la ubicación de las diferentes epizootias desde que el virus fue aislado en 1938, junto con los subtipos virales implicados como agentes etiológicos.</w:t>
      </w:r>
    </w:p>
    <w:p>
      <w:pPr>
        <w:spacing w:after="0" w:line="242" w:lineRule="auto"/>
        <w:jc w:val="both"/>
        <w:rPr>
          <w:sz w:val="22"/>
        </w:rPr>
        <w:sectPr>
          <w:footerReference w:type="default" r:id="rId22"/>
          <w:pgSz w:w="12240" w:h="15840"/>
          <w:pgMar w:footer="789" w:header="0" w:top="1420" w:bottom="980" w:left="1600" w:right="1600"/>
          <w:pgNumType w:start="14"/>
        </w:sectPr>
      </w:pPr>
    </w:p>
    <w:p>
      <w:pPr>
        <w:pStyle w:val="Heading4"/>
        <w:numPr>
          <w:ilvl w:val="1"/>
          <w:numId w:val="4"/>
        </w:numPr>
        <w:tabs>
          <w:tab w:pos="572" w:val="left" w:leader="none"/>
        </w:tabs>
        <w:spacing w:line="240" w:lineRule="auto" w:before="54" w:after="0"/>
        <w:ind w:left="571" w:right="0" w:hanging="469"/>
        <w:jc w:val="both"/>
      </w:pPr>
      <w:r>
        <w:rPr/>
        <w:t>La Encefalitis Equina Venezolana en</w:t>
      </w:r>
      <w:r>
        <w:rPr>
          <w:spacing w:val="-16"/>
        </w:rPr>
        <w:t> </w:t>
      </w:r>
      <w:r>
        <w:rPr/>
        <w:t>México.</w:t>
      </w:r>
    </w:p>
    <w:p>
      <w:pPr>
        <w:pStyle w:val="BodyText"/>
        <w:rPr>
          <w:b/>
        </w:rPr>
      </w:pPr>
    </w:p>
    <w:p>
      <w:pPr>
        <w:pStyle w:val="BodyText"/>
        <w:rPr>
          <w:b/>
        </w:rPr>
      </w:pPr>
    </w:p>
    <w:p>
      <w:pPr>
        <w:pStyle w:val="BodyText"/>
        <w:spacing w:line="360" w:lineRule="auto"/>
        <w:ind w:left="102" w:right="120"/>
        <w:jc w:val="both"/>
      </w:pPr>
      <w:r>
        <w:rPr/>
        <w:t>La actividad de la EEV en México se conoció desde 1962 cuando ocurrió un brote de encefalitis en seres humanos en Champotón Campeche, donde un total de 13 casos</w:t>
      </w:r>
      <w:r>
        <w:rPr>
          <w:spacing w:val="-9"/>
        </w:rPr>
        <w:t> </w:t>
      </w:r>
      <w:r>
        <w:rPr/>
        <w:t>humanos</w:t>
      </w:r>
      <w:r>
        <w:rPr>
          <w:spacing w:val="-12"/>
        </w:rPr>
        <w:t> </w:t>
      </w:r>
      <w:r>
        <w:rPr/>
        <w:t>fueron</w:t>
      </w:r>
      <w:r>
        <w:rPr>
          <w:spacing w:val="-10"/>
        </w:rPr>
        <w:t> </w:t>
      </w:r>
      <w:r>
        <w:rPr/>
        <w:t>detectados</w:t>
      </w:r>
      <w:r>
        <w:rPr>
          <w:spacing w:val="-12"/>
        </w:rPr>
        <w:t> </w:t>
      </w:r>
      <w:r>
        <w:rPr/>
        <w:t>por</w:t>
      </w:r>
      <w:r>
        <w:rPr>
          <w:spacing w:val="-10"/>
        </w:rPr>
        <w:t> </w:t>
      </w:r>
      <w:r>
        <w:rPr/>
        <w:t>serología;</w:t>
      </w:r>
      <w:r>
        <w:rPr>
          <w:spacing w:val="-9"/>
        </w:rPr>
        <w:t> </w:t>
      </w:r>
      <w:r>
        <w:rPr/>
        <w:t>cinco</w:t>
      </w:r>
      <w:r>
        <w:rPr>
          <w:spacing w:val="-8"/>
        </w:rPr>
        <w:t> </w:t>
      </w:r>
      <w:r>
        <w:rPr/>
        <w:t>pacientes</w:t>
      </w:r>
      <w:r>
        <w:rPr>
          <w:spacing w:val="-12"/>
        </w:rPr>
        <w:t> </w:t>
      </w:r>
      <w:r>
        <w:rPr/>
        <w:t>murieron</w:t>
      </w:r>
      <w:r>
        <w:rPr>
          <w:spacing w:val="-8"/>
        </w:rPr>
        <w:t> </w:t>
      </w:r>
      <w:r>
        <w:rPr/>
        <w:t>(38%</w:t>
      </w:r>
      <w:r>
        <w:rPr>
          <w:spacing w:val="-9"/>
        </w:rPr>
        <w:t> </w:t>
      </w:r>
      <w:r>
        <w:rPr/>
        <w:t>de fatalidad) y tres presentaron secuelas</w:t>
      </w:r>
      <w:r>
        <w:rPr>
          <w:spacing w:val="-12"/>
        </w:rPr>
        <w:t> </w:t>
      </w:r>
      <w:r>
        <w:rPr/>
        <w:t>neurológicas.</w:t>
      </w:r>
    </w:p>
    <w:p>
      <w:pPr>
        <w:pStyle w:val="BodyText"/>
        <w:spacing w:line="360" w:lineRule="auto" w:before="2"/>
        <w:ind w:left="102" w:right="120"/>
        <w:jc w:val="both"/>
      </w:pPr>
      <w:r>
        <w:rPr/>
        <w:t>Estudios</w:t>
      </w:r>
      <w:r>
        <w:rPr>
          <w:spacing w:val="-18"/>
        </w:rPr>
        <w:t> </w:t>
      </w:r>
      <w:r>
        <w:rPr/>
        <w:t>realizados</w:t>
      </w:r>
      <w:r>
        <w:rPr>
          <w:spacing w:val="-19"/>
        </w:rPr>
        <w:t> </w:t>
      </w:r>
      <w:r>
        <w:rPr/>
        <w:t>entre</w:t>
      </w:r>
      <w:r>
        <w:rPr>
          <w:spacing w:val="-16"/>
        </w:rPr>
        <w:t> </w:t>
      </w:r>
      <w:r>
        <w:rPr/>
        <w:t>1962-1964</w:t>
      </w:r>
      <w:r>
        <w:rPr>
          <w:spacing w:val="-18"/>
        </w:rPr>
        <w:t> </w:t>
      </w:r>
      <w:r>
        <w:rPr/>
        <w:t>en</w:t>
      </w:r>
      <w:r>
        <w:rPr>
          <w:spacing w:val="-18"/>
        </w:rPr>
        <w:t> </w:t>
      </w:r>
      <w:r>
        <w:rPr/>
        <w:t>el</w:t>
      </w:r>
      <w:r>
        <w:rPr>
          <w:spacing w:val="-19"/>
        </w:rPr>
        <w:t> </w:t>
      </w:r>
      <w:r>
        <w:rPr/>
        <w:t>sureste</w:t>
      </w:r>
      <w:r>
        <w:rPr>
          <w:spacing w:val="-18"/>
        </w:rPr>
        <w:t> </w:t>
      </w:r>
      <w:r>
        <w:rPr/>
        <w:t>de</w:t>
      </w:r>
      <w:r>
        <w:rPr>
          <w:spacing w:val="-18"/>
        </w:rPr>
        <w:t> </w:t>
      </w:r>
      <w:r>
        <w:rPr/>
        <w:t>la</w:t>
      </w:r>
      <w:r>
        <w:rPr>
          <w:spacing w:val="-16"/>
        </w:rPr>
        <w:t> </w:t>
      </w:r>
      <w:r>
        <w:rPr/>
        <w:t>costa</w:t>
      </w:r>
      <w:r>
        <w:rPr>
          <w:spacing w:val="-17"/>
        </w:rPr>
        <w:t> </w:t>
      </w:r>
      <w:r>
        <w:rPr/>
        <w:t>del</w:t>
      </w:r>
      <w:r>
        <w:rPr>
          <w:spacing w:val="-19"/>
        </w:rPr>
        <w:t> </w:t>
      </w:r>
      <w:r>
        <w:rPr/>
        <w:t>Golfo,</w:t>
      </w:r>
      <w:r>
        <w:rPr>
          <w:spacing w:val="-16"/>
        </w:rPr>
        <w:t> </w:t>
      </w:r>
      <w:r>
        <w:rPr/>
        <w:t>que</w:t>
      </w:r>
      <w:r>
        <w:rPr>
          <w:spacing w:val="-18"/>
        </w:rPr>
        <w:t> </w:t>
      </w:r>
      <w:r>
        <w:rPr/>
        <w:t>incluían los estados de Quintana Roo, Yucatán, Tabasco y Veracruz, identificaron seropositividad para EEV en humanos del 3% de 770 individuos</w:t>
      </w:r>
      <w:r>
        <w:rPr>
          <w:spacing w:val="-27"/>
        </w:rPr>
        <w:t> </w:t>
      </w:r>
      <w:r>
        <w:rPr/>
        <w:t>muestreados.</w:t>
      </w:r>
    </w:p>
    <w:p>
      <w:pPr>
        <w:pStyle w:val="BodyText"/>
        <w:spacing w:line="360" w:lineRule="auto" w:before="5"/>
        <w:ind w:left="102" w:right="123"/>
        <w:jc w:val="both"/>
      </w:pPr>
      <w:r>
        <w:rPr/>
        <w:t>Posteriormente el virus fue aislado por Scherer y colaboradores en 1963 en mosquitos</w:t>
      </w:r>
      <w:r>
        <w:rPr>
          <w:spacing w:val="-14"/>
        </w:rPr>
        <w:t> </w:t>
      </w:r>
      <w:r>
        <w:rPr/>
        <w:t>y</w:t>
      </w:r>
      <w:r>
        <w:rPr>
          <w:spacing w:val="-14"/>
        </w:rPr>
        <w:t> </w:t>
      </w:r>
      <w:r>
        <w:rPr/>
        <w:t>hámsters</w:t>
      </w:r>
      <w:r>
        <w:rPr>
          <w:spacing w:val="38"/>
        </w:rPr>
        <w:t> </w:t>
      </w:r>
      <w:r>
        <w:rPr/>
        <w:t>centinelas</w:t>
      </w:r>
      <w:r>
        <w:rPr>
          <w:spacing w:val="-13"/>
        </w:rPr>
        <w:t> </w:t>
      </w:r>
      <w:r>
        <w:rPr/>
        <w:t>en</w:t>
      </w:r>
      <w:r>
        <w:rPr>
          <w:spacing w:val="-13"/>
        </w:rPr>
        <w:t> </w:t>
      </w:r>
      <w:r>
        <w:rPr/>
        <w:t>la</w:t>
      </w:r>
      <w:r>
        <w:rPr>
          <w:spacing w:val="-13"/>
        </w:rPr>
        <w:t> </w:t>
      </w:r>
      <w:r>
        <w:rPr/>
        <w:t>costa</w:t>
      </w:r>
      <w:r>
        <w:rPr>
          <w:spacing w:val="-13"/>
        </w:rPr>
        <w:t> </w:t>
      </w:r>
      <w:r>
        <w:rPr/>
        <w:t>del</w:t>
      </w:r>
      <w:r>
        <w:rPr>
          <w:spacing w:val="-13"/>
        </w:rPr>
        <w:t> </w:t>
      </w:r>
      <w:r>
        <w:rPr/>
        <w:t>Golfo</w:t>
      </w:r>
      <w:r>
        <w:rPr>
          <w:spacing w:val="-13"/>
        </w:rPr>
        <w:t> </w:t>
      </w:r>
      <w:r>
        <w:rPr/>
        <w:t>de</w:t>
      </w:r>
      <w:r>
        <w:rPr>
          <w:spacing w:val="-12"/>
        </w:rPr>
        <w:t> </w:t>
      </w:r>
      <w:r>
        <w:rPr/>
        <w:t>México</w:t>
      </w:r>
      <w:r>
        <w:rPr>
          <w:spacing w:val="-13"/>
        </w:rPr>
        <w:t> </w:t>
      </w:r>
      <w:r>
        <w:rPr/>
        <w:t>en</w:t>
      </w:r>
      <w:r>
        <w:rPr>
          <w:spacing w:val="-13"/>
        </w:rPr>
        <w:t> </w:t>
      </w:r>
      <w:r>
        <w:rPr/>
        <w:t>Sontecomapan al sur del Veracruz; la cepa aislada fue del subtipo</w:t>
      </w:r>
      <w:r>
        <w:rPr>
          <w:spacing w:val="-14"/>
        </w:rPr>
        <w:t> </w:t>
      </w:r>
      <w:r>
        <w:rPr/>
        <w:t>IE.</w:t>
      </w:r>
    </w:p>
    <w:p>
      <w:pPr>
        <w:pStyle w:val="BodyText"/>
        <w:spacing w:line="360" w:lineRule="auto" w:before="2"/>
        <w:ind w:left="102" w:right="119"/>
        <w:jc w:val="both"/>
      </w:pPr>
      <w:r>
        <w:rPr/>
        <w:t>En 1965 se reportó la muerte de una persona asociada con el subtipo IE del VEEV en la comunidad de Jaltipan, Veracruz.</w:t>
      </w:r>
    </w:p>
    <w:p>
      <w:pPr>
        <w:pStyle w:val="BodyText"/>
        <w:spacing w:line="360" w:lineRule="auto" w:before="2"/>
        <w:ind w:left="102" w:right="117"/>
        <w:jc w:val="both"/>
        <w:rPr>
          <w:sz w:val="16"/>
        </w:rPr>
      </w:pPr>
      <w:r>
        <w:rPr/>
        <w:t>Hasta entonces el subtipo IE del VEEV se había considerado avirulento para los equinos basado en infecciones experimentales de caballos con cepas IE aisladas en</w:t>
      </w:r>
      <w:r>
        <w:rPr>
          <w:spacing w:val="-8"/>
        </w:rPr>
        <w:t> </w:t>
      </w:r>
      <w:r>
        <w:rPr/>
        <w:t>México</w:t>
      </w:r>
      <w:r>
        <w:rPr>
          <w:spacing w:val="-9"/>
        </w:rPr>
        <w:t> </w:t>
      </w:r>
      <w:r>
        <w:rPr/>
        <w:t>y</w:t>
      </w:r>
      <w:r>
        <w:rPr>
          <w:spacing w:val="-12"/>
        </w:rPr>
        <w:t> </w:t>
      </w:r>
      <w:r>
        <w:rPr/>
        <w:t>Nicaragua</w:t>
      </w:r>
      <w:r>
        <w:rPr>
          <w:spacing w:val="-8"/>
        </w:rPr>
        <w:t> </w:t>
      </w:r>
      <w:r>
        <w:rPr/>
        <w:t>en</w:t>
      </w:r>
      <w:r>
        <w:rPr>
          <w:spacing w:val="-11"/>
        </w:rPr>
        <w:t> </w:t>
      </w:r>
      <w:r>
        <w:rPr/>
        <w:t>1960</w:t>
      </w:r>
      <w:r>
        <w:rPr>
          <w:spacing w:val="-6"/>
        </w:rPr>
        <w:t> </w:t>
      </w:r>
      <w:r>
        <w:rPr/>
        <w:t>y</w:t>
      </w:r>
      <w:r>
        <w:rPr>
          <w:spacing w:val="-12"/>
        </w:rPr>
        <w:t> </w:t>
      </w:r>
      <w:r>
        <w:rPr/>
        <w:t>en</w:t>
      </w:r>
      <w:r>
        <w:rPr>
          <w:spacing w:val="-8"/>
        </w:rPr>
        <w:t> </w:t>
      </w:r>
      <w:r>
        <w:rPr/>
        <w:t>la</w:t>
      </w:r>
      <w:r>
        <w:rPr>
          <w:spacing w:val="-11"/>
        </w:rPr>
        <w:t> </w:t>
      </w:r>
      <w:r>
        <w:rPr/>
        <w:t>observación</w:t>
      </w:r>
      <w:r>
        <w:rPr>
          <w:spacing w:val="-11"/>
        </w:rPr>
        <w:t> </w:t>
      </w:r>
      <w:r>
        <w:rPr/>
        <w:t>de</w:t>
      </w:r>
      <w:r>
        <w:rPr>
          <w:spacing w:val="-8"/>
        </w:rPr>
        <w:t> </w:t>
      </w:r>
      <w:r>
        <w:rPr/>
        <w:t>caballos</w:t>
      </w:r>
      <w:r>
        <w:rPr>
          <w:spacing w:val="-9"/>
        </w:rPr>
        <w:t> </w:t>
      </w:r>
      <w:r>
        <w:rPr/>
        <w:t>y</w:t>
      </w:r>
      <w:r>
        <w:rPr>
          <w:spacing w:val="-12"/>
        </w:rPr>
        <w:t> </w:t>
      </w:r>
      <w:r>
        <w:rPr/>
        <w:t>burros</w:t>
      </w:r>
      <w:r>
        <w:rPr>
          <w:spacing w:val="48"/>
        </w:rPr>
        <w:t> </w:t>
      </w:r>
      <w:r>
        <w:rPr/>
        <w:t>infectados naturalmente en México.</w:t>
      </w:r>
      <w:r>
        <w:rPr>
          <w:spacing w:val="-10"/>
        </w:rPr>
        <w:t> </w:t>
      </w:r>
      <w:r>
        <w:rPr>
          <w:position w:val="8"/>
          <w:sz w:val="16"/>
        </w:rPr>
        <w:t>(138,139)</w:t>
      </w:r>
    </w:p>
    <w:p>
      <w:pPr>
        <w:pStyle w:val="BodyText"/>
        <w:spacing w:line="360" w:lineRule="auto"/>
        <w:ind w:left="102" w:right="117"/>
        <w:jc w:val="both"/>
        <w:rPr>
          <w:sz w:val="16"/>
        </w:rPr>
      </w:pPr>
      <w:r>
        <w:rPr/>
        <w:t>Sin embargo en 1966, un brote encefalitis equina, consistente con etiología viral</w:t>
      </w:r>
      <w:r>
        <w:rPr>
          <w:spacing w:val="-32"/>
        </w:rPr>
        <w:t> </w:t>
      </w:r>
      <w:r>
        <w:rPr/>
        <w:t>de EEV que ocurrió en la costa noroeste de Tamaulipas fue atribuida al subtipo IE del VEEV,</w:t>
      </w:r>
      <w:r>
        <w:rPr>
          <w:spacing w:val="-12"/>
        </w:rPr>
        <w:t> </w:t>
      </w:r>
      <w:r>
        <w:rPr/>
        <w:t>pero</w:t>
      </w:r>
      <w:r>
        <w:rPr>
          <w:spacing w:val="-12"/>
        </w:rPr>
        <w:t> </w:t>
      </w:r>
      <w:r>
        <w:rPr/>
        <w:t>no</w:t>
      </w:r>
      <w:r>
        <w:rPr>
          <w:spacing w:val="-9"/>
        </w:rPr>
        <w:t> </w:t>
      </w:r>
      <w:r>
        <w:rPr/>
        <w:t>existen</w:t>
      </w:r>
      <w:r>
        <w:rPr>
          <w:spacing w:val="-12"/>
        </w:rPr>
        <w:t> </w:t>
      </w:r>
      <w:r>
        <w:rPr/>
        <w:t>aislados</w:t>
      </w:r>
      <w:r>
        <w:rPr>
          <w:spacing w:val="-10"/>
        </w:rPr>
        <w:t> </w:t>
      </w:r>
      <w:r>
        <w:rPr/>
        <w:t>virales</w:t>
      </w:r>
      <w:r>
        <w:rPr>
          <w:spacing w:val="-10"/>
        </w:rPr>
        <w:t> </w:t>
      </w:r>
      <w:r>
        <w:rPr/>
        <w:t>de</w:t>
      </w:r>
      <w:r>
        <w:rPr>
          <w:spacing w:val="-9"/>
        </w:rPr>
        <w:t> </w:t>
      </w:r>
      <w:r>
        <w:rPr/>
        <w:t>ese</w:t>
      </w:r>
      <w:r>
        <w:rPr>
          <w:spacing w:val="-12"/>
        </w:rPr>
        <w:t> </w:t>
      </w:r>
      <w:r>
        <w:rPr/>
        <w:t>brote</w:t>
      </w:r>
      <w:r>
        <w:rPr>
          <w:spacing w:val="-9"/>
        </w:rPr>
        <w:t> </w:t>
      </w:r>
      <w:r>
        <w:rPr/>
        <w:t>para</w:t>
      </w:r>
      <w:r>
        <w:rPr>
          <w:spacing w:val="-10"/>
        </w:rPr>
        <w:t> </w:t>
      </w:r>
      <w:r>
        <w:rPr/>
        <w:t>caracterización</w:t>
      </w:r>
      <w:r>
        <w:rPr>
          <w:spacing w:val="-9"/>
        </w:rPr>
        <w:t> </w:t>
      </w:r>
      <w:r>
        <w:rPr/>
        <w:t>serológica o genética; durante la epizootia se reportaron 1,000 animales con encefalitis y 300 </w:t>
      </w:r>
      <w:r>
        <w:rPr>
          <w:position w:val="-7"/>
        </w:rPr>
        <w:t>muertes</w:t>
      </w:r>
      <w:r>
        <w:rPr>
          <w:sz w:val="16"/>
        </w:rPr>
        <w:t>. (105, 140, 141, 142,</w:t>
      </w:r>
      <w:r>
        <w:rPr>
          <w:spacing w:val="-13"/>
          <w:sz w:val="16"/>
        </w:rPr>
        <w:t> </w:t>
      </w:r>
      <w:r>
        <w:rPr>
          <w:sz w:val="16"/>
        </w:rPr>
        <w:t>143)</w:t>
      </w:r>
    </w:p>
    <w:p>
      <w:pPr>
        <w:pStyle w:val="BodyText"/>
        <w:spacing w:line="360" w:lineRule="auto"/>
        <w:ind w:left="102" w:right="118"/>
        <w:jc w:val="both"/>
      </w:pPr>
      <w:r>
        <w:rPr/>
        <w:t>A</w:t>
      </w:r>
      <w:r>
        <w:rPr>
          <w:spacing w:val="-6"/>
        </w:rPr>
        <w:t> </w:t>
      </w:r>
      <w:r>
        <w:rPr/>
        <w:t>finales</w:t>
      </w:r>
      <w:r>
        <w:rPr>
          <w:spacing w:val="-4"/>
        </w:rPr>
        <w:t> </w:t>
      </w:r>
      <w:r>
        <w:rPr/>
        <w:t>de</w:t>
      </w:r>
      <w:r>
        <w:rPr>
          <w:spacing w:val="-4"/>
        </w:rPr>
        <w:t> </w:t>
      </w:r>
      <w:r>
        <w:rPr/>
        <w:t>la</w:t>
      </w:r>
      <w:r>
        <w:rPr>
          <w:spacing w:val="-6"/>
        </w:rPr>
        <w:t> </w:t>
      </w:r>
      <w:r>
        <w:rPr/>
        <w:t>década</w:t>
      </w:r>
      <w:r>
        <w:rPr>
          <w:spacing w:val="-6"/>
        </w:rPr>
        <w:t> </w:t>
      </w:r>
      <w:r>
        <w:rPr/>
        <w:t>de</w:t>
      </w:r>
      <w:r>
        <w:rPr>
          <w:spacing w:val="-4"/>
        </w:rPr>
        <w:t> </w:t>
      </w:r>
      <w:r>
        <w:rPr/>
        <w:t>los</w:t>
      </w:r>
      <w:r>
        <w:rPr>
          <w:spacing w:val="-6"/>
        </w:rPr>
        <w:t> </w:t>
      </w:r>
      <w:r>
        <w:rPr/>
        <w:t>60’s</w:t>
      </w:r>
      <w:r>
        <w:rPr>
          <w:spacing w:val="-7"/>
        </w:rPr>
        <w:t> </w:t>
      </w:r>
      <w:r>
        <w:rPr/>
        <w:t>y</w:t>
      </w:r>
      <w:r>
        <w:rPr>
          <w:spacing w:val="-7"/>
        </w:rPr>
        <w:t> </w:t>
      </w:r>
      <w:r>
        <w:rPr/>
        <w:t>principios</w:t>
      </w:r>
      <w:r>
        <w:rPr>
          <w:spacing w:val="-7"/>
        </w:rPr>
        <w:t> </w:t>
      </w:r>
      <w:r>
        <w:rPr/>
        <w:t>de</w:t>
      </w:r>
      <w:r>
        <w:rPr>
          <w:spacing w:val="-6"/>
        </w:rPr>
        <w:t> </w:t>
      </w:r>
      <w:r>
        <w:rPr/>
        <w:t>los</w:t>
      </w:r>
      <w:r>
        <w:rPr>
          <w:spacing w:val="-4"/>
        </w:rPr>
        <w:t> </w:t>
      </w:r>
      <w:r>
        <w:rPr/>
        <w:t>70’s</w:t>
      </w:r>
      <w:r>
        <w:rPr>
          <w:spacing w:val="-4"/>
        </w:rPr>
        <w:t> </w:t>
      </w:r>
      <w:r>
        <w:rPr/>
        <w:t>un</w:t>
      </w:r>
      <w:r>
        <w:rPr>
          <w:spacing w:val="-4"/>
        </w:rPr>
        <w:t> </w:t>
      </w:r>
      <w:r>
        <w:rPr/>
        <w:t>brote</w:t>
      </w:r>
      <w:r>
        <w:rPr>
          <w:spacing w:val="-5"/>
        </w:rPr>
        <w:t> </w:t>
      </w:r>
      <w:r>
        <w:rPr/>
        <w:t>de</w:t>
      </w:r>
      <w:r>
        <w:rPr>
          <w:spacing w:val="-4"/>
        </w:rPr>
        <w:t> </w:t>
      </w:r>
      <w:r>
        <w:rPr/>
        <w:t>VEEV</w:t>
      </w:r>
      <w:r>
        <w:rPr>
          <w:spacing w:val="-4"/>
        </w:rPr>
        <w:t> </w:t>
      </w:r>
      <w:r>
        <w:rPr/>
        <w:t>subtipo IAB se extendió desde el norte de Guatemala, afectando varias regiones costeras de México y Estados</w:t>
      </w:r>
      <w:r>
        <w:rPr>
          <w:spacing w:val="-8"/>
        </w:rPr>
        <w:t> </w:t>
      </w:r>
      <w:r>
        <w:rPr/>
        <w:t>Unidos.</w:t>
      </w:r>
    </w:p>
    <w:p>
      <w:pPr>
        <w:pStyle w:val="BodyText"/>
        <w:spacing w:line="360" w:lineRule="auto" w:before="2"/>
        <w:ind w:left="102" w:right="118"/>
        <w:jc w:val="both"/>
      </w:pPr>
      <w:r>
        <w:rPr/>
        <w:t>En septiembre de 1970, esta epizoodemia fue reportada por primera vez en San Andrés</w:t>
      </w:r>
      <w:r>
        <w:rPr>
          <w:spacing w:val="-22"/>
        </w:rPr>
        <w:t> </w:t>
      </w:r>
      <w:r>
        <w:rPr/>
        <w:t>Tuxtla,</w:t>
      </w:r>
      <w:r>
        <w:rPr>
          <w:spacing w:val="-17"/>
        </w:rPr>
        <w:t> </w:t>
      </w:r>
      <w:r>
        <w:rPr/>
        <w:t>Veracruz,</w:t>
      </w:r>
      <w:r>
        <w:rPr>
          <w:spacing w:val="-17"/>
        </w:rPr>
        <w:t> </w:t>
      </w:r>
      <w:r>
        <w:rPr/>
        <w:t>y</w:t>
      </w:r>
      <w:r>
        <w:rPr>
          <w:spacing w:val="-20"/>
        </w:rPr>
        <w:t> </w:t>
      </w:r>
      <w:r>
        <w:rPr/>
        <w:t>continúo</w:t>
      </w:r>
      <w:r>
        <w:rPr>
          <w:spacing w:val="-19"/>
        </w:rPr>
        <w:t> </w:t>
      </w:r>
      <w:r>
        <w:rPr/>
        <w:t>expandiéndose</w:t>
      </w:r>
      <w:r>
        <w:rPr>
          <w:spacing w:val="-17"/>
        </w:rPr>
        <w:t> </w:t>
      </w:r>
      <w:r>
        <w:rPr/>
        <w:t>hacia</w:t>
      </w:r>
      <w:r>
        <w:rPr>
          <w:spacing w:val="-19"/>
        </w:rPr>
        <w:t> </w:t>
      </w:r>
      <w:r>
        <w:rPr/>
        <w:t>el</w:t>
      </w:r>
      <w:r>
        <w:rPr>
          <w:spacing w:val="-20"/>
        </w:rPr>
        <w:t> </w:t>
      </w:r>
      <w:r>
        <w:rPr/>
        <w:t>norte,</w:t>
      </w:r>
      <w:r>
        <w:rPr>
          <w:spacing w:val="-17"/>
        </w:rPr>
        <w:t> </w:t>
      </w:r>
      <w:r>
        <w:rPr/>
        <w:t>durante</w:t>
      </w:r>
      <w:r>
        <w:rPr>
          <w:spacing w:val="-18"/>
        </w:rPr>
        <w:t> </w:t>
      </w:r>
      <w:r>
        <w:rPr/>
        <w:t>el</w:t>
      </w:r>
      <w:r>
        <w:rPr>
          <w:spacing w:val="-20"/>
        </w:rPr>
        <w:t> </w:t>
      </w:r>
      <w:r>
        <w:rPr/>
        <w:t>verano de</w:t>
      </w:r>
      <w:r>
        <w:rPr>
          <w:spacing w:val="-19"/>
        </w:rPr>
        <w:t> </w:t>
      </w:r>
      <w:r>
        <w:rPr/>
        <w:t>1971</w:t>
      </w:r>
      <w:r>
        <w:rPr>
          <w:spacing w:val="-19"/>
        </w:rPr>
        <w:t> </w:t>
      </w:r>
      <w:r>
        <w:rPr/>
        <w:t>llegando</w:t>
      </w:r>
      <w:r>
        <w:rPr>
          <w:spacing w:val="-19"/>
        </w:rPr>
        <w:t> </w:t>
      </w:r>
      <w:r>
        <w:rPr/>
        <w:t>hasta</w:t>
      </w:r>
      <w:r>
        <w:rPr>
          <w:spacing w:val="-21"/>
        </w:rPr>
        <w:t> </w:t>
      </w:r>
      <w:r>
        <w:rPr/>
        <w:t>la</w:t>
      </w:r>
      <w:r>
        <w:rPr>
          <w:spacing w:val="-19"/>
        </w:rPr>
        <w:t> </w:t>
      </w:r>
      <w:r>
        <w:rPr/>
        <w:t>región</w:t>
      </w:r>
      <w:r>
        <w:rPr>
          <w:spacing w:val="-19"/>
        </w:rPr>
        <w:t> </w:t>
      </w:r>
      <w:r>
        <w:rPr/>
        <w:t>Tuxpan-Tamiahua</w:t>
      </w:r>
      <w:r>
        <w:rPr>
          <w:spacing w:val="-19"/>
        </w:rPr>
        <w:t> </w:t>
      </w:r>
      <w:r>
        <w:rPr/>
        <w:t>en</w:t>
      </w:r>
      <w:r>
        <w:rPr>
          <w:spacing w:val="-21"/>
        </w:rPr>
        <w:t> </w:t>
      </w:r>
      <w:r>
        <w:rPr/>
        <w:t>el</w:t>
      </w:r>
      <w:r>
        <w:rPr>
          <w:spacing w:val="-20"/>
        </w:rPr>
        <w:t> </w:t>
      </w:r>
      <w:r>
        <w:rPr/>
        <w:t>estado</w:t>
      </w:r>
      <w:r>
        <w:rPr>
          <w:spacing w:val="-19"/>
        </w:rPr>
        <w:t> </w:t>
      </w:r>
      <w:r>
        <w:rPr/>
        <w:t>de</w:t>
      </w:r>
      <w:r>
        <w:rPr>
          <w:spacing w:val="-19"/>
        </w:rPr>
        <w:t> </w:t>
      </w:r>
      <w:r>
        <w:rPr/>
        <w:t>Veracruz.</w:t>
      </w:r>
      <w:r>
        <w:rPr>
          <w:spacing w:val="-19"/>
        </w:rPr>
        <w:t> </w:t>
      </w:r>
      <w:r>
        <w:rPr/>
        <w:t>Pocos días después, el brote se extendió hacia el municipio de Soto La Marina, Tamaulipas,</w:t>
      </w:r>
      <w:r>
        <w:rPr>
          <w:spacing w:val="-9"/>
        </w:rPr>
        <w:t> </w:t>
      </w:r>
      <w:r>
        <w:rPr/>
        <w:t>a</w:t>
      </w:r>
      <w:r>
        <w:rPr>
          <w:spacing w:val="-8"/>
        </w:rPr>
        <w:t> </w:t>
      </w:r>
      <w:r>
        <w:rPr/>
        <w:t>una</w:t>
      </w:r>
      <w:r>
        <w:rPr>
          <w:spacing w:val="-6"/>
        </w:rPr>
        <w:t> </w:t>
      </w:r>
      <w:r>
        <w:rPr/>
        <w:t>distancia</w:t>
      </w:r>
      <w:r>
        <w:rPr>
          <w:spacing w:val="-9"/>
        </w:rPr>
        <w:t> </w:t>
      </w:r>
      <w:r>
        <w:rPr/>
        <w:t>de</w:t>
      </w:r>
      <w:r>
        <w:rPr>
          <w:spacing w:val="-8"/>
        </w:rPr>
        <w:t> </w:t>
      </w:r>
      <w:r>
        <w:rPr/>
        <w:t>200</w:t>
      </w:r>
      <w:r>
        <w:rPr>
          <w:spacing w:val="-6"/>
        </w:rPr>
        <w:t> </w:t>
      </w:r>
      <w:r>
        <w:rPr/>
        <w:t>km</w:t>
      </w:r>
      <w:r>
        <w:rPr>
          <w:spacing w:val="-8"/>
        </w:rPr>
        <w:t> </w:t>
      </w:r>
      <w:r>
        <w:rPr/>
        <w:t>de</w:t>
      </w:r>
      <w:r>
        <w:rPr>
          <w:spacing w:val="-6"/>
        </w:rPr>
        <w:t> </w:t>
      </w:r>
      <w:r>
        <w:rPr/>
        <w:t>la</w:t>
      </w:r>
      <w:r>
        <w:rPr>
          <w:spacing w:val="-8"/>
        </w:rPr>
        <w:t> </w:t>
      </w:r>
      <w:r>
        <w:rPr/>
        <w:t>frontera</w:t>
      </w:r>
      <w:r>
        <w:rPr>
          <w:spacing w:val="-9"/>
        </w:rPr>
        <w:t> </w:t>
      </w:r>
      <w:r>
        <w:rPr/>
        <w:t>con</w:t>
      </w:r>
      <w:r>
        <w:rPr>
          <w:spacing w:val="-8"/>
        </w:rPr>
        <w:t> </w:t>
      </w:r>
      <w:r>
        <w:rPr/>
        <w:t>Estados</w:t>
      </w:r>
      <w:r>
        <w:rPr>
          <w:spacing w:val="-9"/>
        </w:rPr>
        <w:t> </w:t>
      </w:r>
      <w:r>
        <w:rPr/>
        <w:t>Unidos,</w:t>
      </w:r>
      <w:r>
        <w:rPr>
          <w:spacing w:val="-9"/>
        </w:rPr>
        <w:t> </w:t>
      </w:r>
      <w:r>
        <w:rPr/>
        <w:t>antes</w:t>
      </w:r>
      <w:r>
        <w:rPr>
          <w:spacing w:val="-9"/>
        </w:rPr>
        <w:t> </w:t>
      </w:r>
      <w:r>
        <w:rPr/>
        <w:t>de</w:t>
      </w:r>
    </w:p>
    <w:p>
      <w:pPr>
        <w:spacing w:after="0" w:line="360" w:lineRule="auto"/>
        <w:jc w:val="both"/>
        <w:sectPr>
          <w:pgSz w:w="12240" w:h="15840"/>
          <w:pgMar w:header="0" w:footer="789" w:top="1360" w:bottom="1040" w:left="1600" w:right="1580"/>
        </w:sectPr>
      </w:pPr>
    </w:p>
    <w:p>
      <w:pPr>
        <w:pStyle w:val="BodyText"/>
        <w:spacing w:line="357" w:lineRule="auto" w:before="54"/>
        <w:ind w:left="102" w:right="123"/>
        <w:jc w:val="both"/>
        <w:rPr>
          <w:sz w:val="16"/>
        </w:rPr>
      </w:pPr>
      <w:r>
        <w:rPr/>
        <w:t>ser reportado en el sur de Texas, había aproximadamente 1500 equinos muertos y varios cientos de casos humanos fueron documentados. </w:t>
      </w:r>
      <w:r>
        <w:rPr>
          <w:position w:val="8"/>
          <w:sz w:val="16"/>
        </w:rPr>
        <w:t>(53, 144)</w:t>
      </w:r>
    </w:p>
    <w:p>
      <w:pPr>
        <w:pStyle w:val="BodyText"/>
        <w:spacing w:line="360" w:lineRule="auto" w:before="1"/>
        <w:ind w:left="102" w:right="122"/>
        <w:jc w:val="both"/>
      </w:pPr>
      <w:r>
        <w:rPr/>
        <w:t>Después</w:t>
      </w:r>
      <w:r>
        <w:rPr>
          <w:spacing w:val="-16"/>
        </w:rPr>
        <w:t> </w:t>
      </w:r>
      <w:r>
        <w:rPr/>
        <w:t>de</w:t>
      </w:r>
      <w:r>
        <w:rPr>
          <w:spacing w:val="-15"/>
        </w:rPr>
        <w:t> </w:t>
      </w:r>
      <w:r>
        <w:rPr/>
        <w:t>la</w:t>
      </w:r>
      <w:r>
        <w:rPr>
          <w:spacing w:val="-13"/>
        </w:rPr>
        <w:t> </w:t>
      </w:r>
      <w:r>
        <w:rPr/>
        <w:t>epizoodemia</w:t>
      </w:r>
      <w:r>
        <w:rPr>
          <w:spacing w:val="37"/>
        </w:rPr>
        <w:t> </w:t>
      </w:r>
      <w:r>
        <w:rPr/>
        <w:t>no</w:t>
      </w:r>
      <w:r>
        <w:rPr>
          <w:spacing w:val="-15"/>
        </w:rPr>
        <w:t> </w:t>
      </w:r>
      <w:r>
        <w:rPr/>
        <w:t>hubo</w:t>
      </w:r>
      <w:r>
        <w:rPr>
          <w:spacing w:val="-13"/>
        </w:rPr>
        <w:t> </w:t>
      </w:r>
      <w:r>
        <w:rPr/>
        <w:t>reportes</w:t>
      </w:r>
      <w:r>
        <w:rPr>
          <w:spacing w:val="-16"/>
        </w:rPr>
        <w:t> </w:t>
      </w:r>
      <w:r>
        <w:rPr/>
        <w:t>de</w:t>
      </w:r>
      <w:r>
        <w:rPr>
          <w:spacing w:val="-16"/>
        </w:rPr>
        <w:t> </w:t>
      </w:r>
      <w:r>
        <w:rPr/>
        <w:t>actividad</w:t>
      </w:r>
      <w:r>
        <w:rPr>
          <w:spacing w:val="-13"/>
        </w:rPr>
        <w:t> </w:t>
      </w:r>
      <w:r>
        <w:rPr/>
        <w:t>de</w:t>
      </w:r>
      <w:r>
        <w:rPr>
          <w:spacing w:val="-13"/>
        </w:rPr>
        <w:t> </w:t>
      </w:r>
      <w:r>
        <w:rPr/>
        <w:t>EEV</w:t>
      </w:r>
      <w:r>
        <w:rPr>
          <w:spacing w:val="-13"/>
        </w:rPr>
        <w:t> </w:t>
      </w:r>
      <w:r>
        <w:rPr/>
        <w:t>en</w:t>
      </w:r>
      <w:r>
        <w:rPr>
          <w:spacing w:val="-13"/>
        </w:rPr>
        <w:t> </w:t>
      </w:r>
      <w:r>
        <w:rPr/>
        <w:t>México</w:t>
      </w:r>
      <w:r>
        <w:rPr>
          <w:spacing w:val="39"/>
        </w:rPr>
        <w:t> </w:t>
      </w:r>
      <w:r>
        <w:rPr/>
        <w:t>hasta 1991 en el estado de Tabasco, donde se detectaron anticuerpos contra el virus de EEV en dos niños de 5 y 7 años de edad, residentes de las localidades del</w:t>
      </w:r>
      <w:r>
        <w:rPr>
          <w:spacing w:val="-42"/>
        </w:rPr>
        <w:t> </w:t>
      </w:r>
      <w:r>
        <w:rPr/>
        <w:t>Paraíso y La Venta respectivamente , quienes cursaron con cuadros febriles severos, sin exantema en los que se sospechó de Dengue clásico, se llevaron a cabo estudios serológicos y no se demostró infección reciente de dengue, pero todos los sueros mostraron anticuerpos para el virus de la</w:t>
      </w:r>
      <w:r>
        <w:rPr>
          <w:spacing w:val="-18"/>
        </w:rPr>
        <w:t> </w:t>
      </w:r>
      <w:r>
        <w:rPr/>
        <w:t>EEV.</w:t>
      </w:r>
    </w:p>
    <w:p>
      <w:pPr>
        <w:pStyle w:val="BodyText"/>
        <w:spacing w:line="357" w:lineRule="auto" w:before="5"/>
        <w:ind w:left="102" w:right="114"/>
        <w:jc w:val="both"/>
        <w:rPr>
          <w:sz w:val="16"/>
        </w:rPr>
      </w:pPr>
      <w:r>
        <w:rPr/>
        <w:t>Se realizó un estudio entomológico en el que se aisló el VEEV subtipo IE (TAB-91) y se llevaron a cabo seroencuestas que mostraron que el 19 % (76/394) de los individuos de las comunidades presentaban anticuerpos contra EEV. </w:t>
      </w:r>
      <w:r>
        <w:rPr>
          <w:position w:val="8"/>
          <w:sz w:val="16"/>
        </w:rPr>
        <w:t>(145)</w:t>
      </w:r>
    </w:p>
    <w:p>
      <w:pPr>
        <w:pStyle w:val="BodyText"/>
        <w:spacing w:line="357" w:lineRule="auto" w:before="1"/>
        <w:ind w:left="102" w:right="125"/>
        <w:jc w:val="both"/>
        <w:rPr>
          <w:sz w:val="16"/>
        </w:rPr>
      </w:pPr>
      <w:r>
        <w:rPr/>
        <w:t>Extensos estudios por los servicios veterinarios federales no detectaron que los equinos fueran afectados clínicamente durante este brote.</w:t>
      </w:r>
      <w:r>
        <w:rPr>
          <w:spacing w:val="52"/>
        </w:rPr>
        <w:t> </w:t>
      </w:r>
      <w:r>
        <w:rPr>
          <w:position w:val="8"/>
          <w:sz w:val="16"/>
        </w:rPr>
        <w:t>(146)</w:t>
      </w:r>
    </w:p>
    <w:p>
      <w:pPr>
        <w:pStyle w:val="BodyText"/>
        <w:spacing w:line="360" w:lineRule="auto" w:before="1"/>
        <w:ind w:left="102" w:right="120"/>
        <w:jc w:val="both"/>
      </w:pPr>
      <w:r>
        <w:rPr/>
        <w:t>En 1992 se declara libre de cepas epizoóticas de EEV el territorio nacional, en consecuencia,</w:t>
      </w:r>
      <w:r>
        <w:rPr>
          <w:spacing w:val="-19"/>
        </w:rPr>
        <w:t> </w:t>
      </w:r>
      <w:r>
        <w:rPr/>
        <w:t>se</w:t>
      </w:r>
      <w:r>
        <w:rPr>
          <w:spacing w:val="-19"/>
        </w:rPr>
        <w:t> </w:t>
      </w:r>
      <w:r>
        <w:rPr/>
        <w:t>levantaron</w:t>
      </w:r>
      <w:r>
        <w:rPr>
          <w:spacing w:val="-21"/>
        </w:rPr>
        <w:t> </w:t>
      </w:r>
      <w:r>
        <w:rPr/>
        <w:t>todas</w:t>
      </w:r>
      <w:r>
        <w:rPr>
          <w:spacing w:val="-20"/>
        </w:rPr>
        <w:t> </w:t>
      </w:r>
      <w:r>
        <w:rPr/>
        <w:t>las</w:t>
      </w:r>
      <w:r>
        <w:rPr>
          <w:spacing w:val="-22"/>
        </w:rPr>
        <w:t> </w:t>
      </w:r>
      <w:r>
        <w:rPr/>
        <w:t>medidas</w:t>
      </w:r>
      <w:r>
        <w:rPr>
          <w:spacing w:val="-20"/>
        </w:rPr>
        <w:t> </w:t>
      </w:r>
      <w:r>
        <w:rPr/>
        <w:t>restrictivas</w:t>
      </w:r>
      <w:r>
        <w:rPr>
          <w:spacing w:val="-20"/>
        </w:rPr>
        <w:t> </w:t>
      </w:r>
      <w:r>
        <w:rPr/>
        <w:t>en</w:t>
      </w:r>
      <w:r>
        <w:rPr>
          <w:spacing w:val="-19"/>
        </w:rPr>
        <w:t> </w:t>
      </w:r>
      <w:r>
        <w:rPr/>
        <w:t>materia</w:t>
      </w:r>
      <w:r>
        <w:rPr>
          <w:spacing w:val="-19"/>
        </w:rPr>
        <w:t> </w:t>
      </w:r>
      <w:r>
        <w:rPr/>
        <w:t>de</w:t>
      </w:r>
      <w:r>
        <w:rPr>
          <w:spacing w:val="-19"/>
        </w:rPr>
        <w:t> </w:t>
      </w:r>
      <w:r>
        <w:rPr/>
        <w:t>transporte, tránsito y comercialización de equinos, susceptibles de ser portadores de la enfermedad hacia los lugares del territorio nacional, pasando la encefalitis equina venezolana, a formar parte del grupo de enfermedades exóticas para el</w:t>
      </w:r>
      <w:r>
        <w:rPr>
          <w:spacing w:val="-31"/>
        </w:rPr>
        <w:t> </w:t>
      </w:r>
      <w:r>
        <w:rPr/>
        <w:t>país.</w:t>
      </w:r>
    </w:p>
    <w:p>
      <w:pPr>
        <w:pStyle w:val="BodyText"/>
        <w:spacing w:line="357" w:lineRule="auto" w:before="5"/>
        <w:ind w:left="102" w:right="115"/>
        <w:jc w:val="both"/>
        <w:rPr>
          <w:sz w:val="16"/>
        </w:rPr>
      </w:pPr>
      <w:r>
        <w:rPr/>
        <w:t>Se suspende la vacunación contra EEV y la Productora Nacional de Biológicos Veterinarios (PRONABIVE), resguardó un banco estratégico de vacuna contra la encefalitis equina venezolana, para resolver cualquier emergencia, resultante de una posible reintroducción del agente causal de la enfermedad. </w:t>
      </w:r>
      <w:r>
        <w:rPr>
          <w:position w:val="8"/>
          <w:sz w:val="16"/>
        </w:rPr>
        <w:t>(147)</w:t>
      </w:r>
    </w:p>
    <w:p>
      <w:pPr>
        <w:pStyle w:val="BodyText"/>
        <w:spacing w:line="360" w:lineRule="auto" w:before="4"/>
        <w:ind w:left="102" w:right="123"/>
        <w:jc w:val="both"/>
      </w:pPr>
      <w:r>
        <w:rPr/>
        <w:t>En junio de 1993, se reportaron cuadros neurológicos en equinos del municipio de Mapastepec, Chiapas. Se tomaron muestras de encéfalo para poder realizar el aislamiento viral. Además se incrementó la vigilancia con visitas a ranchos vecinos y se inició un rastreo intensivo, encontrándose antecedentes de equinos con un cuadro de tipo nervioso y mortalidad durante este mes.</w:t>
      </w:r>
    </w:p>
    <w:p>
      <w:pPr>
        <w:pStyle w:val="BodyText"/>
        <w:spacing w:line="360" w:lineRule="auto" w:before="2"/>
        <w:ind w:left="102" w:right="126"/>
        <w:jc w:val="both"/>
      </w:pPr>
      <w:r>
        <w:rPr/>
        <w:t>El 25 de julio se reportó el último caso de este brote y hasta esta fecha se acumularon 61 focos en 8 municipios de la costa de Chiapas localizándose el 71%</w:t>
      </w:r>
    </w:p>
    <w:p>
      <w:pPr>
        <w:spacing w:after="0" w:line="360" w:lineRule="auto"/>
        <w:jc w:val="both"/>
        <w:sectPr>
          <w:footerReference w:type="default" r:id="rId24"/>
          <w:pgSz w:w="12240" w:h="15840"/>
          <w:pgMar w:footer="1116" w:header="0" w:top="1360" w:bottom="1300" w:left="1600" w:right="1580"/>
        </w:sectPr>
      </w:pPr>
    </w:p>
    <w:p>
      <w:pPr>
        <w:pStyle w:val="BodyText"/>
        <w:spacing w:line="357" w:lineRule="auto" w:before="54"/>
        <w:ind w:left="102" w:right="127"/>
        <w:jc w:val="both"/>
        <w:rPr>
          <w:sz w:val="16"/>
        </w:rPr>
      </w:pPr>
      <w:r>
        <w:rPr/>
        <w:t>de los casos en los municipios de Mapastepec y Pijijiapan, con un total de 63 equinos muertos y 132 enfermos en los predios afectados. </w:t>
      </w:r>
      <w:r>
        <w:rPr>
          <w:position w:val="8"/>
          <w:sz w:val="16"/>
        </w:rPr>
        <w:t>(95,148, 149)</w:t>
      </w:r>
    </w:p>
    <w:p>
      <w:pPr>
        <w:pStyle w:val="BodyText"/>
        <w:spacing w:line="360" w:lineRule="auto" w:before="1"/>
        <w:ind w:left="102" w:right="117"/>
        <w:jc w:val="both"/>
      </w:pPr>
      <w:r>
        <w:rPr/>
        <w:t>Una segunda epizootia equina ocurrió en el estado adyacente de Oaxaca en 1996, involucrando 32 animales (incluyendo 12 muertes). Estudios epidemiológicos y serológicos iniciales señalaron el VEEV como el agente etiológico causante. El subtipo IE fue aislado en dos animales.</w:t>
      </w:r>
    </w:p>
    <w:p>
      <w:pPr>
        <w:pStyle w:val="BodyText"/>
        <w:spacing w:line="357" w:lineRule="auto" w:before="2"/>
        <w:ind w:left="102" w:right="120"/>
        <w:jc w:val="both"/>
        <w:rPr>
          <w:sz w:val="16"/>
        </w:rPr>
      </w:pPr>
      <w:r>
        <w:rPr/>
        <w:t>Esta fue la primera evidencia contundente de una epizootia de EEV asociada al subtipo</w:t>
      </w:r>
      <w:r>
        <w:rPr>
          <w:spacing w:val="-9"/>
        </w:rPr>
        <w:t> </w:t>
      </w:r>
      <w:r>
        <w:rPr/>
        <w:t>IE,</w:t>
      </w:r>
      <w:r>
        <w:rPr>
          <w:spacing w:val="-10"/>
        </w:rPr>
        <w:t> </w:t>
      </w:r>
      <w:r>
        <w:rPr/>
        <w:t>sugiriendo</w:t>
      </w:r>
      <w:r>
        <w:rPr>
          <w:spacing w:val="-12"/>
        </w:rPr>
        <w:t> </w:t>
      </w:r>
      <w:r>
        <w:rPr/>
        <w:t>que</w:t>
      </w:r>
      <w:r>
        <w:rPr>
          <w:spacing w:val="-9"/>
        </w:rPr>
        <w:t> </w:t>
      </w:r>
      <w:r>
        <w:rPr/>
        <w:t>una</w:t>
      </w:r>
      <w:r>
        <w:rPr>
          <w:spacing w:val="-9"/>
        </w:rPr>
        <w:t> </w:t>
      </w:r>
      <w:r>
        <w:rPr/>
        <w:t>cepa</w:t>
      </w:r>
      <w:r>
        <w:rPr>
          <w:spacing w:val="-12"/>
        </w:rPr>
        <w:t> </w:t>
      </w:r>
      <w:r>
        <w:rPr/>
        <w:t>virulenta</w:t>
      </w:r>
      <w:r>
        <w:rPr>
          <w:spacing w:val="-11"/>
        </w:rPr>
        <w:t> </w:t>
      </w:r>
      <w:r>
        <w:rPr/>
        <w:t>para</w:t>
      </w:r>
      <w:r>
        <w:rPr>
          <w:spacing w:val="-12"/>
        </w:rPr>
        <w:t> </w:t>
      </w:r>
      <w:r>
        <w:rPr/>
        <w:t>los</w:t>
      </w:r>
      <w:r>
        <w:rPr>
          <w:spacing w:val="-12"/>
        </w:rPr>
        <w:t> </w:t>
      </w:r>
      <w:r>
        <w:rPr/>
        <w:t>equinos</w:t>
      </w:r>
      <w:r>
        <w:rPr>
          <w:spacing w:val="-13"/>
        </w:rPr>
        <w:t> </w:t>
      </w:r>
      <w:r>
        <w:rPr/>
        <w:t>emergió</w:t>
      </w:r>
      <w:r>
        <w:rPr>
          <w:spacing w:val="-10"/>
        </w:rPr>
        <w:t> </w:t>
      </w:r>
      <w:r>
        <w:rPr/>
        <w:t>o</w:t>
      </w:r>
      <w:r>
        <w:rPr>
          <w:spacing w:val="-9"/>
        </w:rPr>
        <w:t> </w:t>
      </w:r>
      <w:r>
        <w:rPr/>
        <w:t>había</w:t>
      </w:r>
      <w:r>
        <w:rPr>
          <w:spacing w:val="-9"/>
        </w:rPr>
        <w:t> </w:t>
      </w:r>
      <w:r>
        <w:rPr/>
        <w:t>sido introducida en el sureste de México. </w:t>
      </w:r>
      <w:r>
        <w:rPr>
          <w:position w:val="8"/>
          <w:sz w:val="16"/>
        </w:rPr>
        <w:t>(95,</w:t>
      </w:r>
      <w:r>
        <w:rPr>
          <w:spacing w:val="-11"/>
          <w:position w:val="8"/>
          <w:sz w:val="16"/>
        </w:rPr>
        <w:t> </w:t>
      </w:r>
      <w:r>
        <w:rPr>
          <w:position w:val="8"/>
          <w:sz w:val="16"/>
        </w:rPr>
        <w:t>96)</w:t>
      </w:r>
    </w:p>
    <w:p>
      <w:pPr>
        <w:pStyle w:val="BodyText"/>
        <w:spacing w:before="3"/>
        <w:rPr>
          <w:sz w:val="27"/>
        </w:rPr>
      </w:pPr>
    </w:p>
    <w:p>
      <w:pPr>
        <w:pStyle w:val="BodyText"/>
        <w:spacing w:line="360" w:lineRule="auto" w:before="1"/>
        <w:ind w:left="102" w:right="115"/>
        <w:jc w:val="both"/>
        <w:rPr>
          <w:sz w:val="16"/>
        </w:rPr>
      </w:pPr>
      <w:r>
        <w:rPr/>
        <w:t>Infecciones experimentales llevadas a cabo con los aislados de los dos brotes indicaron</w:t>
      </w:r>
      <w:r>
        <w:rPr>
          <w:spacing w:val="-4"/>
        </w:rPr>
        <w:t> </w:t>
      </w:r>
      <w:r>
        <w:rPr/>
        <w:t>que,</w:t>
      </w:r>
      <w:r>
        <w:rPr>
          <w:spacing w:val="-6"/>
        </w:rPr>
        <w:t> </w:t>
      </w:r>
      <w:r>
        <w:rPr/>
        <w:t>a</w:t>
      </w:r>
      <w:r>
        <w:rPr>
          <w:spacing w:val="-4"/>
        </w:rPr>
        <w:t> </w:t>
      </w:r>
      <w:r>
        <w:rPr/>
        <w:t>diferencia</w:t>
      </w:r>
      <w:r>
        <w:rPr>
          <w:spacing w:val="-4"/>
        </w:rPr>
        <w:t> </w:t>
      </w:r>
      <w:r>
        <w:rPr/>
        <w:t>de</w:t>
      </w:r>
      <w:r>
        <w:rPr>
          <w:spacing w:val="-4"/>
        </w:rPr>
        <w:t> </w:t>
      </w:r>
      <w:r>
        <w:rPr/>
        <w:t>la</w:t>
      </w:r>
      <w:r>
        <w:rPr>
          <w:spacing w:val="-4"/>
        </w:rPr>
        <w:t> </w:t>
      </w:r>
      <w:r>
        <w:rPr/>
        <w:t>gran</w:t>
      </w:r>
      <w:r>
        <w:rPr>
          <w:spacing w:val="-3"/>
        </w:rPr>
        <w:t> </w:t>
      </w:r>
      <w:r>
        <w:rPr/>
        <w:t>epizootia</w:t>
      </w:r>
      <w:r>
        <w:rPr>
          <w:spacing w:val="-4"/>
        </w:rPr>
        <w:t> </w:t>
      </w:r>
      <w:r>
        <w:rPr/>
        <w:t>de</w:t>
      </w:r>
      <w:r>
        <w:rPr>
          <w:spacing w:val="-4"/>
        </w:rPr>
        <w:t> </w:t>
      </w:r>
      <w:r>
        <w:rPr/>
        <w:t>1970,</w:t>
      </w:r>
      <w:r>
        <w:rPr>
          <w:spacing w:val="-4"/>
        </w:rPr>
        <w:t> </w:t>
      </w:r>
      <w:r>
        <w:rPr/>
        <w:t>los</w:t>
      </w:r>
      <w:r>
        <w:rPr>
          <w:spacing w:val="-4"/>
        </w:rPr>
        <w:t> </w:t>
      </w:r>
      <w:r>
        <w:rPr/>
        <w:t>brotes</w:t>
      </w:r>
      <w:r>
        <w:rPr>
          <w:spacing w:val="-7"/>
        </w:rPr>
        <w:t> </w:t>
      </w:r>
      <w:r>
        <w:rPr/>
        <w:t>de</w:t>
      </w:r>
      <w:r>
        <w:rPr>
          <w:spacing w:val="-4"/>
        </w:rPr>
        <w:t> </w:t>
      </w:r>
      <w:r>
        <w:rPr/>
        <w:t>la</w:t>
      </w:r>
      <w:r>
        <w:rPr>
          <w:spacing w:val="-4"/>
        </w:rPr>
        <w:t> </w:t>
      </w:r>
      <w:r>
        <w:rPr/>
        <w:t>década</w:t>
      </w:r>
      <w:r>
        <w:rPr>
          <w:spacing w:val="-6"/>
        </w:rPr>
        <w:t> </w:t>
      </w:r>
      <w:r>
        <w:rPr/>
        <w:t>de 1990</w:t>
      </w:r>
      <w:r>
        <w:rPr>
          <w:spacing w:val="-14"/>
        </w:rPr>
        <w:t> </w:t>
      </w:r>
      <w:r>
        <w:rPr/>
        <w:t>probablemente</w:t>
      </w:r>
      <w:r>
        <w:rPr>
          <w:spacing w:val="-16"/>
        </w:rPr>
        <w:t> </w:t>
      </w:r>
      <w:r>
        <w:rPr/>
        <w:t>no</w:t>
      </w:r>
      <w:r>
        <w:rPr>
          <w:spacing w:val="-14"/>
        </w:rPr>
        <w:t> </w:t>
      </w:r>
      <w:r>
        <w:rPr/>
        <w:t>se</w:t>
      </w:r>
      <w:r>
        <w:rPr>
          <w:spacing w:val="-14"/>
        </w:rPr>
        <w:t> </w:t>
      </w:r>
      <w:r>
        <w:rPr/>
        <w:t>extendieron</w:t>
      </w:r>
      <w:r>
        <w:rPr>
          <w:spacing w:val="-17"/>
        </w:rPr>
        <w:t> </w:t>
      </w:r>
      <w:r>
        <w:rPr/>
        <w:t>hacia</w:t>
      </w:r>
      <w:r>
        <w:rPr>
          <w:spacing w:val="-17"/>
        </w:rPr>
        <w:t> </w:t>
      </w:r>
      <w:r>
        <w:rPr/>
        <w:t>el</w:t>
      </w:r>
      <w:r>
        <w:rPr>
          <w:spacing w:val="-15"/>
        </w:rPr>
        <w:t> </w:t>
      </w:r>
      <w:r>
        <w:rPr/>
        <w:t>sureste</w:t>
      </w:r>
      <w:r>
        <w:rPr>
          <w:spacing w:val="-17"/>
        </w:rPr>
        <w:t> </w:t>
      </w:r>
      <w:r>
        <w:rPr/>
        <w:t>de</w:t>
      </w:r>
      <w:r>
        <w:rPr>
          <w:spacing w:val="-14"/>
        </w:rPr>
        <w:t> </w:t>
      </w:r>
      <w:r>
        <w:rPr/>
        <w:t>México</w:t>
      </w:r>
      <w:r>
        <w:rPr>
          <w:spacing w:val="-14"/>
        </w:rPr>
        <w:t> </w:t>
      </w:r>
      <w:r>
        <w:rPr/>
        <w:t>porque</w:t>
      </w:r>
      <w:r>
        <w:rPr>
          <w:spacing w:val="-6"/>
        </w:rPr>
        <w:t> </w:t>
      </w:r>
      <w:r>
        <w:rPr/>
        <w:t>las</w:t>
      </w:r>
      <w:r>
        <w:rPr>
          <w:spacing w:val="-14"/>
        </w:rPr>
        <w:t> </w:t>
      </w:r>
      <w:r>
        <w:rPr/>
        <w:t>cepas involucradas no amplificaban eficientemente en equinos.</w:t>
      </w:r>
      <w:r>
        <w:rPr>
          <w:spacing w:val="-20"/>
        </w:rPr>
        <w:t> </w:t>
      </w:r>
      <w:r>
        <w:rPr>
          <w:position w:val="8"/>
          <w:sz w:val="16"/>
        </w:rPr>
        <w:t>(121)</w:t>
      </w:r>
    </w:p>
    <w:p>
      <w:pPr>
        <w:pStyle w:val="BodyText"/>
        <w:spacing w:line="357" w:lineRule="auto"/>
        <w:ind w:left="102" w:right="124"/>
        <w:jc w:val="both"/>
        <w:rPr>
          <w:sz w:val="16"/>
        </w:rPr>
      </w:pPr>
      <w:r>
        <w:rPr/>
        <w:t>Seroencuestas y aislados del VEEV indicaban que el virus había sido endémico en el sureste mexicano por décadas. </w:t>
      </w:r>
      <w:r>
        <w:rPr>
          <w:position w:val="8"/>
          <w:sz w:val="16"/>
        </w:rPr>
        <w:t>(139)</w:t>
      </w:r>
    </w:p>
    <w:p>
      <w:pPr>
        <w:pStyle w:val="BodyText"/>
        <w:spacing w:line="360" w:lineRule="auto" w:before="1"/>
        <w:ind w:left="102" w:right="117"/>
        <w:jc w:val="both"/>
        <w:rPr>
          <w:sz w:val="16"/>
        </w:rPr>
      </w:pPr>
      <w:r>
        <w:rPr/>
        <w:t>También fue demostrado que el Aedes taeniorhynchus, un vector epizoótico presente en las áreas costeras de Chiapas y Oaxaca, era más susceptible a los aislados obtenidos durante las epizootias de 1993 y 1996, en comparación con las cepas enzoóticas IE  aisladas con anterioridad en Guatemala. </w:t>
      </w:r>
      <w:r>
        <w:rPr>
          <w:position w:val="8"/>
          <w:sz w:val="16"/>
        </w:rPr>
        <w:t>(102)</w:t>
      </w:r>
    </w:p>
    <w:p>
      <w:pPr>
        <w:pStyle w:val="BodyText"/>
        <w:spacing w:line="360" w:lineRule="auto"/>
        <w:ind w:left="102" w:right="117"/>
        <w:jc w:val="both"/>
      </w:pPr>
      <w:r>
        <w:rPr/>
        <w:t>Un mecanismo de emergencia del VEEV fue propuesto por estudios de genética reversa demostrando que una simple sustitución del aminoácido Ser--- Asn en la posición 218 de la proteína E2 fue el principal determinante del aumento de la infectividad de A. taeniorhynchus. Así, la adaptación del virus a un vector que prefiere alimentarse de grandes mamíferos se sugirió como la emergencia.</w:t>
      </w:r>
    </w:p>
    <w:p>
      <w:pPr>
        <w:pStyle w:val="BodyText"/>
        <w:spacing w:line="360" w:lineRule="auto" w:before="3"/>
        <w:ind w:left="102" w:right="117" w:firstLine="67"/>
        <w:jc w:val="both"/>
      </w:pPr>
      <w:r>
        <w:rPr/>
        <w:t>Estudios llevados a cabo con el vector enzoótico Culex (Melanoconion) taeniopus, encontrado de las zonas estuarinas de Chiapas, demostraron que tiene un alto grado</w:t>
      </w:r>
      <w:r>
        <w:rPr>
          <w:spacing w:val="-6"/>
        </w:rPr>
        <w:t> </w:t>
      </w:r>
      <w:r>
        <w:rPr/>
        <w:t>de</w:t>
      </w:r>
      <w:r>
        <w:rPr>
          <w:spacing w:val="-6"/>
        </w:rPr>
        <w:t> </w:t>
      </w:r>
      <w:r>
        <w:rPr/>
        <w:t>susceptibilidad</w:t>
      </w:r>
      <w:r>
        <w:rPr>
          <w:spacing w:val="-6"/>
        </w:rPr>
        <w:t> </w:t>
      </w:r>
      <w:r>
        <w:rPr/>
        <w:t>a</w:t>
      </w:r>
      <w:r>
        <w:rPr>
          <w:spacing w:val="-6"/>
        </w:rPr>
        <w:t> </w:t>
      </w:r>
      <w:r>
        <w:rPr/>
        <w:t>los</w:t>
      </w:r>
      <w:r>
        <w:rPr>
          <w:spacing w:val="-6"/>
        </w:rPr>
        <w:t> </w:t>
      </w:r>
      <w:r>
        <w:rPr/>
        <w:t>aislados</w:t>
      </w:r>
      <w:r>
        <w:rPr>
          <w:spacing w:val="-7"/>
        </w:rPr>
        <w:t> </w:t>
      </w:r>
      <w:r>
        <w:rPr/>
        <w:t>del</w:t>
      </w:r>
      <w:r>
        <w:rPr>
          <w:spacing w:val="-7"/>
        </w:rPr>
        <w:t> </w:t>
      </w:r>
      <w:r>
        <w:rPr/>
        <w:t>VEEV</w:t>
      </w:r>
      <w:r>
        <w:rPr>
          <w:spacing w:val="-6"/>
        </w:rPr>
        <w:t> </w:t>
      </w:r>
      <w:r>
        <w:rPr/>
        <w:t>subtipo</w:t>
      </w:r>
      <w:r>
        <w:rPr>
          <w:spacing w:val="-6"/>
        </w:rPr>
        <w:t> </w:t>
      </w:r>
      <w:r>
        <w:rPr/>
        <w:t>IE</w:t>
      </w:r>
      <w:r>
        <w:rPr>
          <w:spacing w:val="-6"/>
        </w:rPr>
        <w:t> </w:t>
      </w:r>
      <w:r>
        <w:rPr/>
        <w:t>obtenidos</w:t>
      </w:r>
      <w:r>
        <w:rPr>
          <w:spacing w:val="-7"/>
        </w:rPr>
        <w:t> </w:t>
      </w:r>
      <w:r>
        <w:rPr/>
        <w:t>de</w:t>
      </w:r>
      <w:r>
        <w:rPr>
          <w:spacing w:val="-6"/>
        </w:rPr>
        <w:t> </w:t>
      </w:r>
      <w:r>
        <w:rPr/>
        <w:t>los</w:t>
      </w:r>
      <w:r>
        <w:rPr>
          <w:spacing w:val="-6"/>
        </w:rPr>
        <w:t> </w:t>
      </w:r>
      <w:r>
        <w:rPr/>
        <w:t>brotes de 1993 y 1996, así como a los aislados de hámsters centinelas en la costa de Chiapas en</w:t>
      </w:r>
      <w:r>
        <w:rPr>
          <w:spacing w:val="-5"/>
        </w:rPr>
        <w:t> </w:t>
      </w:r>
      <w:r>
        <w:rPr/>
        <w:t>2001</w:t>
      </w:r>
      <w:r>
        <w:rPr>
          <w:color w:val="5B9BD4"/>
        </w:rPr>
        <w:t>.</w:t>
      </w:r>
    </w:p>
    <w:p>
      <w:pPr>
        <w:pStyle w:val="BodyText"/>
        <w:spacing w:line="360" w:lineRule="auto"/>
        <w:ind w:left="102" w:right="118"/>
        <w:jc w:val="both"/>
      </w:pPr>
      <w:r>
        <w:rPr/>
        <w:t>C. taeniopus de se alimenta de una gran variedad de huéspedes </w:t>
      </w:r>
      <w:r>
        <w:rPr>
          <w:position w:val="8"/>
          <w:sz w:val="16"/>
        </w:rPr>
        <w:t>(75) </w:t>
      </w:r>
      <w:r>
        <w:rPr/>
        <w:t>y al parecer mantiene la circulación continua del VEEV subtipo IE en la región. Estos datos</w:t>
      </w:r>
    </w:p>
    <w:p>
      <w:pPr>
        <w:spacing w:after="0" w:line="360" w:lineRule="auto"/>
        <w:jc w:val="both"/>
        <w:sectPr>
          <w:footerReference w:type="default" r:id="rId25"/>
          <w:pgSz w:w="12240" w:h="15840"/>
          <w:pgMar w:footer="804" w:header="0" w:top="1360" w:bottom="1000" w:left="1600" w:right="1580"/>
          <w:pgNumType w:start="17"/>
        </w:sectPr>
      </w:pPr>
    </w:p>
    <w:p>
      <w:pPr>
        <w:pStyle w:val="BodyText"/>
        <w:spacing w:line="360" w:lineRule="auto" w:before="54"/>
        <w:ind w:left="102" w:right="724"/>
        <w:jc w:val="both"/>
      </w:pPr>
      <w:r>
        <w:rPr/>
        <w:t>sugieren que C. taeniopus mantiene la circulación del VEEV subtipo IE adyacente a la costa del Pacifico, mientras que A. taeniorhynchus puede ser responsable de infectar equinos y posiblemente humanos en zonas más alejadas de la costa.</w:t>
      </w:r>
    </w:p>
    <w:p>
      <w:pPr>
        <w:pStyle w:val="BodyText"/>
      </w:pPr>
    </w:p>
    <w:p>
      <w:pPr>
        <w:pStyle w:val="BodyText"/>
        <w:spacing w:line="360" w:lineRule="auto" w:before="142" w:after="14"/>
        <w:ind w:left="102" w:right="719"/>
        <w:jc w:val="both"/>
      </w:pPr>
      <w:r>
        <w:rPr/>
        <w:t>El subtipo IE de la EEV se divide en tres genotipos bien diferenciados filogenéticamente;</w:t>
      </w:r>
      <w:r>
        <w:rPr>
          <w:spacing w:val="-6"/>
        </w:rPr>
        <w:t> </w:t>
      </w:r>
      <w:r>
        <w:rPr/>
        <w:t>el</w:t>
      </w:r>
      <w:r>
        <w:rPr>
          <w:spacing w:val="-7"/>
        </w:rPr>
        <w:t> </w:t>
      </w:r>
      <w:r>
        <w:rPr/>
        <w:t>linaje</w:t>
      </w:r>
      <w:r>
        <w:rPr>
          <w:spacing w:val="-6"/>
        </w:rPr>
        <w:t> </w:t>
      </w:r>
      <w:r>
        <w:rPr/>
        <w:t>de</w:t>
      </w:r>
      <w:r>
        <w:rPr>
          <w:spacing w:val="-6"/>
        </w:rPr>
        <w:t> </w:t>
      </w:r>
      <w:r>
        <w:rPr/>
        <w:t>la</w:t>
      </w:r>
      <w:r>
        <w:rPr>
          <w:spacing w:val="-6"/>
        </w:rPr>
        <w:t> </w:t>
      </w:r>
      <w:r>
        <w:rPr/>
        <w:t>costa</w:t>
      </w:r>
      <w:r>
        <w:rPr>
          <w:spacing w:val="-6"/>
        </w:rPr>
        <w:t> </w:t>
      </w:r>
      <w:r>
        <w:rPr/>
        <w:t>del</w:t>
      </w:r>
      <w:r>
        <w:rPr>
          <w:spacing w:val="-3"/>
        </w:rPr>
        <w:t> </w:t>
      </w:r>
      <w:r>
        <w:rPr/>
        <w:t>Pacifico,</w:t>
      </w:r>
      <w:r>
        <w:rPr>
          <w:spacing w:val="-6"/>
        </w:rPr>
        <w:t> </w:t>
      </w:r>
      <w:r>
        <w:rPr/>
        <w:t>el</w:t>
      </w:r>
      <w:r>
        <w:rPr>
          <w:spacing w:val="-7"/>
        </w:rPr>
        <w:t> </w:t>
      </w:r>
      <w:r>
        <w:rPr/>
        <w:t>linaje</w:t>
      </w:r>
      <w:r>
        <w:rPr>
          <w:spacing w:val="-9"/>
        </w:rPr>
        <w:t> </w:t>
      </w:r>
      <w:r>
        <w:rPr/>
        <w:t>del</w:t>
      </w:r>
      <w:r>
        <w:rPr>
          <w:spacing w:val="-7"/>
        </w:rPr>
        <w:t> </w:t>
      </w:r>
      <w:r>
        <w:rPr/>
        <w:t>Atlántico/Caribe</w:t>
      </w:r>
      <w:r>
        <w:rPr>
          <w:spacing w:val="-6"/>
        </w:rPr>
        <w:t> </w:t>
      </w:r>
      <w:r>
        <w:rPr/>
        <w:t>y</w:t>
      </w:r>
      <w:r>
        <w:rPr>
          <w:spacing w:val="-9"/>
        </w:rPr>
        <w:t> </w:t>
      </w:r>
      <w:r>
        <w:rPr/>
        <w:t>el linaje de</w:t>
      </w:r>
      <w:r>
        <w:rPr>
          <w:spacing w:val="-7"/>
        </w:rPr>
        <w:t> </w:t>
      </w:r>
      <w:r>
        <w:rPr/>
        <w:t>Panamá.</w:t>
      </w:r>
    </w:p>
    <w:p>
      <w:pPr>
        <w:pStyle w:val="BodyText"/>
        <w:ind w:left="1428"/>
        <w:rPr>
          <w:sz w:val="20"/>
        </w:rPr>
      </w:pPr>
      <w:r>
        <w:rPr>
          <w:sz w:val="20"/>
        </w:rPr>
        <w:drawing>
          <wp:inline distT="0" distB="0" distL="0" distR="0">
            <wp:extent cx="5157979" cy="4128516"/>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6" cstate="print"/>
                    <a:stretch>
                      <a:fillRect/>
                    </a:stretch>
                  </pic:blipFill>
                  <pic:spPr>
                    <a:xfrm>
                      <a:off x="0" y="0"/>
                      <a:ext cx="5157979" cy="4128516"/>
                    </a:xfrm>
                    <a:prstGeom prst="rect">
                      <a:avLst/>
                    </a:prstGeom>
                  </pic:spPr>
                </pic:pic>
              </a:graphicData>
            </a:graphic>
          </wp:inline>
        </w:drawing>
      </w:r>
      <w:r>
        <w:rPr>
          <w:sz w:val="20"/>
        </w:rPr>
      </w:r>
    </w:p>
    <w:p>
      <w:pPr>
        <w:pStyle w:val="BodyText"/>
      </w:pPr>
    </w:p>
    <w:p>
      <w:pPr>
        <w:spacing w:before="209"/>
        <w:ind w:left="102" w:right="0" w:firstLine="0"/>
        <w:jc w:val="both"/>
        <w:rPr>
          <w:b/>
          <w:sz w:val="14"/>
        </w:rPr>
      </w:pPr>
      <w:r>
        <w:rPr>
          <w:b/>
          <w:sz w:val="22"/>
        </w:rPr>
        <w:t>Figura 7 Clasificación de los 3 linajes del virus de la EEV. </w:t>
      </w:r>
      <w:r>
        <w:rPr>
          <w:b/>
          <w:position w:val="8"/>
          <w:sz w:val="14"/>
        </w:rPr>
        <w:t>(139)</w:t>
      </w:r>
    </w:p>
    <w:p>
      <w:pPr>
        <w:pStyle w:val="BodyText"/>
        <w:rPr>
          <w:b/>
          <w:sz w:val="22"/>
        </w:rPr>
      </w:pPr>
    </w:p>
    <w:p>
      <w:pPr>
        <w:pStyle w:val="BodyText"/>
        <w:spacing w:before="2"/>
        <w:rPr>
          <w:b/>
          <w:sz w:val="25"/>
        </w:rPr>
      </w:pPr>
    </w:p>
    <w:p>
      <w:pPr>
        <w:pStyle w:val="BodyText"/>
        <w:spacing w:line="360" w:lineRule="auto"/>
        <w:ind w:left="102" w:right="716"/>
        <w:jc w:val="both"/>
      </w:pPr>
      <w:r>
        <w:rPr/>
        <w:t>La capacidad del VEEV subtipo IE de ser transmitido eficientemente tanto por vectores enzoóticos como epizoóticos aumenta el riesgo de futuros brotes en la región de Chiapas. Datos obtenidos de las seroencuestas, casos equinos esporádicos y aislados virales indicaban que las planicies costeras desde Guatemala</w:t>
      </w:r>
      <w:r>
        <w:rPr>
          <w:spacing w:val="-19"/>
        </w:rPr>
        <w:t> </w:t>
      </w:r>
      <w:r>
        <w:rPr/>
        <w:t>hasta</w:t>
      </w:r>
      <w:r>
        <w:rPr>
          <w:spacing w:val="-19"/>
        </w:rPr>
        <w:t> </w:t>
      </w:r>
      <w:r>
        <w:rPr/>
        <w:t>el</w:t>
      </w:r>
      <w:r>
        <w:rPr>
          <w:spacing w:val="-18"/>
        </w:rPr>
        <w:t> </w:t>
      </w:r>
      <w:r>
        <w:rPr/>
        <w:t>istmo</w:t>
      </w:r>
      <w:r>
        <w:rPr>
          <w:spacing w:val="-19"/>
        </w:rPr>
        <w:t> </w:t>
      </w:r>
      <w:r>
        <w:rPr/>
        <w:t>de</w:t>
      </w:r>
      <w:r>
        <w:rPr>
          <w:spacing w:val="-19"/>
        </w:rPr>
        <w:t> </w:t>
      </w:r>
      <w:r>
        <w:rPr/>
        <w:t>Oaxaca</w:t>
      </w:r>
      <w:r>
        <w:rPr>
          <w:spacing w:val="-17"/>
        </w:rPr>
        <w:t> </w:t>
      </w:r>
      <w:r>
        <w:rPr/>
        <w:t>representaban</w:t>
      </w:r>
      <w:r>
        <w:rPr>
          <w:spacing w:val="-19"/>
        </w:rPr>
        <w:t> </w:t>
      </w:r>
      <w:r>
        <w:rPr/>
        <w:t>una</w:t>
      </w:r>
      <w:r>
        <w:rPr>
          <w:spacing w:val="-15"/>
        </w:rPr>
        <w:t> </w:t>
      </w:r>
      <w:r>
        <w:rPr/>
        <w:t>zona</w:t>
      </w:r>
      <w:r>
        <w:rPr>
          <w:spacing w:val="-17"/>
        </w:rPr>
        <w:t> </w:t>
      </w:r>
      <w:r>
        <w:rPr/>
        <w:t>endémica</w:t>
      </w:r>
      <w:r>
        <w:rPr>
          <w:spacing w:val="-17"/>
        </w:rPr>
        <w:t> </w:t>
      </w:r>
      <w:r>
        <w:rPr/>
        <w:t>y</w:t>
      </w:r>
      <w:r>
        <w:rPr>
          <w:spacing w:val="-20"/>
        </w:rPr>
        <w:t> </w:t>
      </w:r>
      <w:r>
        <w:rPr/>
        <w:t>enzoótica</w:t>
      </w:r>
    </w:p>
    <w:p>
      <w:pPr>
        <w:spacing w:after="0" w:line="360" w:lineRule="auto"/>
        <w:jc w:val="both"/>
        <w:sectPr>
          <w:pgSz w:w="12240" w:h="15840"/>
          <w:pgMar w:header="0" w:footer="804" w:top="1360" w:bottom="1180" w:left="1600" w:right="980"/>
        </w:sectPr>
      </w:pPr>
    </w:p>
    <w:p>
      <w:pPr>
        <w:pStyle w:val="BodyText"/>
        <w:spacing w:line="360" w:lineRule="auto" w:before="54"/>
        <w:ind w:left="102" w:right="106"/>
        <w:rPr>
          <w:sz w:val="16"/>
        </w:rPr>
      </w:pPr>
      <w:r>
        <w:rPr/>
        <w:t>del VEEV. Esta zona también se extiende desde la cuenca Papaloapan hasta la costa del Golfo, incluyendo las zonas costeras bajas de Tabasco (desde los municipios</w:t>
      </w:r>
      <w:r>
        <w:rPr>
          <w:spacing w:val="-9"/>
        </w:rPr>
        <w:t> </w:t>
      </w:r>
      <w:r>
        <w:rPr/>
        <w:t>de</w:t>
      </w:r>
      <w:r>
        <w:rPr>
          <w:spacing w:val="-8"/>
        </w:rPr>
        <w:t> </w:t>
      </w:r>
      <w:r>
        <w:rPr/>
        <w:t>Balancan</w:t>
      </w:r>
      <w:r>
        <w:rPr>
          <w:spacing w:val="-8"/>
        </w:rPr>
        <w:t> </w:t>
      </w:r>
      <w:r>
        <w:rPr/>
        <w:t>y</w:t>
      </w:r>
      <w:r>
        <w:rPr>
          <w:spacing w:val="-12"/>
        </w:rPr>
        <w:t> </w:t>
      </w:r>
      <w:r>
        <w:rPr/>
        <w:t>Tenosique</w:t>
      </w:r>
      <w:r>
        <w:rPr>
          <w:spacing w:val="-8"/>
        </w:rPr>
        <w:t> </w:t>
      </w:r>
      <w:r>
        <w:rPr/>
        <w:t>en</w:t>
      </w:r>
      <w:r>
        <w:rPr>
          <w:spacing w:val="-8"/>
        </w:rPr>
        <w:t> </w:t>
      </w:r>
      <w:r>
        <w:rPr/>
        <w:t>la</w:t>
      </w:r>
      <w:r>
        <w:rPr>
          <w:spacing w:val="-11"/>
        </w:rPr>
        <w:t> </w:t>
      </w:r>
      <w:r>
        <w:rPr/>
        <w:t>frontera</w:t>
      </w:r>
      <w:r>
        <w:rPr>
          <w:spacing w:val="-9"/>
        </w:rPr>
        <w:t> </w:t>
      </w:r>
      <w:r>
        <w:rPr/>
        <w:t>guatemalteca),</w:t>
      </w:r>
      <w:r>
        <w:rPr>
          <w:spacing w:val="-9"/>
        </w:rPr>
        <w:t> </w:t>
      </w:r>
      <w:r>
        <w:rPr/>
        <w:t>Veracruz</w:t>
      </w:r>
      <w:r>
        <w:rPr>
          <w:spacing w:val="-9"/>
        </w:rPr>
        <w:t> </w:t>
      </w:r>
      <w:r>
        <w:rPr/>
        <w:t>y</w:t>
      </w:r>
      <w:r>
        <w:rPr>
          <w:spacing w:val="-12"/>
        </w:rPr>
        <w:t> </w:t>
      </w:r>
      <w:r>
        <w:rPr/>
        <w:t>el</w:t>
      </w:r>
      <w:r>
        <w:rPr>
          <w:spacing w:val="-1"/>
        </w:rPr>
        <w:t> </w:t>
      </w:r>
      <w:r>
        <w:rPr/>
        <w:t>sur </w:t>
      </w:r>
      <w:r>
        <w:rPr>
          <w:position w:val="-7"/>
        </w:rPr>
        <w:t>de Tamaulipas en el municipio de Aldama. </w:t>
      </w:r>
      <w:r>
        <w:rPr>
          <w:sz w:val="16"/>
        </w:rPr>
        <w:t>(Estrada- Franco, G., Weaver, Scott, Upublished data) </w:t>
      </w:r>
      <w:r>
        <w:rPr/>
        <w:t>Estudios histopatológicos de equinos con cuadros de encefalitis de Oaxaca, Veracruz</w:t>
      </w:r>
      <w:r>
        <w:rPr>
          <w:spacing w:val="-9"/>
        </w:rPr>
        <w:t> </w:t>
      </w:r>
      <w:r>
        <w:rPr/>
        <w:t>y</w:t>
      </w:r>
      <w:r>
        <w:rPr>
          <w:spacing w:val="-7"/>
        </w:rPr>
        <w:t> </w:t>
      </w:r>
      <w:r>
        <w:rPr/>
        <w:t>Chiapas</w:t>
      </w:r>
      <w:r>
        <w:rPr>
          <w:spacing w:val="-7"/>
        </w:rPr>
        <w:t> </w:t>
      </w:r>
      <w:r>
        <w:rPr/>
        <w:t>de</w:t>
      </w:r>
      <w:r>
        <w:rPr>
          <w:spacing w:val="-8"/>
        </w:rPr>
        <w:t> </w:t>
      </w:r>
      <w:r>
        <w:rPr/>
        <w:t>1996</w:t>
      </w:r>
      <w:r>
        <w:rPr>
          <w:spacing w:val="-8"/>
        </w:rPr>
        <w:t> </w:t>
      </w:r>
      <w:r>
        <w:rPr/>
        <w:t>a</w:t>
      </w:r>
      <w:r>
        <w:rPr>
          <w:spacing w:val="-6"/>
        </w:rPr>
        <w:t> </w:t>
      </w:r>
      <w:r>
        <w:rPr/>
        <w:t>2010,</w:t>
      </w:r>
      <w:r>
        <w:rPr>
          <w:spacing w:val="-9"/>
        </w:rPr>
        <w:t> </w:t>
      </w:r>
      <w:r>
        <w:rPr/>
        <w:t>mostraron</w:t>
      </w:r>
      <w:r>
        <w:rPr>
          <w:spacing w:val="-6"/>
        </w:rPr>
        <w:t> </w:t>
      </w:r>
      <w:r>
        <w:rPr/>
        <w:t>lesiones</w:t>
      </w:r>
      <w:r>
        <w:rPr>
          <w:spacing w:val="-7"/>
        </w:rPr>
        <w:t> </w:t>
      </w:r>
      <w:r>
        <w:rPr/>
        <w:t>cerebrales</w:t>
      </w:r>
      <w:r>
        <w:rPr>
          <w:spacing w:val="-9"/>
        </w:rPr>
        <w:t> </w:t>
      </w:r>
      <w:r>
        <w:rPr/>
        <w:t>típicas</w:t>
      </w:r>
      <w:r>
        <w:rPr>
          <w:spacing w:val="-6"/>
        </w:rPr>
        <w:t> </w:t>
      </w:r>
      <w:r>
        <w:rPr/>
        <w:t>de</w:t>
      </w:r>
      <w:r>
        <w:rPr>
          <w:spacing w:val="-6"/>
        </w:rPr>
        <w:t> </w:t>
      </w:r>
      <w:r>
        <w:rPr/>
        <w:t>EEV, incluyendo infiltración linfocítica polimórfica, focos de necrosis, gliosis y edema en </w:t>
      </w:r>
      <w:r>
        <w:rPr>
          <w:position w:val="-7"/>
        </w:rPr>
        <w:t>el endotelio vascular </w:t>
      </w:r>
      <w:r>
        <w:rPr>
          <w:sz w:val="16"/>
        </w:rPr>
        <w:t>(Navarro- López, R., Unpublished</w:t>
      </w:r>
      <w:r>
        <w:rPr>
          <w:spacing w:val="-21"/>
          <w:sz w:val="16"/>
        </w:rPr>
        <w:t> </w:t>
      </w:r>
      <w:r>
        <w:rPr>
          <w:sz w:val="16"/>
        </w:rPr>
        <w:t>data)</w:t>
      </w:r>
    </w:p>
    <w:p>
      <w:pPr>
        <w:pStyle w:val="BodyText"/>
        <w:spacing w:line="360" w:lineRule="auto"/>
        <w:ind w:left="102" w:right="120"/>
        <w:jc w:val="both"/>
      </w:pPr>
      <w:r>
        <w:rPr/>
        <w:t>Supuestos casos de EEV en equinos fueron reportados en la region costera de Chiapas</w:t>
      </w:r>
      <w:r>
        <w:rPr>
          <w:spacing w:val="-9"/>
        </w:rPr>
        <w:t> </w:t>
      </w:r>
      <w:r>
        <w:rPr/>
        <w:t>durante</w:t>
      </w:r>
      <w:r>
        <w:rPr>
          <w:spacing w:val="-8"/>
        </w:rPr>
        <w:t> </w:t>
      </w:r>
      <w:r>
        <w:rPr/>
        <w:t>el</w:t>
      </w:r>
      <w:r>
        <w:rPr>
          <w:spacing w:val="-10"/>
        </w:rPr>
        <w:t> </w:t>
      </w:r>
      <w:r>
        <w:rPr/>
        <w:t>verano</w:t>
      </w:r>
      <w:r>
        <w:rPr>
          <w:spacing w:val="-8"/>
        </w:rPr>
        <w:t> </w:t>
      </w:r>
      <w:r>
        <w:rPr/>
        <w:t>de</w:t>
      </w:r>
      <w:r>
        <w:rPr>
          <w:spacing w:val="-8"/>
        </w:rPr>
        <w:t> </w:t>
      </w:r>
      <w:r>
        <w:rPr/>
        <w:t>1998,</w:t>
      </w:r>
      <w:r>
        <w:rPr>
          <w:spacing w:val="-11"/>
        </w:rPr>
        <w:t> </w:t>
      </w:r>
      <w:r>
        <w:rPr/>
        <w:t>1999,</w:t>
      </w:r>
      <w:r>
        <w:rPr>
          <w:spacing w:val="-9"/>
        </w:rPr>
        <w:t> </w:t>
      </w:r>
      <w:r>
        <w:rPr/>
        <w:t>2000,</w:t>
      </w:r>
      <w:r>
        <w:rPr>
          <w:spacing w:val="-9"/>
        </w:rPr>
        <w:t> </w:t>
      </w:r>
      <w:r>
        <w:rPr/>
        <w:t>2006,</w:t>
      </w:r>
      <w:r>
        <w:rPr>
          <w:spacing w:val="-9"/>
        </w:rPr>
        <w:t> </w:t>
      </w:r>
      <w:r>
        <w:rPr/>
        <w:t>2009</w:t>
      </w:r>
      <w:r>
        <w:rPr>
          <w:spacing w:val="-8"/>
        </w:rPr>
        <w:t> </w:t>
      </w:r>
      <w:r>
        <w:rPr/>
        <w:t>y</w:t>
      </w:r>
      <w:r>
        <w:rPr>
          <w:spacing w:val="-12"/>
        </w:rPr>
        <w:t> </w:t>
      </w:r>
      <w:r>
        <w:rPr/>
        <w:t>2010</w:t>
      </w:r>
      <w:r>
        <w:rPr>
          <w:spacing w:val="-11"/>
        </w:rPr>
        <w:t> </w:t>
      </w:r>
      <w:r>
        <w:rPr/>
        <w:t>sin</w:t>
      </w:r>
      <w:r>
        <w:rPr>
          <w:spacing w:val="-9"/>
        </w:rPr>
        <w:t> </w:t>
      </w:r>
      <w:r>
        <w:rPr/>
        <w:t>embargo</w:t>
      </w:r>
      <w:r>
        <w:rPr>
          <w:spacing w:val="-8"/>
        </w:rPr>
        <w:t> </w:t>
      </w:r>
      <w:r>
        <w:rPr/>
        <w:t>no se realizó aislamiento viral. Durante el otoño de 2009, el subtipo IE del VEEV fue aislado</w:t>
      </w:r>
      <w:r>
        <w:rPr>
          <w:spacing w:val="-8"/>
        </w:rPr>
        <w:t> </w:t>
      </w:r>
      <w:r>
        <w:rPr/>
        <w:t>de</w:t>
      </w:r>
      <w:r>
        <w:rPr>
          <w:spacing w:val="-8"/>
        </w:rPr>
        <w:t> </w:t>
      </w:r>
      <w:r>
        <w:rPr/>
        <w:t>dos</w:t>
      </w:r>
      <w:r>
        <w:rPr>
          <w:spacing w:val="-9"/>
        </w:rPr>
        <w:t> </w:t>
      </w:r>
      <w:r>
        <w:rPr/>
        <w:t>equinos</w:t>
      </w:r>
      <w:r>
        <w:rPr>
          <w:spacing w:val="-12"/>
        </w:rPr>
        <w:t> </w:t>
      </w:r>
      <w:r>
        <w:rPr/>
        <w:t>enfermos</w:t>
      </w:r>
      <w:r>
        <w:rPr>
          <w:spacing w:val="-9"/>
        </w:rPr>
        <w:t> </w:t>
      </w:r>
      <w:r>
        <w:rPr/>
        <w:t>en</w:t>
      </w:r>
      <w:r>
        <w:rPr>
          <w:spacing w:val="-8"/>
        </w:rPr>
        <w:t> </w:t>
      </w:r>
      <w:r>
        <w:rPr/>
        <w:t>la</w:t>
      </w:r>
      <w:r>
        <w:rPr>
          <w:spacing w:val="-9"/>
        </w:rPr>
        <w:t> </w:t>
      </w:r>
      <w:r>
        <w:rPr/>
        <w:t>región</w:t>
      </w:r>
      <w:r>
        <w:rPr>
          <w:spacing w:val="-8"/>
        </w:rPr>
        <w:t> </w:t>
      </w:r>
      <w:r>
        <w:rPr/>
        <w:t>costera</w:t>
      </w:r>
      <w:r>
        <w:rPr>
          <w:spacing w:val="-9"/>
        </w:rPr>
        <w:t> </w:t>
      </w:r>
      <w:r>
        <w:rPr/>
        <w:t>de</w:t>
      </w:r>
      <w:r>
        <w:rPr>
          <w:spacing w:val="-8"/>
        </w:rPr>
        <w:t> </w:t>
      </w:r>
      <w:r>
        <w:rPr/>
        <w:t>Veracruz.</w:t>
      </w:r>
      <w:r>
        <w:rPr>
          <w:spacing w:val="-9"/>
        </w:rPr>
        <w:t> </w:t>
      </w:r>
      <w:r>
        <w:rPr/>
        <w:t>El</w:t>
      </w:r>
      <w:r>
        <w:rPr>
          <w:spacing w:val="-10"/>
        </w:rPr>
        <w:t> </w:t>
      </w:r>
      <w:r>
        <w:rPr/>
        <w:t>subtipo</w:t>
      </w:r>
      <w:r>
        <w:rPr>
          <w:spacing w:val="-8"/>
        </w:rPr>
        <w:t> </w:t>
      </w:r>
      <w:r>
        <w:rPr/>
        <w:t>IE</w:t>
      </w:r>
      <w:r>
        <w:rPr>
          <w:spacing w:val="-11"/>
        </w:rPr>
        <w:t> </w:t>
      </w:r>
      <w:r>
        <w:rPr/>
        <w:t>del VEEV ha sido aislado de hámsters centinelas y mosquitos en los estados de Chiapas y</w:t>
      </w:r>
      <w:r>
        <w:rPr>
          <w:spacing w:val="-5"/>
        </w:rPr>
        <w:t> </w:t>
      </w:r>
      <w:r>
        <w:rPr/>
        <w:t>Veracruz.</w:t>
      </w:r>
    </w:p>
    <w:p>
      <w:pPr>
        <w:pStyle w:val="BodyText"/>
        <w:spacing w:line="360" w:lineRule="auto" w:before="2"/>
        <w:ind w:left="102" w:right="118"/>
        <w:jc w:val="both"/>
        <w:rPr>
          <w:sz w:val="16"/>
        </w:rPr>
      </w:pPr>
      <w:r>
        <w:rPr/>
        <w:t>Los resultados de estudios de campo llevados a cabo en cinco estados (Chiapas, Oaxaca, Tabasco, Veracruz y Tamaulipas) incluyendo altas tasas de seroprevalencia, detección de IgM en humanos diagnosticados inicialmente con dengue y aislamientos del VEEV subtipo IE de mosquitos y hámster centinelas indican la transmisión endémica en estas regiones , que también son endémicas para otras enfermedades arbovirales. </w:t>
      </w:r>
      <w:r>
        <w:rPr>
          <w:position w:val="8"/>
          <w:sz w:val="16"/>
        </w:rPr>
        <w:t>(10, 151,152, 153)</w:t>
      </w:r>
    </w:p>
    <w:p>
      <w:pPr>
        <w:pStyle w:val="BodyText"/>
        <w:spacing w:before="11"/>
        <w:rPr>
          <w:sz w:val="20"/>
        </w:rPr>
      </w:pPr>
    </w:p>
    <w:p>
      <w:pPr>
        <w:pStyle w:val="BodyText"/>
        <w:spacing w:line="360" w:lineRule="auto"/>
        <w:ind w:left="102" w:right="123"/>
        <w:jc w:val="both"/>
      </w:pPr>
      <w:r>
        <w:rPr/>
        <w:t>A pesar de que las seroprevalencia del VEEV en humanos son elevadas en estas regiones, es raramente reconocida por la comunidad médica debido que los</w:t>
      </w:r>
      <w:r>
        <w:rPr>
          <w:spacing w:val="-37"/>
        </w:rPr>
        <w:t> </w:t>
      </w:r>
      <w:r>
        <w:rPr/>
        <w:t>signos clínicos y síntomas se se superponen extensivamente con los de dengue y otras enfermedades causadas por</w:t>
      </w:r>
      <w:r>
        <w:rPr>
          <w:spacing w:val="-18"/>
        </w:rPr>
        <w:t> </w:t>
      </w:r>
      <w:r>
        <w:rPr/>
        <w:t>arbovirus.</w:t>
      </w:r>
    </w:p>
    <w:p>
      <w:pPr>
        <w:pStyle w:val="BodyText"/>
        <w:spacing w:line="360" w:lineRule="auto" w:before="164"/>
        <w:ind w:left="102" w:right="106"/>
        <w:rPr>
          <w:sz w:val="16"/>
        </w:rPr>
      </w:pPr>
      <w:r>
        <w:rPr/>
        <w:t>Durante 2007-2009, se llevaron a cabo numerosas seroencuestas en humanos sospechosos de Dengue, a lo largo de las zonas costeras de Chiapas y Veracruz. En promedio. 10-14 % de pacientes febriles tuvieron anticuerpos IgM específicos </w:t>
      </w:r>
      <w:r>
        <w:rPr>
          <w:position w:val="-7"/>
        </w:rPr>
        <w:t>para EEV, sugiriendo una infección reciente. </w:t>
      </w:r>
      <w:r>
        <w:rPr>
          <w:sz w:val="16"/>
        </w:rPr>
        <w:t>(Estrada- Franco, G., Weaver, Scott, Upublished data).</w:t>
      </w:r>
    </w:p>
    <w:p>
      <w:pPr>
        <w:spacing w:after="0" w:line="360" w:lineRule="auto"/>
        <w:rPr>
          <w:sz w:val="16"/>
        </w:rPr>
        <w:sectPr>
          <w:footerReference w:type="default" r:id="rId27"/>
          <w:pgSz w:w="12240" w:h="15840"/>
          <w:pgMar w:footer="1120" w:header="0" w:top="1360" w:bottom="1320" w:left="1600" w:right="1580"/>
        </w:sectPr>
      </w:pPr>
    </w:p>
    <w:p>
      <w:pPr>
        <w:pStyle w:val="BodyText"/>
        <w:ind w:left="105"/>
        <w:rPr>
          <w:sz w:val="20"/>
        </w:rPr>
      </w:pPr>
      <w:r>
        <w:rPr>
          <w:sz w:val="20"/>
        </w:rPr>
        <w:drawing>
          <wp:inline distT="0" distB="0" distL="0" distR="0">
            <wp:extent cx="7367061" cy="5128831"/>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9" cstate="print"/>
                    <a:stretch>
                      <a:fillRect/>
                    </a:stretch>
                  </pic:blipFill>
                  <pic:spPr>
                    <a:xfrm>
                      <a:off x="0" y="0"/>
                      <a:ext cx="7367061" cy="5128831"/>
                    </a:xfrm>
                    <a:prstGeom prst="rect">
                      <a:avLst/>
                    </a:prstGeom>
                  </pic:spPr>
                </pic:pic>
              </a:graphicData>
            </a:graphic>
          </wp:inline>
        </w:drawing>
      </w:r>
      <w:r>
        <w:rPr>
          <w:sz w:val="20"/>
        </w:rPr>
      </w:r>
    </w:p>
    <w:p>
      <w:pPr>
        <w:pStyle w:val="BodyText"/>
        <w:spacing w:before="5"/>
        <w:rPr>
          <w:sz w:val="28"/>
        </w:rPr>
      </w:pPr>
    </w:p>
    <w:p>
      <w:pPr>
        <w:spacing w:line="240" w:lineRule="auto" w:before="72"/>
        <w:ind w:left="1582" w:right="1355" w:firstLine="0"/>
        <w:jc w:val="both"/>
        <w:rPr>
          <w:sz w:val="14"/>
        </w:rPr>
      </w:pPr>
      <w:r>
        <w:rPr>
          <w:b/>
          <w:sz w:val="22"/>
        </w:rPr>
        <w:t>Figura</w:t>
      </w:r>
      <w:r>
        <w:rPr>
          <w:b/>
          <w:spacing w:val="-15"/>
          <w:sz w:val="22"/>
        </w:rPr>
        <w:t> </w:t>
      </w:r>
      <w:r>
        <w:rPr>
          <w:b/>
          <w:sz w:val="22"/>
        </w:rPr>
        <w:t>8</w:t>
      </w:r>
      <w:r>
        <w:rPr>
          <w:b/>
          <w:spacing w:val="29"/>
          <w:sz w:val="22"/>
        </w:rPr>
        <w:t> </w:t>
      </w:r>
      <w:r>
        <w:rPr>
          <w:b/>
          <w:sz w:val="22"/>
        </w:rPr>
        <w:t>Focos</w:t>
      </w:r>
      <w:r>
        <w:rPr>
          <w:b/>
          <w:spacing w:val="-18"/>
          <w:sz w:val="22"/>
        </w:rPr>
        <w:t> </w:t>
      </w:r>
      <w:r>
        <w:rPr>
          <w:b/>
          <w:sz w:val="22"/>
        </w:rPr>
        <w:t>enzoóticos</w:t>
      </w:r>
      <w:r>
        <w:rPr>
          <w:b/>
          <w:spacing w:val="-15"/>
          <w:sz w:val="22"/>
        </w:rPr>
        <w:t> </w:t>
      </w:r>
      <w:r>
        <w:rPr>
          <w:b/>
          <w:sz w:val="22"/>
        </w:rPr>
        <w:t>y</w:t>
      </w:r>
      <w:r>
        <w:rPr>
          <w:b/>
          <w:spacing w:val="-20"/>
          <w:sz w:val="22"/>
        </w:rPr>
        <w:t> </w:t>
      </w:r>
      <w:r>
        <w:rPr>
          <w:b/>
          <w:sz w:val="22"/>
        </w:rPr>
        <w:t>epizoóticos</w:t>
      </w:r>
      <w:r>
        <w:rPr>
          <w:b/>
          <w:spacing w:val="-15"/>
          <w:sz w:val="22"/>
        </w:rPr>
        <w:t> </w:t>
      </w:r>
      <w:r>
        <w:rPr>
          <w:b/>
          <w:sz w:val="22"/>
        </w:rPr>
        <w:t>de</w:t>
      </w:r>
      <w:r>
        <w:rPr>
          <w:b/>
          <w:spacing w:val="-18"/>
          <w:sz w:val="22"/>
        </w:rPr>
        <w:t> </w:t>
      </w:r>
      <w:r>
        <w:rPr>
          <w:b/>
          <w:sz w:val="22"/>
        </w:rPr>
        <w:t>EEV.</w:t>
      </w:r>
      <w:r>
        <w:rPr>
          <w:b/>
          <w:spacing w:val="35"/>
          <w:sz w:val="22"/>
        </w:rPr>
        <w:t> </w:t>
      </w:r>
      <w:r>
        <w:rPr>
          <w:sz w:val="22"/>
        </w:rPr>
        <w:t>Los</w:t>
      </w:r>
      <w:r>
        <w:rPr>
          <w:spacing w:val="-15"/>
          <w:sz w:val="22"/>
        </w:rPr>
        <w:t> </w:t>
      </w:r>
      <w:r>
        <w:rPr>
          <w:sz w:val="22"/>
        </w:rPr>
        <w:t>estados</w:t>
      </w:r>
      <w:r>
        <w:rPr>
          <w:spacing w:val="-17"/>
          <w:sz w:val="22"/>
        </w:rPr>
        <w:t> </w:t>
      </w:r>
      <w:r>
        <w:rPr>
          <w:sz w:val="22"/>
        </w:rPr>
        <w:t>coloreados</w:t>
      </w:r>
      <w:r>
        <w:rPr>
          <w:spacing w:val="-15"/>
          <w:sz w:val="22"/>
        </w:rPr>
        <w:t> </w:t>
      </w:r>
      <w:r>
        <w:rPr>
          <w:sz w:val="22"/>
        </w:rPr>
        <w:t>corresponden a</w:t>
      </w:r>
      <w:r>
        <w:rPr>
          <w:spacing w:val="-13"/>
          <w:sz w:val="22"/>
        </w:rPr>
        <w:t> </w:t>
      </w:r>
      <w:r>
        <w:rPr>
          <w:sz w:val="22"/>
        </w:rPr>
        <w:t>los</w:t>
      </w:r>
      <w:r>
        <w:rPr>
          <w:spacing w:val="-13"/>
          <w:sz w:val="22"/>
        </w:rPr>
        <w:t> </w:t>
      </w:r>
      <w:r>
        <w:rPr>
          <w:sz w:val="22"/>
        </w:rPr>
        <w:t>linajes</w:t>
      </w:r>
      <w:r>
        <w:rPr>
          <w:spacing w:val="-13"/>
          <w:sz w:val="22"/>
        </w:rPr>
        <w:t> </w:t>
      </w:r>
      <w:r>
        <w:rPr>
          <w:sz w:val="22"/>
        </w:rPr>
        <w:t>del</w:t>
      </w:r>
      <w:r>
        <w:rPr>
          <w:spacing w:val="-14"/>
          <w:sz w:val="22"/>
        </w:rPr>
        <w:t> </w:t>
      </w:r>
      <w:r>
        <w:rPr>
          <w:sz w:val="22"/>
        </w:rPr>
        <w:t>subtipo</w:t>
      </w:r>
      <w:r>
        <w:rPr>
          <w:spacing w:val="-14"/>
          <w:sz w:val="22"/>
        </w:rPr>
        <w:t> </w:t>
      </w:r>
      <w:r>
        <w:rPr>
          <w:sz w:val="22"/>
        </w:rPr>
        <w:t>IE</w:t>
      </w:r>
      <w:r>
        <w:rPr>
          <w:spacing w:val="-14"/>
          <w:sz w:val="22"/>
        </w:rPr>
        <w:t> </w:t>
      </w:r>
      <w:r>
        <w:rPr>
          <w:sz w:val="22"/>
        </w:rPr>
        <w:t>del</w:t>
      </w:r>
      <w:r>
        <w:rPr>
          <w:spacing w:val="-14"/>
          <w:sz w:val="22"/>
        </w:rPr>
        <w:t> </w:t>
      </w:r>
      <w:r>
        <w:rPr>
          <w:sz w:val="22"/>
        </w:rPr>
        <w:t>VEEV</w:t>
      </w:r>
      <w:r>
        <w:rPr>
          <w:spacing w:val="-14"/>
          <w:sz w:val="22"/>
        </w:rPr>
        <w:t> </w:t>
      </w:r>
      <w:r>
        <w:rPr>
          <w:sz w:val="22"/>
        </w:rPr>
        <w:t>presentes</w:t>
      </w:r>
      <w:r>
        <w:rPr>
          <w:spacing w:val="-13"/>
          <w:sz w:val="22"/>
        </w:rPr>
        <w:t> </w:t>
      </w:r>
      <w:r>
        <w:rPr>
          <w:sz w:val="22"/>
        </w:rPr>
        <w:t>en</w:t>
      </w:r>
      <w:r>
        <w:rPr>
          <w:spacing w:val="-16"/>
          <w:sz w:val="22"/>
        </w:rPr>
        <w:t> </w:t>
      </w:r>
      <w:r>
        <w:rPr>
          <w:sz w:val="22"/>
        </w:rPr>
        <w:t>la</w:t>
      </w:r>
      <w:r>
        <w:rPr>
          <w:spacing w:val="-13"/>
          <w:sz w:val="22"/>
        </w:rPr>
        <w:t> </w:t>
      </w:r>
      <w:r>
        <w:rPr>
          <w:sz w:val="22"/>
        </w:rPr>
        <w:t>República</w:t>
      </w:r>
      <w:r>
        <w:rPr>
          <w:spacing w:val="-13"/>
          <w:sz w:val="22"/>
        </w:rPr>
        <w:t> </w:t>
      </w:r>
      <w:r>
        <w:rPr>
          <w:sz w:val="22"/>
        </w:rPr>
        <w:t>Mexicana,</w:t>
      </w:r>
      <w:r>
        <w:rPr>
          <w:spacing w:val="-13"/>
          <w:sz w:val="22"/>
        </w:rPr>
        <w:t> </w:t>
      </w:r>
      <w:r>
        <w:rPr>
          <w:sz w:val="22"/>
        </w:rPr>
        <w:t>los</w:t>
      </w:r>
      <w:r>
        <w:rPr>
          <w:spacing w:val="-13"/>
          <w:sz w:val="22"/>
        </w:rPr>
        <w:t> </w:t>
      </w:r>
      <w:r>
        <w:rPr>
          <w:sz w:val="22"/>
        </w:rPr>
        <w:t>puntos</w:t>
      </w:r>
      <w:r>
        <w:rPr>
          <w:spacing w:val="-15"/>
          <w:sz w:val="22"/>
        </w:rPr>
        <w:t> </w:t>
      </w:r>
      <w:r>
        <w:rPr>
          <w:sz w:val="22"/>
        </w:rPr>
        <w:t>negros indican la localización exacta del aislamiento viral.</w:t>
      </w:r>
      <w:r>
        <w:rPr>
          <w:spacing w:val="43"/>
          <w:sz w:val="22"/>
        </w:rPr>
        <w:t> </w:t>
      </w:r>
      <w:r>
        <w:rPr>
          <w:position w:val="8"/>
          <w:sz w:val="14"/>
        </w:rPr>
        <w:t>(45)</w:t>
      </w:r>
    </w:p>
    <w:p>
      <w:pPr>
        <w:pStyle w:val="BodyText"/>
        <w:rPr>
          <w:sz w:val="22"/>
        </w:rPr>
      </w:pPr>
    </w:p>
    <w:p>
      <w:pPr>
        <w:pStyle w:val="Heading4"/>
        <w:spacing w:before="161"/>
        <w:ind w:left="1582"/>
        <w:jc w:val="both"/>
      </w:pPr>
      <w:r>
        <w:rPr/>
        <w:t>II. 8. Ciclos de transmisión del Virus de la Encefalitis Equina Venezolana</w:t>
      </w:r>
    </w:p>
    <w:p>
      <w:pPr>
        <w:pStyle w:val="BodyText"/>
        <w:rPr>
          <w:b/>
        </w:rPr>
      </w:pPr>
    </w:p>
    <w:p>
      <w:pPr>
        <w:pStyle w:val="BodyText"/>
        <w:rPr>
          <w:b/>
        </w:rPr>
      </w:pPr>
    </w:p>
    <w:p>
      <w:pPr>
        <w:pStyle w:val="BodyText"/>
        <w:spacing w:line="360" w:lineRule="auto"/>
        <w:ind w:left="1582" w:right="1356"/>
        <w:jc w:val="both"/>
      </w:pPr>
      <w:r>
        <w:rPr/>
        <w:t>La</w:t>
      </w:r>
      <w:r>
        <w:rPr>
          <w:spacing w:val="-16"/>
        </w:rPr>
        <w:t> </w:t>
      </w:r>
      <w:r>
        <w:rPr/>
        <w:t>EEV</w:t>
      </w:r>
      <w:r>
        <w:rPr>
          <w:spacing w:val="33"/>
        </w:rPr>
        <w:t> </w:t>
      </w:r>
      <w:r>
        <w:rPr/>
        <w:t>se</w:t>
      </w:r>
      <w:r>
        <w:rPr>
          <w:spacing w:val="-18"/>
        </w:rPr>
        <w:t> </w:t>
      </w:r>
      <w:r>
        <w:rPr/>
        <w:t>presenta</w:t>
      </w:r>
      <w:r>
        <w:rPr>
          <w:spacing w:val="-17"/>
        </w:rPr>
        <w:t> </w:t>
      </w:r>
      <w:r>
        <w:rPr/>
        <w:t>en</w:t>
      </w:r>
      <w:r>
        <w:rPr>
          <w:spacing w:val="-16"/>
        </w:rPr>
        <w:t> </w:t>
      </w:r>
      <w:r>
        <w:rPr/>
        <w:t>la</w:t>
      </w:r>
      <w:r>
        <w:rPr>
          <w:spacing w:val="-18"/>
        </w:rPr>
        <w:t> </w:t>
      </w:r>
      <w:r>
        <w:rPr/>
        <w:t>naturaleza</w:t>
      </w:r>
      <w:r>
        <w:rPr>
          <w:spacing w:val="-16"/>
        </w:rPr>
        <w:t> </w:t>
      </w:r>
      <w:r>
        <w:rPr/>
        <w:t>en</w:t>
      </w:r>
      <w:r>
        <w:rPr>
          <w:spacing w:val="-20"/>
        </w:rPr>
        <w:t> </w:t>
      </w:r>
      <w:r>
        <w:rPr/>
        <w:t>focos</w:t>
      </w:r>
      <w:r>
        <w:rPr>
          <w:spacing w:val="-16"/>
        </w:rPr>
        <w:t> </w:t>
      </w:r>
      <w:r>
        <w:rPr/>
        <w:t>enzoóticos</w:t>
      </w:r>
      <w:r>
        <w:rPr>
          <w:spacing w:val="-19"/>
        </w:rPr>
        <w:t> </w:t>
      </w:r>
      <w:r>
        <w:rPr/>
        <w:t>y</w:t>
      </w:r>
      <w:r>
        <w:rPr>
          <w:spacing w:val="-19"/>
        </w:rPr>
        <w:t> </w:t>
      </w:r>
      <w:r>
        <w:rPr/>
        <w:t>epizoóticos</w:t>
      </w:r>
      <w:r>
        <w:rPr>
          <w:spacing w:val="-16"/>
        </w:rPr>
        <w:t> </w:t>
      </w:r>
      <w:r>
        <w:rPr/>
        <w:t>y</w:t>
      </w:r>
      <w:r>
        <w:rPr>
          <w:spacing w:val="-19"/>
        </w:rPr>
        <w:t> </w:t>
      </w:r>
      <w:r>
        <w:rPr/>
        <w:t>tiene</w:t>
      </w:r>
      <w:r>
        <w:rPr>
          <w:spacing w:val="-18"/>
        </w:rPr>
        <w:t> </w:t>
      </w:r>
      <w:r>
        <w:rPr/>
        <w:t>ciclos de</w:t>
      </w:r>
      <w:r>
        <w:rPr>
          <w:spacing w:val="-16"/>
        </w:rPr>
        <w:t> </w:t>
      </w:r>
      <w:r>
        <w:rPr/>
        <w:t>amplificación</w:t>
      </w:r>
      <w:r>
        <w:rPr>
          <w:spacing w:val="-16"/>
        </w:rPr>
        <w:t> </w:t>
      </w:r>
      <w:r>
        <w:rPr/>
        <w:t>viral</w:t>
      </w:r>
      <w:r>
        <w:rPr>
          <w:spacing w:val="-15"/>
        </w:rPr>
        <w:t> </w:t>
      </w:r>
      <w:r>
        <w:rPr/>
        <w:t>que</w:t>
      </w:r>
      <w:r>
        <w:rPr>
          <w:spacing w:val="-14"/>
        </w:rPr>
        <w:t> </w:t>
      </w:r>
      <w:r>
        <w:rPr/>
        <w:t>involucra</w:t>
      </w:r>
      <w:r>
        <w:rPr>
          <w:spacing w:val="-14"/>
        </w:rPr>
        <w:t> </w:t>
      </w:r>
      <w:r>
        <w:rPr/>
        <w:t>vertebrados</w:t>
      </w:r>
      <w:r>
        <w:rPr>
          <w:spacing w:val="-15"/>
        </w:rPr>
        <w:t> </w:t>
      </w:r>
      <w:r>
        <w:rPr/>
        <w:t>silvestres</w:t>
      </w:r>
      <w:r>
        <w:rPr>
          <w:spacing w:val="-15"/>
        </w:rPr>
        <w:t> </w:t>
      </w:r>
      <w:r>
        <w:rPr/>
        <w:t>(roedores</w:t>
      </w:r>
      <w:r>
        <w:rPr>
          <w:spacing w:val="-18"/>
        </w:rPr>
        <w:t> </w:t>
      </w:r>
      <w:r>
        <w:rPr/>
        <w:t>principalmente) y mosquitos, quienes actúan como vectores para transmitir la infección desde animales virémicos a otros</w:t>
      </w:r>
      <w:r>
        <w:rPr>
          <w:spacing w:val="-12"/>
        </w:rPr>
        <w:t> </w:t>
      </w:r>
      <w:r>
        <w:rPr/>
        <w:t>susceptibles.</w:t>
      </w:r>
    </w:p>
    <w:p>
      <w:pPr>
        <w:pStyle w:val="BodyText"/>
        <w:spacing w:line="360" w:lineRule="auto" w:before="2"/>
        <w:ind w:left="1582" w:right="1365"/>
        <w:jc w:val="both"/>
      </w:pPr>
      <w:r>
        <w:rPr/>
        <w:t>Los virus epizoóticos y enzoóticos del VEEV tienen ciclos de transmisión muy diferentes.  Además,  existe  una  fuerte  evidencia  que  muestra  que  los      virus</w:t>
      </w:r>
    </w:p>
    <w:p>
      <w:pPr>
        <w:spacing w:after="0" w:line="360" w:lineRule="auto"/>
        <w:jc w:val="both"/>
        <w:sectPr>
          <w:footerReference w:type="default" r:id="rId28"/>
          <w:pgSz w:w="12240" w:h="15840"/>
          <w:pgMar w:footer="722" w:header="0" w:top="1420" w:bottom="920" w:left="120" w:right="340"/>
          <w:pgNumType w:start="20"/>
        </w:sectPr>
      </w:pPr>
    </w:p>
    <w:p>
      <w:pPr>
        <w:pStyle w:val="BodyText"/>
        <w:spacing w:line="357" w:lineRule="auto" w:before="54"/>
        <w:ind w:left="102" w:right="119"/>
        <w:jc w:val="both"/>
        <w:rPr>
          <w:sz w:val="16"/>
        </w:rPr>
      </w:pPr>
      <w:r>
        <w:rPr/>
        <w:t>epizoóticos surgen como mutantes de un único linaje enzoótico del subtipo ID que ocurre en Venezuela, Colombia y el norte de Perú. </w:t>
      </w:r>
      <w:r>
        <w:rPr>
          <w:position w:val="8"/>
          <w:sz w:val="16"/>
        </w:rPr>
        <w:t>(49)</w:t>
      </w:r>
    </w:p>
    <w:p>
      <w:pPr>
        <w:pStyle w:val="BodyText"/>
        <w:spacing w:line="360" w:lineRule="auto" w:before="1"/>
        <w:ind w:left="102" w:right="121"/>
        <w:jc w:val="both"/>
        <w:rPr>
          <w:sz w:val="16"/>
        </w:rPr>
      </w:pPr>
      <w:r>
        <w:rPr/>
        <w:t>El principal mecanismo de transmisión del VEEV es por medio de artrópodos infectados dentro de los ciclos epizoóticos o enzoóticos. Sin embargo el VEEV puede ser transmitido mediante aerosolización de partículas virales. De 150 infecciones humanas en el laboratorio presumiblemente 10 ocurren vía generación de aerosoles. Además se reporta la transmisión por contacto o aerosoles en roedores de laboratorio como ratas. </w:t>
      </w:r>
      <w:r>
        <w:rPr>
          <w:position w:val="8"/>
          <w:sz w:val="16"/>
        </w:rPr>
        <w:t>(50, 51)</w:t>
      </w:r>
    </w:p>
    <w:p>
      <w:pPr>
        <w:pStyle w:val="BodyText"/>
        <w:spacing w:line="360" w:lineRule="auto"/>
        <w:ind w:left="102" w:right="123" w:firstLine="67"/>
        <w:jc w:val="both"/>
      </w:pPr>
      <w:r>
        <w:rPr/>
        <w:t>La</w:t>
      </w:r>
      <w:r>
        <w:rPr>
          <w:spacing w:val="-17"/>
        </w:rPr>
        <w:t> </w:t>
      </w:r>
      <w:r>
        <w:rPr/>
        <w:t>transmisión</w:t>
      </w:r>
      <w:r>
        <w:rPr>
          <w:spacing w:val="-17"/>
        </w:rPr>
        <w:t> </w:t>
      </w:r>
      <w:r>
        <w:rPr/>
        <w:t>biológica</w:t>
      </w:r>
      <w:r>
        <w:rPr>
          <w:spacing w:val="-17"/>
        </w:rPr>
        <w:t> </w:t>
      </w:r>
      <w:r>
        <w:rPr/>
        <w:t>de</w:t>
      </w:r>
      <w:r>
        <w:rPr>
          <w:spacing w:val="-17"/>
        </w:rPr>
        <w:t> </w:t>
      </w:r>
      <w:r>
        <w:rPr/>
        <w:t>los</w:t>
      </w:r>
      <w:r>
        <w:rPr>
          <w:spacing w:val="-17"/>
        </w:rPr>
        <w:t> </w:t>
      </w:r>
      <w:r>
        <w:rPr/>
        <w:t>virus</w:t>
      </w:r>
      <w:r>
        <w:rPr>
          <w:spacing w:val="-17"/>
        </w:rPr>
        <w:t> </w:t>
      </w:r>
      <w:r>
        <w:rPr/>
        <w:t>transmitidos</w:t>
      </w:r>
      <w:r>
        <w:rPr>
          <w:spacing w:val="-17"/>
        </w:rPr>
        <w:t> </w:t>
      </w:r>
      <w:r>
        <w:rPr/>
        <w:t>por</w:t>
      </w:r>
      <w:r>
        <w:rPr>
          <w:spacing w:val="-18"/>
        </w:rPr>
        <w:t> </w:t>
      </w:r>
      <w:r>
        <w:rPr/>
        <w:t>vector</w:t>
      </w:r>
      <w:r>
        <w:rPr>
          <w:spacing w:val="-18"/>
        </w:rPr>
        <w:t> </w:t>
      </w:r>
      <w:r>
        <w:rPr/>
        <w:t>generalmente</w:t>
      </w:r>
      <w:r>
        <w:rPr>
          <w:spacing w:val="-16"/>
        </w:rPr>
        <w:t> </w:t>
      </w:r>
      <w:r>
        <w:rPr/>
        <w:t>involucra una infección inicial del intestino medio del mosquito inmediato la ingesta de la sangre</w:t>
      </w:r>
      <w:r>
        <w:rPr>
          <w:spacing w:val="-6"/>
        </w:rPr>
        <w:t> </w:t>
      </w:r>
      <w:r>
        <w:rPr/>
        <w:t>virémica.</w:t>
      </w:r>
    </w:p>
    <w:p>
      <w:pPr>
        <w:pStyle w:val="BodyText"/>
        <w:spacing w:line="360" w:lineRule="auto" w:before="5"/>
        <w:ind w:left="102" w:right="115"/>
        <w:jc w:val="both"/>
        <w:rPr>
          <w:sz w:val="16"/>
        </w:rPr>
      </w:pPr>
      <w:r>
        <w:rPr/>
        <w:t>Se cree que las células epiteliales posteriores del intestino medio son las primeras en infectarse, seguidas de la diseminación hacia el hemocele y la infección de órganos secundarios y tejidos incluyendo las glándulas salivales. En las glándulas salivales</w:t>
      </w:r>
      <w:r>
        <w:rPr>
          <w:spacing w:val="-9"/>
        </w:rPr>
        <w:t> </w:t>
      </w:r>
      <w:r>
        <w:rPr/>
        <w:t>las</w:t>
      </w:r>
      <w:r>
        <w:rPr>
          <w:spacing w:val="-9"/>
        </w:rPr>
        <w:t> </w:t>
      </w:r>
      <w:r>
        <w:rPr/>
        <w:t>partículas</w:t>
      </w:r>
      <w:r>
        <w:rPr>
          <w:spacing w:val="-11"/>
        </w:rPr>
        <w:t> </w:t>
      </w:r>
      <w:r>
        <w:rPr/>
        <w:t>virales</w:t>
      </w:r>
      <w:r>
        <w:rPr>
          <w:spacing w:val="-9"/>
        </w:rPr>
        <w:t> </w:t>
      </w:r>
      <w:r>
        <w:rPr/>
        <w:t>se</w:t>
      </w:r>
      <w:r>
        <w:rPr>
          <w:spacing w:val="-8"/>
        </w:rPr>
        <w:t> </w:t>
      </w:r>
      <w:r>
        <w:rPr/>
        <w:t>unen</w:t>
      </w:r>
      <w:r>
        <w:rPr>
          <w:spacing w:val="-11"/>
        </w:rPr>
        <w:t> </w:t>
      </w:r>
      <w:r>
        <w:rPr/>
        <w:t>a</w:t>
      </w:r>
      <w:r>
        <w:rPr>
          <w:spacing w:val="-8"/>
        </w:rPr>
        <w:t> </w:t>
      </w:r>
      <w:r>
        <w:rPr/>
        <w:t>las</w:t>
      </w:r>
      <w:r>
        <w:rPr>
          <w:spacing w:val="-11"/>
        </w:rPr>
        <w:t> </w:t>
      </w:r>
      <w:r>
        <w:rPr/>
        <w:t>cavidades</w:t>
      </w:r>
      <w:r>
        <w:rPr>
          <w:spacing w:val="-9"/>
        </w:rPr>
        <w:t> </w:t>
      </w:r>
      <w:r>
        <w:rPr/>
        <w:t>apicales</w:t>
      </w:r>
      <w:r>
        <w:rPr>
          <w:spacing w:val="-9"/>
        </w:rPr>
        <w:t> </w:t>
      </w:r>
      <w:r>
        <w:rPr/>
        <w:t>y</w:t>
      </w:r>
      <w:r>
        <w:rPr>
          <w:spacing w:val="-12"/>
        </w:rPr>
        <w:t> </w:t>
      </w:r>
      <w:r>
        <w:rPr/>
        <w:t>son</w:t>
      </w:r>
      <w:r>
        <w:rPr>
          <w:spacing w:val="-8"/>
        </w:rPr>
        <w:t> </w:t>
      </w:r>
      <w:r>
        <w:rPr/>
        <w:t>transportadas a</w:t>
      </w:r>
      <w:r>
        <w:rPr>
          <w:spacing w:val="-14"/>
        </w:rPr>
        <w:t> </w:t>
      </w:r>
      <w:r>
        <w:rPr/>
        <w:t>través</w:t>
      </w:r>
      <w:r>
        <w:rPr>
          <w:spacing w:val="-17"/>
        </w:rPr>
        <w:t> </w:t>
      </w:r>
      <w:r>
        <w:rPr/>
        <w:t>de</w:t>
      </w:r>
      <w:r>
        <w:rPr>
          <w:spacing w:val="-16"/>
        </w:rPr>
        <w:t> </w:t>
      </w:r>
      <w:r>
        <w:rPr/>
        <w:t>los</w:t>
      </w:r>
      <w:r>
        <w:rPr>
          <w:spacing w:val="-14"/>
        </w:rPr>
        <w:t> </w:t>
      </w:r>
      <w:r>
        <w:rPr/>
        <w:t>conductos</w:t>
      </w:r>
      <w:r>
        <w:rPr>
          <w:spacing w:val="-15"/>
        </w:rPr>
        <w:t> </w:t>
      </w:r>
      <w:r>
        <w:rPr/>
        <w:t>salivales</w:t>
      </w:r>
      <w:r>
        <w:rPr>
          <w:spacing w:val="-14"/>
        </w:rPr>
        <w:t> </w:t>
      </w:r>
      <w:r>
        <w:rPr/>
        <w:t>hacia</w:t>
      </w:r>
      <w:r>
        <w:rPr>
          <w:spacing w:val="-17"/>
        </w:rPr>
        <w:t> </w:t>
      </w:r>
      <w:r>
        <w:rPr/>
        <w:t>el</w:t>
      </w:r>
      <w:r>
        <w:rPr>
          <w:spacing w:val="-18"/>
        </w:rPr>
        <w:t> </w:t>
      </w:r>
      <w:r>
        <w:rPr/>
        <w:t>hospedero</w:t>
      </w:r>
      <w:r>
        <w:rPr>
          <w:spacing w:val="-15"/>
        </w:rPr>
        <w:t> </w:t>
      </w:r>
      <w:r>
        <w:rPr/>
        <w:t>vertebrado</w:t>
      </w:r>
      <w:r>
        <w:rPr>
          <w:spacing w:val="-16"/>
        </w:rPr>
        <w:t> </w:t>
      </w:r>
      <w:r>
        <w:rPr/>
        <w:t>durante</w:t>
      </w:r>
      <w:r>
        <w:rPr>
          <w:spacing w:val="-16"/>
        </w:rPr>
        <w:t> </w:t>
      </w:r>
      <w:r>
        <w:rPr/>
        <w:t>la</w:t>
      </w:r>
      <w:r>
        <w:rPr>
          <w:spacing w:val="-14"/>
        </w:rPr>
        <w:t> </w:t>
      </w:r>
      <w:r>
        <w:rPr/>
        <w:t>ingesta de sangre. La saliva del mosquito parece ser depositada primariamente en el espacio extravascular antes de la canulación del vaso sanguíneo.</w:t>
      </w:r>
      <w:r>
        <w:rPr>
          <w:spacing w:val="-22"/>
        </w:rPr>
        <w:t> </w:t>
      </w:r>
      <w:r>
        <w:rPr>
          <w:position w:val="8"/>
          <w:sz w:val="16"/>
        </w:rPr>
        <w:t>(52)</w:t>
      </w:r>
    </w:p>
    <w:p>
      <w:pPr>
        <w:pStyle w:val="BodyText"/>
        <w:rPr>
          <w:sz w:val="36"/>
        </w:rPr>
      </w:pPr>
    </w:p>
    <w:p>
      <w:pPr>
        <w:pStyle w:val="Heading4"/>
        <w:spacing w:before="0"/>
        <w:ind w:left="570" w:right="106"/>
      </w:pPr>
      <w:r>
        <w:rPr/>
        <w:t>II. 8. 1 Ciclos de transmisión epizoóticos  de la EEV</w:t>
      </w:r>
    </w:p>
    <w:p>
      <w:pPr>
        <w:pStyle w:val="BodyText"/>
        <w:rPr>
          <w:b/>
        </w:rPr>
      </w:pPr>
    </w:p>
    <w:p>
      <w:pPr>
        <w:pStyle w:val="BodyText"/>
        <w:rPr>
          <w:b/>
        </w:rPr>
      </w:pPr>
    </w:p>
    <w:p>
      <w:pPr>
        <w:pStyle w:val="BodyText"/>
        <w:spacing w:line="360" w:lineRule="auto"/>
        <w:ind w:left="102" w:right="115"/>
        <w:jc w:val="both"/>
        <w:rPr>
          <w:sz w:val="16"/>
        </w:rPr>
      </w:pPr>
      <w:r>
        <w:rPr>
          <w:color w:val="221F1F"/>
        </w:rPr>
        <w:t>Los subtipos IAB y IC del VEEV son los responsables de las epizoodemias más grandes,</w:t>
      </w:r>
      <w:r>
        <w:rPr>
          <w:color w:val="221F1F"/>
          <w:spacing w:val="-10"/>
        </w:rPr>
        <w:t> </w:t>
      </w:r>
      <w:r>
        <w:rPr>
          <w:color w:val="221F1F"/>
        </w:rPr>
        <w:t>han</w:t>
      </w:r>
      <w:r>
        <w:rPr>
          <w:color w:val="221F1F"/>
          <w:spacing w:val="-9"/>
        </w:rPr>
        <w:t> </w:t>
      </w:r>
      <w:r>
        <w:rPr>
          <w:color w:val="221F1F"/>
        </w:rPr>
        <w:t>sido</w:t>
      </w:r>
      <w:r>
        <w:rPr>
          <w:color w:val="221F1F"/>
          <w:spacing w:val="-9"/>
        </w:rPr>
        <w:t> </w:t>
      </w:r>
      <w:r>
        <w:rPr>
          <w:color w:val="221F1F"/>
        </w:rPr>
        <w:t>aislados</w:t>
      </w:r>
      <w:r>
        <w:rPr>
          <w:color w:val="221F1F"/>
          <w:spacing w:val="-8"/>
        </w:rPr>
        <w:t> </w:t>
      </w:r>
      <w:r>
        <w:rPr>
          <w:color w:val="221F1F"/>
        </w:rPr>
        <w:t>durante</w:t>
      </w:r>
      <w:r>
        <w:rPr>
          <w:color w:val="221F1F"/>
          <w:spacing w:val="-7"/>
        </w:rPr>
        <w:t> </w:t>
      </w:r>
      <w:r>
        <w:rPr>
          <w:color w:val="221F1F"/>
        </w:rPr>
        <w:t>los</w:t>
      </w:r>
      <w:r>
        <w:rPr>
          <w:color w:val="221F1F"/>
          <w:spacing w:val="-10"/>
        </w:rPr>
        <w:t> </w:t>
      </w:r>
      <w:r>
        <w:rPr>
          <w:color w:val="221F1F"/>
        </w:rPr>
        <w:t>brotes</w:t>
      </w:r>
      <w:r>
        <w:rPr>
          <w:color w:val="221F1F"/>
          <w:spacing w:val="-10"/>
        </w:rPr>
        <w:t> </w:t>
      </w:r>
      <w:r>
        <w:rPr>
          <w:color w:val="221F1F"/>
        </w:rPr>
        <w:t>que</w:t>
      </w:r>
      <w:r>
        <w:rPr>
          <w:color w:val="221F1F"/>
          <w:spacing w:val="-7"/>
        </w:rPr>
        <w:t> </w:t>
      </w:r>
      <w:r>
        <w:rPr>
          <w:color w:val="221F1F"/>
        </w:rPr>
        <w:t>ocurren</w:t>
      </w:r>
      <w:r>
        <w:rPr>
          <w:color w:val="221F1F"/>
          <w:spacing w:val="-9"/>
        </w:rPr>
        <w:t> </w:t>
      </w:r>
      <w:r>
        <w:rPr>
          <w:color w:val="221F1F"/>
        </w:rPr>
        <w:t>en</w:t>
      </w:r>
      <w:r>
        <w:rPr>
          <w:color w:val="221F1F"/>
          <w:spacing w:val="-9"/>
        </w:rPr>
        <w:t> </w:t>
      </w:r>
      <w:r>
        <w:rPr>
          <w:color w:val="221F1F"/>
        </w:rPr>
        <w:t>entornos</w:t>
      </w:r>
      <w:r>
        <w:rPr>
          <w:color w:val="221F1F"/>
          <w:spacing w:val="-8"/>
        </w:rPr>
        <w:t> </w:t>
      </w:r>
      <w:r>
        <w:rPr>
          <w:color w:val="221F1F"/>
        </w:rPr>
        <w:t>agrícolas</w:t>
      </w:r>
      <w:r>
        <w:rPr>
          <w:color w:val="221F1F"/>
          <w:spacing w:val="-7"/>
        </w:rPr>
        <w:t> </w:t>
      </w:r>
      <w:r>
        <w:rPr>
          <w:color w:val="221F1F"/>
        </w:rPr>
        <w:t>en los que el papel de los equinos como principal amplificador es una constante, con la</w:t>
      </w:r>
      <w:r>
        <w:rPr>
          <w:color w:val="221F1F"/>
          <w:spacing w:val="-12"/>
        </w:rPr>
        <w:t> </w:t>
      </w:r>
      <w:r>
        <w:rPr>
          <w:color w:val="221F1F"/>
        </w:rPr>
        <w:t>participación</w:t>
      </w:r>
      <w:r>
        <w:rPr>
          <w:color w:val="221F1F"/>
          <w:spacing w:val="-12"/>
        </w:rPr>
        <w:t> </w:t>
      </w:r>
      <w:r>
        <w:rPr>
          <w:color w:val="221F1F"/>
        </w:rPr>
        <w:t>de</w:t>
      </w:r>
      <w:r>
        <w:rPr>
          <w:color w:val="221F1F"/>
          <w:spacing w:val="-14"/>
        </w:rPr>
        <w:t> </w:t>
      </w:r>
      <w:r>
        <w:rPr>
          <w:color w:val="221F1F"/>
        </w:rPr>
        <w:t>diferentes</w:t>
      </w:r>
      <w:r>
        <w:rPr>
          <w:color w:val="221F1F"/>
          <w:spacing w:val="-15"/>
        </w:rPr>
        <w:t> </w:t>
      </w:r>
      <w:r>
        <w:rPr>
          <w:color w:val="221F1F"/>
        </w:rPr>
        <w:t>mosquitos</w:t>
      </w:r>
      <w:r>
        <w:rPr>
          <w:color w:val="221F1F"/>
          <w:spacing w:val="-13"/>
        </w:rPr>
        <w:t> </w:t>
      </w:r>
      <w:r>
        <w:rPr>
          <w:color w:val="221F1F"/>
        </w:rPr>
        <w:t>vectores</w:t>
      </w:r>
      <w:r>
        <w:rPr>
          <w:color w:val="221F1F"/>
          <w:spacing w:val="-12"/>
        </w:rPr>
        <w:t> </w:t>
      </w:r>
      <w:r>
        <w:rPr>
          <w:color w:val="221F1F"/>
        </w:rPr>
        <w:t>y</w:t>
      </w:r>
      <w:r>
        <w:rPr>
          <w:color w:val="221F1F"/>
          <w:spacing w:val="-15"/>
        </w:rPr>
        <w:t> </w:t>
      </w:r>
      <w:r>
        <w:rPr>
          <w:color w:val="221F1F"/>
        </w:rPr>
        <w:t>una</w:t>
      </w:r>
      <w:r>
        <w:rPr>
          <w:color w:val="221F1F"/>
          <w:spacing w:val="-12"/>
        </w:rPr>
        <w:t> </w:t>
      </w:r>
      <w:r>
        <w:rPr>
          <w:color w:val="221F1F"/>
        </w:rPr>
        <w:t>amplia</w:t>
      </w:r>
      <w:r>
        <w:rPr>
          <w:color w:val="221F1F"/>
          <w:spacing w:val="-12"/>
        </w:rPr>
        <w:t> </w:t>
      </w:r>
      <w:r>
        <w:rPr>
          <w:color w:val="221F1F"/>
        </w:rPr>
        <w:t>gama</w:t>
      </w:r>
      <w:r>
        <w:rPr>
          <w:color w:val="221F1F"/>
          <w:spacing w:val="-14"/>
        </w:rPr>
        <w:t> </w:t>
      </w:r>
      <w:r>
        <w:rPr>
          <w:color w:val="221F1F"/>
        </w:rPr>
        <w:t>de</w:t>
      </w:r>
      <w:r>
        <w:rPr>
          <w:color w:val="221F1F"/>
          <w:spacing w:val="-12"/>
        </w:rPr>
        <w:t> </w:t>
      </w:r>
      <w:r>
        <w:rPr>
          <w:color w:val="221F1F"/>
        </w:rPr>
        <w:t>hospederos vertebrados que incluyen humanos, borregos, perros, algunas aves, roedores y murciélagos,</w:t>
      </w:r>
      <w:r>
        <w:rPr>
          <w:color w:val="221F1F"/>
          <w:spacing w:val="-18"/>
        </w:rPr>
        <w:t> </w:t>
      </w:r>
      <w:r>
        <w:rPr>
          <w:color w:val="221F1F"/>
        </w:rPr>
        <w:t>generalmente</w:t>
      </w:r>
      <w:r>
        <w:rPr>
          <w:color w:val="221F1F"/>
          <w:spacing w:val="-17"/>
        </w:rPr>
        <w:t> </w:t>
      </w:r>
      <w:r>
        <w:rPr>
          <w:color w:val="221F1F"/>
        </w:rPr>
        <w:t>los</w:t>
      </w:r>
      <w:r>
        <w:rPr>
          <w:color w:val="221F1F"/>
          <w:spacing w:val="-18"/>
        </w:rPr>
        <w:t> </w:t>
      </w:r>
      <w:r>
        <w:rPr>
          <w:color w:val="221F1F"/>
        </w:rPr>
        <w:t>virus</w:t>
      </w:r>
      <w:r>
        <w:rPr>
          <w:color w:val="221F1F"/>
          <w:spacing w:val="-18"/>
        </w:rPr>
        <w:t> </w:t>
      </w:r>
      <w:r>
        <w:rPr>
          <w:color w:val="221F1F"/>
        </w:rPr>
        <w:t>epizooticos</w:t>
      </w:r>
      <w:r>
        <w:rPr>
          <w:color w:val="221F1F"/>
          <w:spacing w:val="-18"/>
        </w:rPr>
        <w:t> </w:t>
      </w:r>
      <w:r>
        <w:rPr>
          <w:color w:val="221F1F"/>
        </w:rPr>
        <w:t>no</w:t>
      </w:r>
      <w:r>
        <w:rPr>
          <w:color w:val="221F1F"/>
          <w:spacing w:val="-18"/>
        </w:rPr>
        <w:t> </w:t>
      </w:r>
      <w:r>
        <w:rPr>
          <w:color w:val="221F1F"/>
        </w:rPr>
        <w:t>se</w:t>
      </w:r>
      <w:r>
        <w:rPr>
          <w:color w:val="221F1F"/>
          <w:spacing w:val="-18"/>
        </w:rPr>
        <w:t> </w:t>
      </w:r>
      <w:r>
        <w:rPr>
          <w:color w:val="221F1F"/>
        </w:rPr>
        <w:t>superponen</w:t>
      </w:r>
      <w:r>
        <w:rPr>
          <w:color w:val="221F1F"/>
          <w:spacing w:val="-18"/>
        </w:rPr>
        <w:t> </w:t>
      </w:r>
      <w:r>
        <w:rPr>
          <w:color w:val="221F1F"/>
        </w:rPr>
        <w:t>geográficamente con el tipo enzoótico del VEEV. Estos últimos tienen una distribución</w:t>
      </w:r>
      <w:r>
        <w:rPr>
          <w:color w:val="221F1F"/>
          <w:spacing w:val="-41"/>
        </w:rPr>
        <w:t> </w:t>
      </w:r>
      <w:r>
        <w:rPr>
          <w:color w:val="221F1F"/>
        </w:rPr>
        <w:t>generalmente alopátrica en las Américas, que ocurre en bosques tropicales, pantanos y tierras bajas inundadas, y el ciclo se desarrolla entre los mosquitos vectores Culex (Melanoconion) spp y roedores.</w:t>
      </w:r>
      <w:r>
        <w:rPr>
          <w:color w:val="221F1F"/>
          <w:spacing w:val="-10"/>
        </w:rPr>
        <w:t> </w:t>
      </w:r>
      <w:r>
        <w:rPr>
          <w:color w:val="221F1F"/>
          <w:position w:val="8"/>
          <w:sz w:val="16"/>
        </w:rPr>
        <w:t>(53)</w:t>
      </w:r>
    </w:p>
    <w:p>
      <w:pPr>
        <w:spacing w:after="0" w:line="360" w:lineRule="auto"/>
        <w:jc w:val="both"/>
        <w:rPr>
          <w:sz w:val="16"/>
        </w:rPr>
        <w:sectPr>
          <w:pgSz w:w="12240" w:h="15840"/>
          <w:pgMar w:header="0" w:footer="722" w:top="1360" w:bottom="1020" w:left="1600" w:right="1580"/>
        </w:sectPr>
      </w:pPr>
    </w:p>
    <w:p>
      <w:pPr>
        <w:pStyle w:val="BodyText"/>
        <w:spacing w:line="360" w:lineRule="auto" w:before="54"/>
        <w:ind w:left="102" w:right="116"/>
        <w:jc w:val="both"/>
      </w:pPr>
      <w:r>
        <w:rPr/>
        <w:t>Una</w:t>
      </w:r>
      <w:r>
        <w:rPr>
          <w:spacing w:val="-9"/>
        </w:rPr>
        <w:t> </w:t>
      </w:r>
      <w:r>
        <w:rPr/>
        <w:t>vez</w:t>
      </w:r>
      <w:r>
        <w:rPr>
          <w:spacing w:val="-14"/>
        </w:rPr>
        <w:t> </w:t>
      </w:r>
      <w:r>
        <w:rPr/>
        <w:t>introducido</w:t>
      </w:r>
      <w:r>
        <w:rPr>
          <w:spacing w:val="-11"/>
        </w:rPr>
        <w:t> </w:t>
      </w:r>
      <w:r>
        <w:rPr/>
        <w:t>el</w:t>
      </w:r>
      <w:r>
        <w:rPr>
          <w:spacing w:val="-14"/>
        </w:rPr>
        <w:t> </w:t>
      </w:r>
      <w:r>
        <w:rPr/>
        <w:t>virus</w:t>
      </w:r>
      <w:r>
        <w:rPr>
          <w:spacing w:val="-11"/>
        </w:rPr>
        <w:t> </w:t>
      </w:r>
      <w:r>
        <w:rPr/>
        <w:t>en</w:t>
      </w:r>
      <w:r>
        <w:rPr>
          <w:spacing w:val="-11"/>
        </w:rPr>
        <w:t> </w:t>
      </w:r>
      <w:r>
        <w:rPr/>
        <w:t>un</w:t>
      </w:r>
      <w:r>
        <w:rPr>
          <w:spacing w:val="-11"/>
        </w:rPr>
        <w:t> </w:t>
      </w:r>
      <w:r>
        <w:rPr/>
        <w:t>área</w:t>
      </w:r>
      <w:r>
        <w:rPr>
          <w:spacing w:val="-11"/>
        </w:rPr>
        <w:t> </w:t>
      </w:r>
      <w:r>
        <w:rPr/>
        <w:t>geográfica,</w:t>
      </w:r>
      <w:r>
        <w:rPr>
          <w:spacing w:val="-11"/>
        </w:rPr>
        <w:t> </w:t>
      </w:r>
      <w:r>
        <w:rPr/>
        <w:t>ocasiona</w:t>
      </w:r>
      <w:r>
        <w:rPr>
          <w:spacing w:val="-11"/>
        </w:rPr>
        <w:t> </w:t>
      </w:r>
      <w:r>
        <w:rPr/>
        <w:t>epizootias</w:t>
      </w:r>
      <w:r>
        <w:rPr>
          <w:spacing w:val="-11"/>
        </w:rPr>
        <w:t> </w:t>
      </w:r>
      <w:r>
        <w:rPr/>
        <w:t>que</w:t>
      </w:r>
      <w:r>
        <w:rPr>
          <w:spacing w:val="-11"/>
        </w:rPr>
        <w:t> </w:t>
      </w:r>
      <w:r>
        <w:rPr/>
        <w:t>ocurren a finales de la época de lluvias en las regiones tropicales y subtropicales de América,</w:t>
      </w:r>
      <w:r>
        <w:rPr>
          <w:spacing w:val="-18"/>
        </w:rPr>
        <w:t> </w:t>
      </w:r>
      <w:r>
        <w:rPr/>
        <w:t>áreas</w:t>
      </w:r>
      <w:r>
        <w:rPr>
          <w:spacing w:val="-17"/>
        </w:rPr>
        <w:t> </w:t>
      </w:r>
      <w:r>
        <w:rPr/>
        <w:t>caracterizadas</w:t>
      </w:r>
      <w:r>
        <w:rPr>
          <w:spacing w:val="-17"/>
        </w:rPr>
        <w:t> </w:t>
      </w:r>
      <w:r>
        <w:rPr/>
        <w:t>por</w:t>
      </w:r>
      <w:r>
        <w:rPr>
          <w:spacing w:val="-18"/>
        </w:rPr>
        <w:t> </w:t>
      </w:r>
      <w:r>
        <w:rPr/>
        <w:t>una</w:t>
      </w:r>
      <w:r>
        <w:rPr>
          <w:spacing w:val="-19"/>
        </w:rPr>
        <w:t> </w:t>
      </w:r>
      <w:r>
        <w:rPr/>
        <w:t>geografía,</w:t>
      </w:r>
      <w:r>
        <w:rPr>
          <w:spacing w:val="-15"/>
        </w:rPr>
        <w:t> </w:t>
      </w:r>
      <w:r>
        <w:rPr/>
        <w:t>flora</w:t>
      </w:r>
      <w:r>
        <w:rPr>
          <w:spacing w:val="-17"/>
        </w:rPr>
        <w:t> </w:t>
      </w:r>
      <w:r>
        <w:rPr/>
        <w:t>y</w:t>
      </w:r>
      <w:r>
        <w:rPr>
          <w:spacing w:val="-20"/>
        </w:rPr>
        <w:t> </w:t>
      </w:r>
      <w:r>
        <w:rPr/>
        <w:t>clima</w:t>
      </w:r>
      <w:r>
        <w:rPr>
          <w:spacing w:val="-19"/>
        </w:rPr>
        <w:t> </w:t>
      </w:r>
      <w:r>
        <w:rPr/>
        <w:t>desértico,</w:t>
      </w:r>
      <w:r>
        <w:rPr>
          <w:spacing w:val="-17"/>
        </w:rPr>
        <w:t> </w:t>
      </w:r>
      <w:r>
        <w:rPr/>
        <w:t>seco</w:t>
      </w:r>
      <w:r>
        <w:rPr>
          <w:spacing w:val="-19"/>
        </w:rPr>
        <w:t> </w:t>
      </w:r>
      <w:r>
        <w:rPr/>
        <w:t>o</w:t>
      </w:r>
      <w:r>
        <w:rPr>
          <w:spacing w:val="-19"/>
        </w:rPr>
        <w:t> </w:t>
      </w:r>
      <w:r>
        <w:rPr/>
        <w:t>muy seco. Las epizootias se presentan de manera repentina, inesperada y violenta y se pueden propagar por varios años, afectando un número elevado de predios y de équidos con gravedad variable según el tipo de virus y los niveles de inmunización previa (ya que la disponibilidad de équidos susceptibles es fundamental en la emergencia y amplificación del</w:t>
      </w:r>
      <w:r>
        <w:rPr>
          <w:spacing w:val="-14"/>
        </w:rPr>
        <w:t> </w:t>
      </w:r>
      <w:r>
        <w:rPr/>
        <w:t>virus).</w:t>
      </w:r>
    </w:p>
    <w:p>
      <w:pPr>
        <w:pStyle w:val="BodyText"/>
        <w:spacing w:line="360" w:lineRule="auto" w:before="2"/>
        <w:ind w:left="102" w:right="121" w:firstLine="67"/>
        <w:jc w:val="both"/>
      </w:pPr>
      <w:r>
        <w:rPr/>
        <w:t>Al depender de los équidos como huéspedes primarios en este ciclo, la</w:t>
      </w:r>
      <w:r>
        <w:rPr>
          <w:spacing w:val="-40"/>
        </w:rPr>
        <w:t> </w:t>
      </w:r>
      <w:r>
        <w:rPr/>
        <w:t>circulación del virus posteriormente se lleva a cabo por medio de mosquitos equinófilos, quienes</w:t>
      </w:r>
      <w:r>
        <w:rPr>
          <w:spacing w:val="-5"/>
        </w:rPr>
        <w:t> </w:t>
      </w:r>
      <w:r>
        <w:rPr/>
        <w:t>transmiten</w:t>
      </w:r>
      <w:r>
        <w:rPr>
          <w:spacing w:val="-5"/>
        </w:rPr>
        <w:t> </w:t>
      </w:r>
      <w:r>
        <w:rPr/>
        <w:t>la</w:t>
      </w:r>
      <w:r>
        <w:rPr>
          <w:spacing w:val="-5"/>
        </w:rPr>
        <w:t> </w:t>
      </w:r>
      <w:r>
        <w:rPr/>
        <w:t>infección</w:t>
      </w:r>
      <w:r>
        <w:rPr>
          <w:spacing w:val="-5"/>
        </w:rPr>
        <w:t> </w:t>
      </w:r>
      <w:r>
        <w:rPr/>
        <w:t>de</w:t>
      </w:r>
      <w:r>
        <w:rPr>
          <w:spacing w:val="-5"/>
        </w:rPr>
        <w:t> </w:t>
      </w:r>
      <w:r>
        <w:rPr/>
        <w:t>un</w:t>
      </w:r>
      <w:r>
        <w:rPr>
          <w:spacing w:val="-5"/>
        </w:rPr>
        <w:t> </w:t>
      </w:r>
      <w:r>
        <w:rPr/>
        <w:t>equino</w:t>
      </w:r>
      <w:r>
        <w:rPr>
          <w:spacing w:val="-6"/>
        </w:rPr>
        <w:t> </w:t>
      </w:r>
      <w:r>
        <w:rPr/>
        <w:t>virémico</w:t>
      </w:r>
      <w:r>
        <w:rPr>
          <w:spacing w:val="-5"/>
        </w:rPr>
        <w:t> </w:t>
      </w:r>
      <w:r>
        <w:rPr/>
        <w:t>a</w:t>
      </w:r>
      <w:r>
        <w:rPr>
          <w:spacing w:val="-5"/>
        </w:rPr>
        <w:t> </w:t>
      </w:r>
      <w:r>
        <w:rPr/>
        <w:t>otro</w:t>
      </w:r>
      <w:r>
        <w:rPr>
          <w:spacing w:val="-5"/>
        </w:rPr>
        <w:t> </w:t>
      </w:r>
      <w:r>
        <w:rPr/>
        <w:t>susceptible,</w:t>
      </w:r>
      <w:r>
        <w:rPr>
          <w:spacing w:val="-5"/>
        </w:rPr>
        <w:t> </w:t>
      </w:r>
      <w:r>
        <w:rPr/>
        <w:t>al</w:t>
      </w:r>
      <w:r>
        <w:rPr>
          <w:spacing w:val="-5"/>
        </w:rPr>
        <w:t> </w:t>
      </w:r>
      <w:r>
        <w:rPr/>
        <w:t>hombre y a otros vertebrados y también pueden facilitar la transmisión mecánica del virus por algunos dípteros como el Culicoides y</w:t>
      </w:r>
      <w:r>
        <w:rPr>
          <w:spacing w:val="-12"/>
        </w:rPr>
        <w:t> </w:t>
      </w:r>
      <w:r>
        <w:rPr/>
        <w:t>Simulium.</w:t>
      </w:r>
    </w:p>
    <w:p>
      <w:pPr>
        <w:pStyle w:val="BodyText"/>
        <w:spacing w:line="360" w:lineRule="auto" w:before="5"/>
        <w:ind w:left="102" w:right="121"/>
        <w:jc w:val="both"/>
        <w:rPr>
          <w:sz w:val="16"/>
        </w:rPr>
      </w:pPr>
      <w:r>
        <w:rPr/>
        <w:t>Los humanos desarrollan niveles similares de viremia, pero probablemente son incapaces</w:t>
      </w:r>
      <w:r>
        <w:rPr>
          <w:spacing w:val="-20"/>
        </w:rPr>
        <w:t> </w:t>
      </w:r>
      <w:r>
        <w:rPr/>
        <w:t>de</w:t>
      </w:r>
      <w:r>
        <w:rPr>
          <w:spacing w:val="-19"/>
        </w:rPr>
        <w:t> </w:t>
      </w:r>
      <w:r>
        <w:rPr/>
        <w:t>amplificar</w:t>
      </w:r>
      <w:r>
        <w:rPr>
          <w:spacing w:val="-18"/>
        </w:rPr>
        <w:t> </w:t>
      </w:r>
      <w:r>
        <w:rPr/>
        <w:t>eficientemente</w:t>
      </w:r>
      <w:r>
        <w:rPr>
          <w:spacing w:val="-19"/>
        </w:rPr>
        <w:t> </w:t>
      </w:r>
      <w:r>
        <w:rPr/>
        <w:t>debido</w:t>
      </w:r>
      <w:r>
        <w:rPr>
          <w:spacing w:val="-17"/>
        </w:rPr>
        <w:t> </w:t>
      </w:r>
      <w:r>
        <w:rPr/>
        <w:t>a</w:t>
      </w:r>
      <w:r>
        <w:rPr>
          <w:spacing w:val="-19"/>
        </w:rPr>
        <w:t> </w:t>
      </w:r>
      <w:r>
        <w:rPr/>
        <w:t>la</w:t>
      </w:r>
      <w:r>
        <w:rPr>
          <w:spacing w:val="-19"/>
        </w:rPr>
        <w:t> </w:t>
      </w:r>
      <w:r>
        <w:rPr/>
        <w:t>menor</w:t>
      </w:r>
      <w:r>
        <w:rPr>
          <w:spacing w:val="-20"/>
        </w:rPr>
        <w:t> </w:t>
      </w:r>
      <w:r>
        <w:rPr/>
        <w:t>exposición</w:t>
      </w:r>
      <w:r>
        <w:rPr>
          <w:spacing w:val="-17"/>
        </w:rPr>
        <w:t> </w:t>
      </w:r>
      <w:r>
        <w:rPr/>
        <w:t>a</w:t>
      </w:r>
      <w:r>
        <w:rPr>
          <w:spacing w:val="-19"/>
        </w:rPr>
        <w:t> </w:t>
      </w:r>
      <w:r>
        <w:rPr/>
        <w:t>las</w:t>
      </w:r>
      <w:r>
        <w:rPr>
          <w:spacing w:val="-19"/>
        </w:rPr>
        <w:t> </w:t>
      </w:r>
      <w:r>
        <w:rPr/>
        <w:t>picaduras de mosco. Sin embargo, el potencial de transmisión urbana por especies como A. aegypti, que es susceptible a la infección después de la picadura a los humanos y presenta rasgos de comportamiento como alimentación de múltiples hospederos y actividad peridoméstica, lo que aumenta su competencia vectorial, este aspecto debe ser considerado debido al crecimiento de las poblaciones humanas y el detrimento de la población equina en Latinoamérica. </w:t>
      </w:r>
      <w:r>
        <w:rPr>
          <w:position w:val="8"/>
          <w:sz w:val="16"/>
        </w:rPr>
        <w:t>(17, 33,54, 55,</w:t>
      </w:r>
      <w:r>
        <w:rPr>
          <w:spacing w:val="-21"/>
          <w:position w:val="8"/>
          <w:sz w:val="16"/>
        </w:rPr>
        <w:t> </w:t>
      </w:r>
      <w:r>
        <w:rPr>
          <w:position w:val="8"/>
          <w:sz w:val="16"/>
        </w:rPr>
        <w:t>56)</w:t>
      </w:r>
    </w:p>
    <w:p>
      <w:pPr>
        <w:pStyle w:val="BodyText"/>
        <w:rPr>
          <w:sz w:val="36"/>
        </w:rPr>
      </w:pPr>
    </w:p>
    <w:p>
      <w:pPr>
        <w:pStyle w:val="Heading4"/>
        <w:spacing w:before="0"/>
        <w:jc w:val="both"/>
      </w:pPr>
      <w:r>
        <w:rPr/>
        <w:t>II.8.1.1.  Vectores epizoóticos</w:t>
      </w:r>
    </w:p>
    <w:p>
      <w:pPr>
        <w:pStyle w:val="BodyText"/>
        <w:rPr>
          <w:b/>
        </w:rPr>
      </w:pPr>
    </w:p>
    <w:p>
      <w:pPr>
        <w:pStyle w:val="BodyText"/>
        <w:rPr>
          <w:b/>
        </w:rPr>
      </w:pPr>
    </w:p>
    <w:p>
      <w:pPr>
        <w:pStyle w:val="BodyText"/>
        <w:spacing w:line="360" w:lineRule="auto"/>
        <w:ind w:left="102" w:right="106"/>
      </w:pPr>
      <w:r>
        <w:rPr/>
        <w:t>Los</w:t>
      </w:r>
      <w:r>
        <w:rPr>
          <w:spacing w:val="-15"/>
        </w:rPr>
        <w:t> </w:t>
      </w:r>
      <w:r>
        <w:rPr/>
        <w:t>subtipos</w:t>
      </w:r>
      <w:r>
        <w:rPr>
          <w:spacing w:val="-17"/>
        </w:rPr>
        <w:t> </w:t>
      </w:r>
      <w:r>
        <w:rPr/>
        <w:t>epizoóticos</w:t>
      </w:r>
      <w:r>
        <w:rPr>
          <w:spacing w:val="-15"/>
        </w:rPr>
        <w:t> </w:t>
      </w:r>
      <w:r>
        <w:rPr/>
        <w:t>IAB</w:t>
      </w:r>
      <w:r>
        <w:rPr>
          <w:spacing w:val="-14"/>
        </w:rPr>
        <w:t> </w:t>
      </w:r>
      <w:r>
        <w:rPr/>
        <w:t>y</w:t>
      </w:r>
      <w:r>
        <w:rPr>
          <w:spacing w:val="-17"/>
        </w:rPr>
        <w:t> </w:t>
      </w:r>
      <w:r>
        <w:rPr/>
        <w:t>IC</w:t>
      </w:r>
      <w:r>
        <w:rPr>
          <w:spacing w:val="-17"/>
        </w:rPr>
        <w:t> </w:t>
      </w:r>
      <w:r>
        <w:rPr/>
        <w:t>del</w:t>
      </w:r>
      <w:r>
        <w:rPr>
          <w:spacing w:val="-18"/>
        </w:rPr>
        <w:t> </w:t>
      </w:r>
      <w:r>
        <w:rPr/>
        <w:t>VEEV</w:t>
      </w:r>
      <w:r>
        <w:rPr>
          <w:spacing w:val="-14"/>
        </w:rPr>
        <w:t> </w:t>
      </w:r>
      <w:r>
        <w:rPr/>
        <w:t>son</w:t>
      </w:r>
      <w:r>
        <w:rPr>
          <w:spacing w:val="-17"/>
        </w:rPr>
        <w:t> </w:t>
      </w:r>
      <w:r>
        <w:rPr/>
        <w:t>oportunistas</w:t>
      </w:r>
      <w:r>
        <w:rPr>
          <w:spacing w:val="-15"/>
        </w:rPr>
        <w:t> </w:t>
      </w:r>
      <w:r>
        <w:rPr/>
        <w:t>en</w:t>
      </w:r>
      <w:r>
        <w:rPr>
          <w:spacing w:val="-17"/>
        </w:rPr>
        <w:t> </w:t>
      </w:r>
      <w:r>
        <w:rPr/>
        <w:t>el</w:t>
      </w:r>
      <w:r>
        <w:rPr>
          <w:spacing w:val="-18"/>
        </w:rPr>
        <w:t> </w:t>
      </w:r>
      <w:r>
        <w:rPr/>
        <w:t>uso</w:t>
      </w:r>
      <w:r>
        <w:rPr>
          <w:spacing w:val="-14"/>
        </w:rPr>
        <w:t> </w:t>
      </w:r>
      <w:r>
        <w:rPr/>
        <w:t>de</w:t>
      </w:r>
      <w:r>
        <w:rPr>
          <w:spacing w:val="-17"/>
        </w:rPr>
        <w:t> </w:t>
      </w:r>
      <w:r>
        <w:rPr/>
        <w:t>mosquitos vectores durante los brotes. En estudios de campo de brotes epizoóticos se han identificado más de una especie como vector principal en la transmisión del virus. La competencia vectorial es un factor importante en la emergencia de una cepa epizoótica a partir de una cepa enzoótica</w:t>
      </w:r>
      <w:r>
        <w:rPr>
          <w:spacing w:val="-20"/>
        </w:rPr>
        <w:t> </w:t>
      </w:r>
      <w:r>
        <w:rPr/>
        <w:t>progenitora.</w:t>
      </w:r>
    </w:p>
    <w:p>
      <w:pPr>
        <w:pStyle w:val="BodyText"/>
        <w:spacing w:line="360" w:lineRule="auto" w:before="2"/>
        <w:ind w:left="102" w:right="123"/>
        <w:jc w:val="both"/>
      </w:pPr>
      <w:r>
        <w:rPr/>
        <w:t>Para</w:t>
      </w:r>
      <w:r>
        <w:rPr>
          <w:spacing w:val="-9"/>
        </w:rPr>
        <w:t> </w:t>
      </w:r>
      <w:r>
        <w:rPr/>
        <w:t>que</w:t>
      </w:r>
      <w:r>
        <w:rPr>
          <w:spacing w:val="-11"/>
        </w:rPr>
        <w:t> </w:t>
      </w:r>
      <w:r>
        <w:rPr/>
        <w:t>una</w:t>
      </w:r>
      <w:r>
        <w:rPr>
          <w:spacing w:val="-11"/>
        </w:rPr>
        <w:t> </w:t>
      </w:r>
      <w:r>
        <w:rPr/>
        <w:t>especie</w:t>
      </w:r>
      <w:r>
        <w:rPr>
          <w:spacing w:val="-11"/>
        </w:rPr>
        <w:t> </w:t>
      </w:r>
      <w:r>
        <w:rPr/>
        <w:t>de</w:t>
      </w:r>
      <w:r>
        <w:rPr>
          <w:spacing w:val="-11"/>
        </w:rPr>
        <w:t> </w:t>
      </w:r>
      <w:r>
        <w:rPr/>
        <w:t>mosquito</w:t>
      </w:r>
      <w:r>
        <w:rPr>
          <w:spacing w:val="-11"/>
        </w:rPr>
        <w:t> </w:t>
      </w:r>
      <w:r>
        <w:rPr/>
        <w:t>en</w:t>
      </w:r>
      <w:r>
        <w:rPr>
          <w:spacing w:val="-8"/>
        </w:rPr>
        <w:t> </w:t>
      </w:r>
      <w:r>
        <w:rPr/>
        <w:t>particular</w:t>
      </w:r>
      <w:r>
        <w:rPr>
          <w:spacing w:val="-9"/>
        </w:rPr>
        <w:t> </w:t>
      </w:r>
      <w:r>
        <w:rPr/>
        <w:t>sea</w:t>
      </w:r>
      <w:r>
        <w:rPr>
          <w:spacing w:val="-11"/>
        </w:rPr>
        <w:t> </w:t>
      </w:r>
      <w:r>
        <w:rPr/>
        <w:t>un</w:t>
      </w:r>
      <w:r>
        <w:rPr>
          <w:spacing w:val="-11"/>
        </w:rPr>
        <w:t> </w:t>
      </w:r>
      <w:r>
        <w:rPr/>
        <w:t>vector</w:t>
      </w:r>
      <w:r>
        <w:rPr>
          <w:spacing w:val="-10"/>
        </w:rPr>
        <w:t> </w:t>
      </w:r>
      <w:r>
        <w:rPr/>
        <w:t>eficiente</w:t>
      </w:r>
      <w:r>
        <w:rPr>
          <w:spacing w:val="-10"/>
        </w:rPr>
        <w:t> </w:t>
      </w:r>
      <w:r>
        <w:rPr/>
        <w:t>tres</w:t>
      </w:r>
      <w:r>
        <w:rPr>
          <w:spacing w:val="-12"/>
        </w:rPr>
        <w:t> </w:t>
      </w:r>
      <w:r>
        <w:rPr/>
        <w:t>eventos críticos</w:t>
      </w:r>
      <w:r>
        <w:rPr>
          <w:spacing w:val="-17"/>
        </w:rPr>
        <w:t> </w:t>
      </w:r>
      <w:r>
        <w:rPr/>
        <w:t>son</w:t>
      </w:r>
      <w:r>
        <w:rPr>
          <w:spacing w:val="-17"/>
        </w:rPr>
        <w:t> </w:t>
      </w:r>
      <w:r>
        <w:rPr/>
        <w:t>necesarios:</w:t>
      </w:r>
      <w:r>
        <w:rPr>
          <w:spacing w:val="-17"/>
        </w:rPr>
        <w:t> </w:t>
      </w:r>
      <w:r>
        <w:rPr/>
        <w:t>(a)</w:t>
      </w:r>
      <w:r>
        <w:rPr>
          <w:spacing w:val="-18"/>
        </w:rPr>
        <w:t> </w:t>
      </w:r>
      <w:r>
        <w:rPr/>
        <w:t>el</w:t>
      </w:r>
      <w:r>
        <w:rPr>
          <w:spacing w:val="-18"/>
        </w:rPr>
        <w:t> </w:t>
      </w:r>
      <w:r>
        <w:rPr/>
        <w:t>mosquito</w:t>
      </w:r>
      <w:r>
        <w:rPr>
          <w:spacing w:val="-19"/>
        </w:rPr>
        <w:t> </w:t>
      </w:r>
      <w:r>
        <w:rPr/>
        <w:t>debe</w:t>
      </w:r>
      <w:r>
        <w:rPr>
          <w:spacing w:val="-17"/>
        </w:rPr>
        <w:t> </w:t>
      </w:r>
      <w:r>
        <w:rPr/>
        <w:t>ingerir</w:t>
      </w:r>
      <w:r>
        <w:rPr>
          <w:spacing w:val="-18"/>
        </w:rPr>
        <w:t> </w:t>
      </w:r>
      <w:r>
        <w:rPr/>
        <w:t>suficiente</w:t>
      </w:r>
      <w:r>
        <w:rPr>
          <w:spacing w:val="-17"/>
        </w:rPr>
        <w:t> </w:t>
      </w:r>
      <w:r>
        <w:rPr/>
        <w:t>cantidad</w:t>
      </w:r>
      <w:r>
        <w:rPr>
          <w:spacing w:val="-17"/>
        </w:rPr>
        <w:t> </w:t>
      </w:r>
      <w:r>
        <w:rPr/>
        <w:t>de</w:t>
      </w:r>
      <w:r>
        <w:rPr>
          <w:spacing w:val="-17"/>
        </w:rPr>
        <w:t> </w:t>
      </w:r>
      <w:r>
        <w:rPr/>
        <w:t>virus</w:t>
      </w:r>
      <w:r>
        <w:rPr>
          <w:spacing w:val="-17"/>
        </w:rPr>
        <w:t> </w:t>
      </w:r>
      <w:r>
        <w:rPr/>
        <w:t>para</w:t>
      </w:r>
    </w:p>
    <w:p>
      <w:pPr>
        <w:pStyle w:val="BodyText"/>
        <w:spacing w:before="4"/>
        <w:rPr>
          <w:sz w:val="20"/>
        </w:rPr>
      </w:pPr>
    </w:p>
    <w:p>
      <w:pPr>
        <w:spacing w:before="0"/>
        <w:ind w:left="330" w:right="845" w:firstLine="0"/>
        <w:jc w:val="center"/>
        <w:rPr>
          <w:rFonts w:ascii="Calibri"/>
          <w:b/>
          <w:sz w:val="22"/>
        </w:rPr>
      </w:pPr>
      <w:r>
        <w:rPr>
          <w:rFonts w:ascii="Calibri"/>
          <w:b/>
          <w:sz w:val="22"/>
        </w:rPr>
        <w:t>22</w:t>
      </w:r>
    </w:p>
    <w:p>
      <w:pPr>
        <w:spacing w:after="0"/>
        <w:jc w:val="center"/>
        <w:rPr>
          <w:rFonts w:ascii="Calibri"/>
          <w:sz w:val="22"/>
        </w:rPr>
        <w:sectPr>
          <w:footerReference w:type="default" r:id="rId30"/>
          <w:pgSz w:w="12240" w:h="15840"/>
          <w:pgMar w:footer="0" w:header="0" w:top="1360" w:bottom="280" w:left="1600" w:right="1580"/>
        </w:sectPr>
      </w:pPr>
    </w:p>
    <w:p>
      <w:pPr>
        <w:pStyle w:val="BodyText"/>
        <w:spacing w:line="360" w:lineRule="auto" w:before="54"/>
        <w:ind w:left="1282" w:right="1656"/>
        <w:jc w:val="both"/>
      </w:pPr>
      <w:r>
        <w:rPr/>
        <w:t>infectar</w:t>
      </w:r>
      <w:r>
        <w:rPr>
          <w:spacing w:val="-20"/>
        </w:rPr>
        <w:t> </w:t>
      </w:r>
      <w:r>
        <w:rPr/>
        <w:t>las</w:t>
      </w:r>
      <w:r>
        <w:rPr>
          <w:spacing w:val="-17"/>
        </w:rPr>
        <w:t> </w:t>
      </w:r>
      <w:r>
        <w:rPr/>
        <w:t>células</w:t>
      </w:r>
      <w:r>
        <w:rPr>
          <w:spacing w:val="-20"/>
        </w:rPr>
        <w:t> </w:t>
      </w:r>
      <w:r>
        <w:rPr/>
        <w:t>epiteliales</w:t>
      </w:r>
      <w:r>
        <w:rPr>
          <w:spacing w:val="-17"/>
        </w:rPr>
        <w:t> </w:t>
      </w:r>
      <w:r>
        <w:rPr/>
        <w:t>del</w:t>
      </w:r>
      <w:r>
        <w:rPr>
          <w:spacing w:val="-18"/>
        </w:rPr>
        <w:t> </w:t>
      </w:r>
      <w:r>
        <w:rPr/>
        <w:t>intestino</w:t>
      </w:r>
      <w:r>
        <w:rPr>
          <w:spacing w:val="-19"/>
        </w:rPr>
        <w:t> </w:t>
      </w:r>
      <w:r>
        <w:rPr/>
        <w:t>medio;</w:t>
      </w:r>
      <w:r>
        <w:rPr>
          <w:spacing w:val="-17"/>
        </w:rPr>
        <w:t> </w:t>
      </w:r>
      <w:r>
        <w:rPr/>
        <w:t>(b)</w:t>
      </w:r>
      <w:r>
        <w:rPr>
          <w:spacing w:val="-20"/>
        </w:rPr>
        <w:t> </w:t>
      </w:r>
      <w:r>
        <w:rPr/>
        <w:t>suficiente</w:t>
      </w:r>
      <w:r>
        <w:rPr>
          <w:spacing w:val="-18"/>
        </w:rPr>
        <w:t> </w:t>
      </w:r>
      <w:r>
        <w:rPr/>
        <w:t>replicación</w:t>
      </w:r>
      <w:r>
        <w:rPr>
          <w:spacing w:val="-16"/>
        </w:rPr>
        <w:t> </w:t>
      </w:r>
      <w:r>
        <w:rPr/>
        <w:t>viral</w:t>
      </w:r>
      <w:r>
        <w:rPr>
          <w:spacing w:val="-18"/>
        </w:rPr>
        <w:t> </w:t>
      </w:r>
      <w:r>
        <w:rPr/>
        <w:t>debe ocurrir en el intestino medio del mosquito para diseminarse en el hemocele y posteriormente</w:t>
      </w:r>
      <w:r>
        <w:rPr>
          <w:spacing w:val="39"/>
        </w:rPr>
        <w:t> </w:t>
      </w:r>
      <w:r>
        <w:rPr/>
        <w:t>a</w:t>
      </w:r>
      <w:r>
        <w:rPr>
          <w:spacing w:val="-15"/>
        </w:rPr>
        <w:t> </w:t>
      </w:r>
      <w:r>
        <w:rPr/>
        <w:t>las</w:t>
      </w:r>
      <w:r>
        <w:rPr>
          <w:spacing w:val="-16"/>
        </w:rPr>
        <w:t> </w:t>
      </w:r>
      <w:r>
        <w:rPr/>
        <w:t>glándulas</w:t>
      </w:r>
      <w:r>
        <w:rPr>
          <w:spacing w:val="-13"/>
        </w:rPr>
        <w:t> </w:t>
      </w:r>
      <w:r>
        <w:rPr/>
        <w:t>salivales;</w:t>
      </w:r>
      <w:r>
        <w:rPr>
          <w:spacing w:val="-13"/>
        </w:rPr>
        <w:t> </w:t>
      </w:r>
      <w:r>
        <w:rPr/>
        <w:t>(c)</w:t>
      </w:r>
      <w:r>
        <w:rPr>
          <w:spacing w:val="-15"/>
        </w:rPr>
        <w:t> </w:t>
      </w:r>
      <w:r>
        <w:rPr/>
        <w:t>el</w:t>
      </w:r>
      <w:r>
        <w:rPr>
          <w:spacing w:val="-17"/>
        </w:rPr>
        <w:t> </w:t>
      </w:r>
      <w:r>
        <w:rPr/>
        <w:t>tejido</w:t>
      </w:r>
      <w:r>
        <w:rPr>
          <w:spacing w:val="-15"/>
        </w:rPr>
        <w:t> </w:t>
      </w:r>
      <w:r>
        <w:rPr/>
        <w:t>de</w:t>
      </w:r>
      <w:r>
        <w:rPr>
          <w:spacing w:val="-13"/>
        </w:rPr>
        <w:t> </w:t>
      </w:r>
      <w:r>
        <w:rPr/>
        <w:t>las</w:t>
      </w:r>
      <w:r>
        <w:rPr>
          <w:spacing w:val="-14"/>
        </w:rPr>
        <w:t> </w:t>
      </w:r>
      <w:r>
        <w:rPr/>
        <w:t>glándulas</w:t>
      </w:r>
      <w:r>
        <w:rPr>
          <w:spacing w:val="-18"/>
        </w:rPr>
        <w:t> </w:t>
      </w:r>
      <w:r>
        <w:rPr/>
        <w:t>salivales</w:t>
      </w:r>
      <w:r>
        <w:rPr>
          <w:spacing w:val="-13"/>
        </w:rPr>
        <w:t> </w:t>
      </w:r>
      <w:r>
        <w:rPr/>
        <w:t>tiene que infectarse y el virus debe diseminarse en la saliva del mosquito. Variaciones en</w:t>
      </w:r>
      <w:r>
        <w:rPr>
          <w:spacing w:val="-7"/>
        </w:rPr>
        <w:t> </w:t>
      </w:r>
      <w:r>
        <w:rPr/>
        <w:t>la</w:t>
      </w:r>
      <w:r>
        <w:rPr>
          <w:spacing w:val="-10"/>
        </w:rPr>
        <w:t> </w:t>
      </w:r>
      <w:r>
        <w:rPr/>
        <w:t>habilidad</w:t>
      </w:r>
      <w:r>
        <w:rPr>
          <w:spacing w:val="-7"/>
        </w:rPr>
        <w:t> </w:t>
      </w:r>
      <w:r>
        <w:rPr/>
        <w:t>del</w:t>
      </w:r>
      <w:r>
        <w:rPr>
          <w:spacing w:val="-8"/>
        </w:rPr>
        <w:t> </w:t>
      </w:r>
      <w:r>
        <w:rPr/>
        <w:t>VEEV</w:t>
      </w:r>
      <w:r>
        <w:rPr>
          <w:spacing w:val="-7"/>
        </w:rPr>
        <w:t> </w:t>
      </w:r>
      <w:r>
        <w:rPr/>
        <w:t>de</w:t>
      </w:r>
      <w:r>
        <w:rPr>
          <w:spacing w:val="-7"/>
        </w:rPr>
        <w:t> </w:t>
      </w:r>
      <w:r>
        <w:rPr/>
        <w:t>alcanzar</w:t>
      </w:r>
      <w:r>
        <w:rPr>
          <w:spacing w:val="-8"/>
        </w:rPr>
        <w:t> </w:t>
      </w:r>
      <w:r>
        <w:rPr/>
        <w:t>estos</w:t>
      </w:r>
      <w:r>
        <w:rPr>
          <w:spacing w:val="-8"/>
        </w:rPr>
        <w:t> </w:t>
      </w:r>
      <w:r>
        <w:rPr/>
        <w:t>tres</w:t>
      </w:r>
      <w:r>
        <w:rPr>
          <w:spacing w:val="-8"/>
        </w:rPr>
        <w:t> </w:t>
      </w:r>
      <w:r>
        <w:rPr/>
        <w:t>eventos</w:t>
      </w:r>
      <w:r>
        <w:rPr>
          <w:spacing w:val="-8"/>
        </w:rPr>
        <w:t> </w:t>
      </w:r>
      <w:r>
        <w:rPr/>
        <w:t>existen</w:t>
      </w:r>
      <w:r>
        <w:rPr>
          <w:spacing w:val="-9"/>
        </w:rPr>
        <w:t> </w:t>
      </w:r>
      <w:r>
        <w:rPr/>
        <w:t>entre</w:t>
      </w:r>
      <w:r>
        <w:rPr>
          <w:spacing w:val="-8"/>
        </w:rPr>
        <w:t> </w:t>
      </w:r>
      <w:r>
        <w:rPr/>
        <w:t>las</w:t>
      </w:r>
      <w:r>
        <w:rPr>
          <w:spacing w:val="-7"/>
        </w:rPr>
        <w:t> </w:t>
      </w:r>
      <w:r>
        <w:rPr/>
        <w:t>diferentes especies de mosquitos y entre las distintas cepas del</w:t>
      </w:r>
      <w:r>
        <w:rPr>
          <w:spacing w:val="-22"/>
        </w:rPr>
        <w:t> </w:t>
      </w:r>
      <w:r>
        <w:rPr/>
        <w:t>virus.</w:t>
      </w:r>
    </w:p>
    <w:p>
      <w:pPr>
        <w:pStyle w:val="BodyText"/>
        <w:spacing w:line="360" w:lineRule="auto" w:before="2"/>
        <w:ind w:left="1282" w:right="1655"/>
        <w:jc w:val="both"/>
      </w:pPr>
      <w:r>
        <w:rPr/>
        <w:t>El virus epidémico, se ha aislado de 34 especies diferentes pertenecientes a 8 géneros distintos, donde una o más puede predominar como transmisores de la infección en una zona determinada </w:t>
      </w:r>
      <w:r>
        <w:rPr>
          <w:b/>
        </w:rPr>
        <w:t>(Tabla 2). </w:t>
      </w:r>
      <w:r>
        <w:rPr/>
        <w:t>Las especies de mosquitos mamofílicos que han sido involucrados en el ciclo de transmisión epizoótico de las variantes IAB y IC durante las epizoodemias de EEV en las Américas son: </w:t>
      </w:r>
      <w:r>
        <w:rPr>
          <w:i/>
        </w:rPr>
        <w:t>Aedes </w:t>
      </w:r>
      <w:r>
        <w:rPr/>
        <w:t>scutelaris, Ochlerotatus serratus, Oc taeniorhynchus, Psorophora confinnis, Mansonia tittilans, Ma indubitans, Deinocerites pseudes y Anopheles aquasalis.</w:t>
      </w:r>
    </w:p>
    <w:p>
      <w:pPr>
        <w:pStyle w:val="BodyText"/>
        <w:spacing w:line="360" w:lineRule="auto" w:before="5"/>
        <w:ind w:left="1282" w:right="1665"/>
        <w:jc w:val="both"/>
      </w:pPr>
      <w:r>
        <w:rPr/>
        <w:t>Sin embargo, no se descarta que otras especies de mosquitos y de insectos hematófagos estén involucradas en la rápida dispersión del brote durante las epizootias al ser vectores eficientes del virus.</w:t>
      </w:r>
    </w:p>
    <w:p>
      <w:pPr>
        <w:pStyle w:val="BodyText"/>
      </w:pPr>
    </w:p>
    <w:p>
      <w:pPr>
        <w:pStyle w:val="BodyText"/>
        <w:spacing w:before="142"/>
        <w:ind w:left="1282"/>
        <w:jc w:val="both"/>
      </w:pPr>
      <w:r>
        <w:rPr>
          <w:b/>
        </w:rPr>
        <w:t>Tabla. 2  </w:t>
      </w:r>
      <w:r>
        <w:rPr/>
        <w:t>Principales vectores epizoóticos de EEV en las Américas</w:t>
      </w:r>
    </w:p>
    <w:p>
      <w:pPr>
        <w:pStyle w:val="BodyText"/>
        <w:spacing w:before="5"/>
        <w:rPr>
          <w:sz w:val="11"/>
        </w:rPr>
      </w:pPr>
      <w:r>
        <w:rPr/>
        <w:drawing>
          <wp:anchor distT="0" distB="0" distL="0" distR="0" allowOverlap="1" layoutInCell="1" locked="0" behindDoc="0" simplePos="0" relativeHeight="1192">
            <wp:simplePos x="0" y="0"/>
            <wp:positionH relativeFrom="page">
              <wp:posOffset>332231</wp:posOffset>
            </wp:positionH>
            <wp:positionV relativeFrom="paragraph">
              <wp:posOffset>108547</wp:posOffset>
            </wp:positionV>
            <wp:extent cx="7320179" cy="1762125"/>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32" cstate="print"/>
                    <a:stretch>
                      <a:fillRect/>
                    </a:stretch>
                  </pic:blipFill>
                  <pic:spPr>
                    <a:xfrm>
                      <a:off x="0" y="0"/>
                      <a:ext cx="7320179" cy="1762125"/>
                    </a:xfrm>
                    <a:prstGeom prst="rect">
                      <a:avLst/>
                    </a:prstGeom>
                  </pic:spPr>
                </pic:pic>
              </a:graphicData>
            </a:graphic>
          </wp:anchor>
        </w:drawing>
      </w:r>
    </w:p>
    <w:p>
      <w:pPr>
        <w:pStyle w:val="BodyText"/>
      </w:pPr>
    </w:p>
    <w:p>
      <w:pPr>
        <w:pStyle w:val="BodyText"/>
        <w:spacing w:before="4"/>
        <w:rPr>
          <w:sz w:val="29"/>
        </w:rPr>
      </w:pPr>
    </w:p>
    <w:p>
      <w:pPr>
        <w:pStyle w:val="BodyText"/>
        <w:spacing w:line="360" w:lineRule="auto"/>
        <w:ind w:left="1282" w:right="1645"/>
      </w:pPr>
      <w:r>
        <w:rPr/>
        <w:t>Las especies serratus y taeniorhynchus consideradas dentro del género Aedes pertenecen actualmente al género Ochlerotatus ya que en el año 2000, se propuso la división del género Aedes en los géneros Aedes Meigen y Ochlerotatus Lynch Arribalzaga; elevando al Ochlerotatus a un rango genérico. La división se realizó</w:t>
      </w:r>
    </w:p>
    <w:p>
      <w:pPr>
        <w:spacing w:after="0" w:line="360" w:lineRule="auto"/>
        <w:sectPr>
          <w:footerReference w:type="default" r:id="rId31"/>
          <w:pgSz w:w="12240" w:h="15840"/>
          <w:pgMar w:footer="835" w:header="0" w:top="1360" w:bottom="1020" w:left="420" w:right="40"/>
        </w:sectPr>
      </w:pPr>
    </w:p>
    <w:p>
      <w:pPr>
        <w:pStyle w:val="BodyText"/>
        <w:spacing w:line="357" w:lineRule="auto" w:before="54"/>
        <w:ind w:left="102" w:right="106"/>
        <w:rPr>
          <w:sz w:val="16"/>
        </w:rPr>
      </w:pPr>
      <w:r>
        <w:rPr/>
        <w:t>teniendo en cuenta algunas características taxonómicas. Muchas de las especies de Ochlerotatus son vectores de agentes patógenos de importancia médica y veterinaria. </w:t>
      </w:r>
      <w:r>
        <w:rPr>
          <w:position w:val="8"/>
          <w:sz w:val="16"/>
        </w:rPr>
        <w:t>(58)</w:t>
      </w:r>
    </w:p>
    <w:p>
      <w:pPr>
        <w:pStyle w:val="BodyText"/>
        <w:spacing w:line="360" w:lineRule="auto" w:before="4"/>
        <w:ind w:left="102" w:right="21"/>
        <w:rPr>
          <w:sz w:val="16"/>
        </w:rPr>
      </w:pPr>
      <w:r>
        <w:rPr/>
        <w:t>Los principales vectores reconocidos para EEV son Ochlerotatus (Aedes) taeniorhynchus en las regiones costeras y Psorophora confinnis en tierra adentro (zonas alejadas de las costas), se han confirmado como tales mediante criterios de susceptibilidad a la infección, aislamiento del virus y afinidad por el huésped vertebrado. </w:t>
      </w:r>
      <w:r>
        <w:rPr>
          <w:position w:val="8"/>
          <w:sz w:val="16"/>
        </w:rPr>
        <w:t>(59, 60)</w:t>
      </w:r>
    </w:p>
    <w:p>
      <w:pPr>
        <w:pStyle w:val="BodyText"/>
        <w:spacing w:line="360" w:lineRule="auto"/>
        <w:ind w:left="102" w:right="116"/>
        <w:jc w:val="both"/>
      </w:pPr>
      <w:r>
        <w:rPr/>
        <w:t>El </w:t>
      </w:r>
      <w:r>
        <w:rPr>
          <w:i/>
        </w:rPr>
        <w:t>Ochlerotatus taeniorhynchus </w:t>
      </w:r>
      <w:r>
        <w:rPr/>
        <w:t>es quizá el vector epizoótico más importante. Esta especie es abundante en las regiones costeras tiene un amplia distribución geográfica, se encuentra desde la región costera del Atlántico en Estados Unidos (Massachussets), hasta el sur de Brasil (Santa Catalina) y en la región de la costa del</w:t>
      </w:r>
      <w:r>
        <w:rPr>
          <w:spacing w:val="-19"/>
        </w:rPr>
        <w:t> </w:t>
      </w:r>
      <w:r>
        <w:rPr/>
        <w:t>Pacífico</w:t>
      </w:r>
      <w:r>
        <w:rPr>
          <w:spacing w:val="-18"/>
        </w:rPr>
        <w:t> </w:t>
      </w:r>
      <w:r>
        <w:rPr/>
        <w:t>desde</w:t>
      </w:r>
      <w:r>
        <w:rPr>
          <w:spacing w:val="-18"/>
        </w:rPr>
        <w:t> </w:t>
      </w:r>
      <w:r>
        <w:rPr/>
        <w:t>California</w:t>
      </w:r>
      <w:r>
        <w:rPr>
          <w:spacing w:val="-18"/>
        </w:rPr>
        <w:t> </w:t>
      </w:r>
      <w:r>
        <w:rPr/>
        <w:t>(Estados</w:t>
      </w:r>
      <w:r>
        <w:rPr>
          <w:spacing w:val="-19"/>
        </w:rPr>
        <w:t> </w:t>
      </w:r>
      <w:r>
        <w:rPr/>
        <w:t>Unidos),</w:t>
      </w:r>
      <w:r>
        <w:rPr>
          <w:spacing w:val="-19"/>
        </w:rPr>
        <w:t> </w:t>
      </w:r>
      <w:r>
        <w:rPr/>
        <w:t>hasta</w:t>
      </w:r>
      <w:r>
        <w:rPr>
          <w:spacing w:val="-20"/>
        </w:rPr>
        <w:t> </w:t>
      </w:r>
      <w:r>
        <w:rPr/>
        <w:t>el</w:t>
      </w:r>
      <w:r>
        <w:rPr>
          <w:spacing w:val="-19"/>
        </w:rPr>
        <w:t> </w:t>
      </w:r>
      <w:r>
        <w:rPr/>
        <w:t>Perú;</w:t>
      </w:r>
      <w:r>
        <w:rPr>
          <w:spacing w:val="-18"/>
        </w:rPr>
        <w:t> </w:t>
      </w:r>
      <w:r>
        <w:rPr/>
        <w:t>también</w:t>
      </w:r>
      <w:r>
        <w:rPr>
          <w:spacing w:val="-12"/>
        </w:rPr>
        <w:t> </w:t>
      </w:r>
      <w:r>
        <w:rPr/>
        <w:t>en</w:t>
      </w:r>
      <w:r>
        <w:rPr>
          <w:spacing w:val="-18"/>
        </w:rPr>
        <w:t> </w:t>
      </w:r>
      <w:r>
        <w:rPr/>
        <w:t>las</w:t>
      </w:r>
      <w:r>
        <w:rPr>
          <w:spacing w:val="-18"/>
        </w:rPr>
        <w:t> </w:t>
      </w:r>
      <w:r>
        <w:rPr/>
        <w:t>Antillas y en la Islas Galápagos</w:t>
      </w:r>
      <w:r>
        <w:rPr>
          <w:spacing w:val="-11"/>
        </w:rPr>
        <w:t> </w:t>
      </w:r>
      <w:r>
        <w:rPr/>
        <w:t>(Ecuador).</w:t>
      </w:r>
    </w:p>
    <w:p>
      <w:pPr>
        <w:pStyle w:val="BodyText"/>
        <w:spacing w:line="360" w:lineRule="auto" w:before="2"/>
        <w:ind w:left="102" w:right="21"/>
      </w:pPr>
      <w:r>
        <w:rPr/>
        <w:t>Oc taeniorhynchus ha sido asociado a diferentes epizoodemias de EEV en las Américas, al lograrse el aislamiento viral en esos mosquitos: en Venezuela (1962 – 64 y 1967 – 68), Ecuador (1969), Guatemala (1969), Costa Rica (1970), Texas</w:t>
      </w:r>
    </w:p>
    <w:p>
      <w:pPr>
        <w:pStyle w:val="BodyText"/>
        <w:spacing w:before="5"/>
        <w:ind w:left="102" w:right="106"/>
      </w:pPr>
      <w:r>
        <w:rPr/>
        <w:t>(1971), entre otros.</w:t>
      </w:r>
    </w:p>
    <w:p>
      <w:pPr>
        <w:pStyle w:val="BodyText"/>
        <w:spacing w:line="360" w:lineRule="auto" w:before="137"/>
        <w:ind w:left="102" w:right="117"/>
        <w:jc w:val="both"/>
      </w:pPr>
      <w:r>
        <w:rPr/>
        <w:t>Estos mosquitos prefieren las lagunas o pantanos de aguas salobres en áreas costeras,</w:t>
      </w:r>
      <w:r>
        <w:rPr>
          <w:spacing w:val="-16"/>
        </w:rPr>
        <w:t> </w:t>
      </w:r>
      <w:r>
        <w:rPr/>
        <w:t>su</w:t>
      </w:r>
      <w:r>
        <w:rPr>
          <w:spacing w:val="-15"/>
        </w:rPr>
        <w:t> </w:t>
      </w:r>
      <w:r>
        <w:rPr/>
        <w:t>desarrollo</w:t>
      </w:r>
      <w:r>
        <w:rPr>
          <w:spacing w:val="-16"/>
        </w:rPr>
        <w:t> </w:t>
      </w:r>
      <w:r>
        <w:rPr/>
        <w:t>es</w:t>
      </w:r>
      <w:r>
        <w:rPr>
          <w:spacing w:val="-15"/>
        </w:rPr>
        <w:t> </w:t>
      </w:r>
      <w:r>
        <w:rPr/>
        <w:t>dependiente</w:t>
      </w:r>
      <w:r>
        <w:rPr>
          <w:spacing w:val="-15"/>
        </w:rPr>
        <w:t> </w:t>
      </w:r>
      <w:r>
        <w:rPr/>
        <w:t>de</w:t>
      </w:r>
      <w:r>
        <w:rPr>
          <w:spacing w:val="-14"/>
        </w:rPr>
        <w:t> </w:t>
      </w:r>
      <w:r>
        <w:rPr/>
        <w:t>las</w:t>
      </w:r>
      <w:r>
        <w:rPr>
          <w:spacing w:val="-16"/>
        </w:rPr>
        <w:t> </w:t>
      </w:r>
      <w:r>
        <w:rPr/>
        <w:t>lluvias</w:t>
      </w:r>
      <w:r>
        <w:rPr>
          <w:spacing w:val="-14"/>
        </w:rPr>
        <w:t> </w:t>
      </w:r>
      <w:r>
        <w:rPr/>
        <w:t>y</w:t>
      </w:r>
      <w:r>
        <w:rPr>
          <w:spacing w:val="-16"/>
        </w:rPr>
        <w:t> </w:t>
      </w:r>
      <w:r>
        <w:rPr/>
        <w:t>las</w:t>
      </w:r>
      <w:r>
        <w:rPr>
          <w:spacing w:val="-14"/>
        </w:rPr>
        <w:t> </w:t>
      </w:r>
      <w:r>
        <w:rPr/>
        <w:t>mareas</w:t>
      </w:r>
      <w:r>
        <w:rPr>
          <w:spacing w:val="-16"/>
        </w:rPr>
        <w:t> </w:t>
      </w:r>
      <w:r>
        <w:rPr/>
        <w:t>altas</w:t>
      </w:r>
      <w:r>
        <w:rPr>
          <w:spacing w:val="-15"/>
        </w:rPr>
        <w:t> </w:t>
      </w:r>
      <w:r>
        <w:rPr/>
        <w:t>actúan</w:t>
      </w:r>
      <w:r>
        <w:rPr>
          <w:spacing w:val="-15"/>
        </w:rPr>
        <w:t> </w:t>
      </w:r>
      <w:r>
        <w:rPr/>
        <w:t>como factor</w:t>
      </w:r>
      <w:r>
        <w:rPr>
          <w:spacing w:val="-10"/>
        </w:rPr>
        <w:t> </w:t>
      </w:r>
      <w:r>
        <w:rPr/>
        <w:t>regulador.</w:t>
      </w:r>
      <w:r>
        <w:rPr>
          <w:spacing w:val="-12"/>
        </w:rPr>
        <w:t> </w:t>
      </w:r>
      <w:r>
        <w:rPr/>
        <w:t>Tiene</w:t>
      </w:r>
      <w:r>
        <w:rPr>
          <w:spacing w:val="-11"/>
        </w:rPr>
        <w:t> </w:t>
      </w:r>
      <w:r>
        <w:rPr/>
        <w:t>una</w:t>
      </w:r>
      <w:r>
        <w:rPr>
          <w:spacing w:val="-8"/>
        </w:rPr>
        <w:t> </w:t>
      </w:r>
      <w:r>
        <w:rPr/>
        <w:t>vida</w:t>
      </w:r>
      <w:r>
        <w:rPr>
          <w:spacing w:val="-10"/>
        </w:rPr>
        <w:t> </w:t>
      </w:r>
      <w:r>
        <w:rPr/>
        <w:t>media</w:t>
      </w:r>
      <w:r>
        <w:rPr>
          <w:spacing w:val="-8"/>
        </w:rPr>
        <w:t> </w:t>
      </w:r>
      <w:r>
        <w:rPr/>
        <w:t>de</w:t>
      </w:r>
      <w:r>
        <w:rPr>
          <w:spacing w:val="-7"/>
        </w:rPr>
        <w:t> </w:t>
      </w:r>
      <w:r>
        <w:rPr/>
        <w:t>3</w:t>
      </w:r>
      <w:r>
        <w:rPr>
          <w:spacing w:val="-8"/>
        </w:rPr>
        <w:t> </w:t>
      </w:r>
      <w:r>
        <w:rPr/>
        <w:t>semanas,</w:t>
      </w:r>
      <w:r>
        <w:rPr>
          <w:spacing w:val="-11"/>
        </w:rPr>
        <w:t> </w:t>
      </w:r>
      <w:r>
        <w:rPr/>
        <w:t>las</w:t>
      </w:r>
      <w:r>
        <w:rPr>
          <w:spacing w:val="-11"/>
        </w:rPr>
        <w:t> </w:t>
      </w:r>
      <w:r>
        <w:rPr/>
        <w:t>hembras</w:t>
      </w:r>
      <w:r>
        <w:rPr>
          <w:spacing w:val="-14"/>
        </w:rPr>
        <w:t> </w:t>
      </w:r>
      <w:r>
        <w:rPr/>
        <w:t>adultas</w:t>
      </w:r>
      <w:r>
        <w:rPr>
          <w:spacing w:val="-9"/>
        </w:rPr>
        <w:t> </w:t>
      </w:r>
      <w:r>
        <w:rPr/>
        <w:t>son</w:t>
      </w:r>
      <w:r>
        <w:rPr>
          <w:spacing w:val="-11"/>
        </w:rPr>
        <w:t> </w:t>
      </w:r>
      <w:r>
        <w:rPr/>
        <w:t>muy voraces y pican a un mamífero cada tres días, presentan actividad diurna y nocturna,</w:t>
      </w:r>
      <w:r>
        <w:rPr>
          <w:spacing w:val="-10"/>
        </w:rPr>
        <w:t> </w:t>
      </w:r>
      <w:r>
        <w:rPr/>
        <w:t>son</w:t>
      </w:r>
      <w:r>
        <w:rPr>
          <w:spacing w:val="-12"/>
        </w:rPr>
        <w:t> </w:t>
      </w:r>
      <w:r>
        <w:rPr/>
        <w:t>antropofílicas</w:t>
      </w:r>
      <w:r>
        <w:rPr>
          <w:spacing w:val="-7"/>
        </w:rPr>
        <w:t> </w:t>
      </w:r>
      <w:r>
        <w:rPr/>
        <w:t>y</w:t>
      </w:r>
      <w:r>
        <w:rPr>
          <w:spacing w:val="-10"/>
        </w:rPr>
        <w:t> </w:t>
      </w:r>
      <w:r>
        <w:rPr/>
        <w:t>zoofílicas.</w:t>
      </w:r>
      <w:r>
        <w:rPr>
          <w:spacing w:val="-9"/>
        </w:rPr>
        <w:t> </w:t>
      </w:r>
      <w:r>
        <w:rPr/>
        <w:t>Con</w:t>
      </w:r>
      <w:r>
        <w:rPr>
          <w:spacing w:val="-9"/>
        </w:rPr>
        <w:t> </w:t>
      </w:r>
      <w:r>
        <w:rPr/>
        <w:t>la</w:t>
      </w:r>
      <w:r>
        <w:rPr>
          <w:spacing w:val="-9"/>
        </w:rPr>
        <w:t> </w:t>
      </w:r>
      <w:r>
        <w:rPr/>
        <w:t>ayuda</w:t>
      </w:r>
      <w:r>
        <w:rPr>
          <w:spacing w:val="-12"/>
        </w:rPr>
        <w:t> </w:t>
      </w:r>
      <w:r>
        <w:rPr/>
        <w:t>de</w:t>
      </w:r>
      <w:r>
        <w:rPr>
          <w:spacing w:val="-9"/>
        </w:rPr>
        <w:t> </w:t>
      </w:r>
      <w:r>
        <w:rPr/>
        <w:t>los</w:t>
      </w:r>
      <w:r>
        <w:rPr>
          <w:spacing w:val="-10"/>
        </w:rPr>
        <w:t> </w:t>
      </w:r>
      <w:r>
        <w:rPr/>
        <w:t>vientos</w:t>
      </w:r>
      <w:r>
        <w:rPr>
          <w:spacing w:val="-13"/>
        </w:rPr>
        <w:t> </w:t>
      </w:r>
      <w:r>
        <w:rPr/>
        <w:t>puede</w:t>
      </w:r>
      <w:r>
        <w:rPr>
          <w:spacing w:val="-9"/>
        </w:rPr>
        <w:t> </w:t>
      </w:r>
      <w:r>
        <w:rPr/>
        <w:t>recorrer hasta 50 kilómetros, permitiéndoles un amplio rango de dispersión. Su importancia en</w:t>
      </w:r>
      <w:r>
        <w:rPr>
          <w:spacing w:val="-6"/>
        </w:rPr>
        <w:t> </w:t>
      </w:r>
      <w:r>
        <w:rPr/>
        <w:t>salud</w:t>
      </w:r>
      <w:r>
        <w:rPr>
          <w:spacing w:val="-8"/>
        </w:rPr>
        <w:t> </w:t>
      </w:r>
      <w:r>
        <w:rPr/>
        <w:t>pública</w:t>
      </w:r>
      <w:r>
        <w:rPr>
          <w:spacing w:val="-8"/>
        </w:rPr>
        <w:t> </w:t>
      </w:r>
      <w:r>
        <w:rPr/>
        <w:t>radica</w:t>
      </w:r>
      <w:r>
        <w:rPr>
          <w:spacing w:val="-9"/>
        </w:rPr>
        <w:t> </w:t>
      </w:r>
      <w:r>
        <w:rPr/>
        <w:t>en</w:t>
      </w:r>
      <w:r>
        <w:rPr>
          <w:spacing w:val="-8"/>
        </w:rPr>
        <w:t> </w:t>
      </w:r>
      <w:r>
        <w:rPr/>
        <w:t>su</w:t>
      </w:r>
      <w:r>
        <w:rPr>
          <w:spacing w:val="-8"/>
        </w:rPr>
        <w:t> </w:t>
      </w:r>
      <w:r>
        <w:rPr/>
        <w:t>eficiencia</w:t>
      </w:r>
      <w:r>
        <w:rPr>
          <w:spacing w:val="-9"/>
        </w:rPr>
        <w:t> </w:t>
      </w:r>
      <w:r>
        <w:rPr/>
        <w:t>en</w:t>
      </w:r>
      <w:r>
        <w:rPr>
          <w:spacing w:val="-8"/>
        </w:rPr>
        <w:t> </w:t>
      </w:r>
      <w:r>
        <w:rPr/>
        <w:t>la</w:t>
      </w:r>
      <w:r>
        <w:rPr>
          <w:spacing w:val="-9"/>
        </w:rPr>
        <w:t> </w:t>
      </w:r>
      <w:r>
        <w:rPr/>
        <w:t>transmisión</w:t>
      </w:r>
      <w:r>
        <w:rPr>
          <w:spacing w:val="-8"/>
        </w:rPr>
        <w:t> </w:t>
      </w:r>
      <w:r>
        <w:rPr/>
        <w:t>epizoodémica</w:t>
      </w:r>
      <w:r>
        <w:rPr>
          <w:spacing w:val="-6"/>
        </w:rPr>
        <w:t> </w:t>
      </w:r>
      <w:r>
        <w:rPr/>
        <w:t>de</w:t>
      </w:r>
      <w:r>
        <w:rPr>
          <w:spacing w:val="-8"/>
        </w:rPr>
        <w:t> </w:t>
      </w:r>
      <w:r>
        <w:rPr/>
        <w:t>EEV.</w:t>
      </w:r>
      <w:r>
        <w:rPr>
          <w:spacing w:val="-9"/>
        </w:rPr>
        <w:t> </w:t>
      </w:r>
      <w:r>
        <w:rPr/>
        <w:t>En algunas áreas estos mosquitos se presentan en gran número, por sus ataques continuos se convierten en una verdadera plaga haciendo difícil la permanencia de humanos y</w:t>
      </w:r>
      <w:r>
        <w:rPr>
          <w:spacing w:val="-7"/>
        </w:rPr>
        <w:t> </w:t>
      </w:r>
      <w:r>
        <w:rPr/>
        <w:t>animales.</w:t>
      </w:r>
    </w:p>
    <w:p>
      <w:pPr>
        <w:pStyle w:val="BodyText"/>
        <w:spacing w:line="360" w:lineRule="auto" w:before="2"/>
        <w:ind w:left="102" w:right="106"/>
      </w:pPr>
      <w:r>
        <w:rPr/>
        <w:t>Psorophora confinnis se encuentra por fuera de los bosques. Los criaderos para el desarrollo de las formas inmaduras son las áreas de cultivos en donde los charcos</w:t>
      </w:r>
    </w:p>
    <w:p>
      <w:pPr>
        <w:spacing w:after="0" w:line="360" w:lineRule="auto"/>
        <w:sectPr>
          <w:footerReference w:type="default" r:id="rId33"/>
          <w:pgSz w:w="12240" w:h="15840"/>
          <w:pgMar w:footer="1108" w:header="0" w:top="1360" w:bottom="1300" w:left="1600" w:right="1580"/>
          <w:pgNumType w:start="24"/>
        </w:sectPr>
      </w:pPr>
    </w:p>
    <w:p>
      <w:pPr>
        <w:pStyle w:val="BodyText"/>
        <w:spacing w:line="362" w:lineRule="auto" w:before="54"/>
        <w:ind w:left="102" w:right="106"/>
      </w:pPr>
      <w:r>
        <w:rPr/>
        <w:t>de agua lluvia se encuentran involucrados en la transmisión de la enfermedad en áreas distantes de la costa.</w:t>
      </w:r>
    </w:p>
    <w:p>
      <w:pPr>
        <w:pStyle w:val="BodyText"/>
      </w:pPr>
    </w:p>
    <w:p>
      <w:pPr>
        <w:pStyle w:val="BodyText"/>
        <w:spacing w:line="357" w:lineRule="auto" w:before="139"/>
        <w:ind w:left="102" w:right="239"/>
        <w:rPr>
          <w:sz w:val="16"/>
        </w:rPr>
      </w:pPr>
      <w:r>
        <w:rPr/>
        <w:t>Otras especies relacionadas con la transmisión de EEV, de animales virémicos a otros susceptibles son: Cx tarsalis, Cx nigripalpus, Cx quinquefasciatus, Ae aegypti, Ae albopictus, Ae scopularis, Oc sollicitans y An pseudopunctipennis. </w:t>
      </w:r>
      <w:r>
        <w:rPr>
          <w:position w:val="8"/>
          <w:sz w:val="16"/>
        </w:rPr>
        <w:t>(17)</w:t>
      </w:r>
    </w:p>
    <w:p>
      <w:pPr>
        <w:pStyle w:val="BodyText"/>
        <w:rPr>
          <w:sz w:val="36"/>
        </w:rPr>
      </w:pPr>
    </w:p>
    <w:p>
      <w:pPr>
        <w:pStyle w:val="BodyText"/>
        <w:spacing w:line="360" w:lineRule="auto"/>
        <w:ind w:left="102" w:right="106"/>
        <w:rPr>
          <w:sz w:val="16"/>
        </w:rPr>
      </w:pPr>
      <w:r>
        <w:rPr/>
        <w:t>El </w:t>
      </w:r>
      <w:r>
        <w:rPr>
          <w:i/>
        </w:rPr>
        <w:t>Aedes aegypti </w:t>
      </w:r>
      <w:r>
        <w:rPr/>
        <w:t>se considera en las Américas como un posible vector urbano de la</w:t>
      </w:r>
      <w:r>
        <w:rPr>
          <w:spacing w:val="-16"/>
        </w:rPr>
        <w:t> </w:t>
      </w:r>
      <w:r>
        <w:rPr/>
        <w:t>EEV;</w:t>
      </w:r>
      <w:r>
        <w:rPr>
          <w:spacing w:val="-19"/>
        </w:rPr>
        <w:t> </w:t>
      </w:r>
      <w:r>
        <w:rPr/>
        <w:t>este</w:t>
      </w:r>
      <w:r>
        <w:rPr>
          <w:spacing w:val="-18"/>
        </w:rPr>
        <w:t> </w:t>
      </w:r>
      <w:r>
        <w:rPr/>
        <w:t>mosquito</w:t>
      </w:r>
      <w:r>
        <w:rPr>
          <w:spacing w:val="-19"/>
        </w:rPr>
        <w:t> </w:t>
      </w:r>
      <w:r>
        <w:rPr/>
        <w:t>es</w:t>
      </w:r>
      <w:r>
        <w:rPr>
          <w:spacing w:val="-17"/>
        </w:rPr>
        <w:t> </w:t>
      </w:r>
      <w:r>
        <w:rPr/>
        <w:t>de</w:t>
      </w:r>
      <w:r>
        <w:rPr>
          <w:spacing w:val="-17"/>
        </w:rPr>
        <w:t> </w:t>
      </w:r>
      <w:r>
        <w:rPr/>
        <w:t>hábitos</w:t>
      </w:r>
      <w:r>
        <w:rPr>
          <w:spacing w:val="-17"/>
        </w:rPr>
        <w:t> </w:t>
      </w:r>
      <w:r>
        <w:rPr/>
        <w:t>domésticos,</w:t>
      </w:r>
      <w:r>
        <w:rPr>
          <w:spacing w:val="-17"/>
        </w:rPr>
        <w:t> </w:t>
      </w:r>
      <w:r>
        <w:rPr/>
        <w:t>se</w:t>
      </w:r>
      <w:r>
        <w:rPr>
          <w:spacing w:val="-19"/>
        </w:rPr>
        <w:t> </w:t>
      </w:r>
      <w:r>
        <w:rPr/>
        <w:t>reproduce</w:t>
      </w:r>
      <w:r>
        <w:rPr>
          <w:spacing w:val="-17"/>
        </w:rPr>
        <w:t> </w:t>
      </w:r>
      <w:r>
        <w:rPr/>
        <w:t>en</w:t>
      </w:r>
      <w:r>
        <w:rPr>
          <w:spacing w:val="-19"/>
        </w:rPr>
        <w:t> </w:t>
      </w:r>
      <w:r>
        <w:rPr/>
        <w:t>depósitos</w:t>
      </w:r>
      <w:r>
        <w:rPr>
          <w:spacing w:val="-20"/>
        </w:rPr>
        <w:t> </w:t>
      </w:r>
      <w:r>
        <w:rPr/>
        <w:t>de</w:t>
      </w:r>
      <w:r>
        <w:rPr>
          <w:spacing w:val="-19"/>
        </w:rPr>
        <w:t> </w:t>
      </w:r>
      <w:r>
        <w:rPr/>
        <w:t>agua artificiales y naturales de áreas urbanas. La transmisión entre seres humanos por Ae</w:t>
      </w:r>
      <w:r>
        <w:rPr>
          <w:spacing w:val="-8"/>
        </w:rPr>
        <w:t> </w:t>
      </w:r>
      <w:r>
        <w:rPr/>
        <w:t>aegypti</w:t>
      </w:r>
      <w:r>
        <w:rPr>
          <w:spacing w:val="-8"/>
        </w:rPr>
        <w:t> </w:t>
      </w:r>
      <w:r>
        <w:rPr/>
        <w:t>se</w:t>
      </w:r>
      <w:r>
        <w:rPr>
          <w:spacing w:val="-8"/>
        </w:rPr>
        <w:t> </w:t>
      </w:r>
      <w:r>
        <w:rPr/>
        <w:t>ha</w:t>
      </w:r>
      <w:r>
        <w:rPr>
          <w:spacing w:val="-8"/>
        </w:rPr>
        <w:t> </w:t>
      </w:r>
      <w:r>
        <w:rPr/>
        <w:t>sugerido</w:t>
      </w:r>
      <w:r>
        <w:rPr>
          <w:spacing w:val="-8"/>
        </w:rPr>
        <w:t> </w:t>
      </w:r>
      <w:r>
        <w:rPr/>
        <w:t>en</w:t>
      </w:r>
      <w:r>
        <w:rPr>
          <w:spacing w:val="-8"/>
        </w:rPr>
        <w:t> </w:t>
      </w:r>
      <w:r>
        <w:rPr/>
        <w:t>brotes</w:t>
      </w:r>
      <w:r>
        <w:rPr>
          <w:spacing w:val="-9"/>
        </w:rPr>
        <w:t> </w:t>
      </w:r>
      <w:r>
        <w:rPr/>
        <w:t>urbanos</w:t>
      </w:r>
      <w:r>
        <w:rPr>
          <w:spacing w:val="-12"/>
        </w:rPr>
        <w:t> </w:t>
      </w:r>
      <w:r>
        <w:rPr/>
        <w:t>de</w:t>
      </w:r>
      <w:r>
        <w:rPr>
          <w:spacing w:val="-8"/>
        </w:rPr>
        <w:t> </w:t>
      </w:r>
      <w:r>
        <w:rPr/>
        <w:t>EEV,</w:t>
      </w:r>
      <w:r>
        <w:rPr>
          <w:spacing w:val="-9"/>
        </w:rPr>
        <w:t> </w:t>
      </w:r>
      <w:r>
        <w:rPr/>
        <w:t>pero</w:t>
      </w:r>
      <w:r>
        <w:rPr>
          <w:spacing w:val="-9"/>
        </w:rPr>
        <w:t> </w:t>
      </w:r>
      <w:r>
        <w:rPr/>
        <w:t>no</w:t>
      </w:r>
      <w:r>
        <w:rPr>
          <w:spacing w:val="-8"/>
        </w:rPr>
        <w:t> </w:t>
      </w:r>
      <w:r>
        <w:rPr/>
        <w:t>se</w:t>
      </w:r>
      <w:r>
        <w:rPr>
          <w:spacing w:val="-8"/>
        </w:rPr>
        <w:t> </w:t>
      </w:r>
      <w:r>
        <w:rPr/>
        <w:t>ha</w:t>
      </w:r>
      <w:r>
        <w:rPr>
          <w:spacing w:val="-11"/>
        </w:rPr>
        <w:t> </w:t>
      </w:r>
      <w:r>
        <w:rPr/>
        <w:t>confirmado. </w:t>
      </w:r>
      <w:r>
        <w:rPr>
          <w:position w:val="8"/>
          <w:sz w:val="16"/>
        </w:rPr>
        <w:t>(57) </w:t>
      </w:r>
      <w:r>
        <w:rPr/>
        <w:t>Aedes albopictus (también llamado el Tigre Asiático) se reproduce tanto en medios domésticos,</w:t>
      </w:r>
      <w:r>
        <w:rPr>
          <w:spacing w:val="-14"/>
        </w:rPr>
        <w:t> </w:t>
      </w:r>
      <w:r>
        <w:rPr/>
        <w:t>como</w:t>
      </w:r>
      <w:r>
        <w:rPr>
          <w:spacing w:val="-14"/>
        </w:rPr>
        <w:t> </w:t>
      </w:r>
      <w:r>
        <w:rPr/>
        <w:t>rurales</w:t>
      </w:r>
      <w:r>
        <w:rPr>
          <w:spacing w:val="-12"/>
        </w:rPr>
        <w:t> </w:t>
      </w:r>
      <w:r>
        <w:rPr/>
        <w:t>y</w:t>
      </w:r>
      <w:r>
        <w:rPr>
          <w:spacing w:val="-15"/>
        </w:rPr>
        <w:t> </w:t>
      </w:r>
      <w:r>
        <w:rPr/>
        <w:t>silvestres,</w:t>
      </w:r>
      <w:r>
        <w:rPr>
          <w:spacing w:val="-12"/>
        </w:rPr>
        <w:t> </w:t>
      </w:r>
      <w:r>
        <w:rPr/>
        <w:t>sirviendo</w:t>
      </w:r>
      <w:r>
        <w:rPr>
          <w:spacing w:val="-12"/>
        </w:rPr>
        <w:t> </w:t>
      </w:r>
      <w:r>
        <w:rPr/>
        <w:t>como</w:t>
      </w:r>
      <w:r>
        <w:rPr>
          <w:spacing w:val="-14"/>
        </w:rPr>
        <w:t> </w:t>
      </w:r>
      <w:r>
        <w:rPr/>
        <w:t>puente</w:t>
      </w:r>
      <w:r>
        <w:rPr>
          <w:spacing w:val="-14"/>
        </w:rPr>
        <w:t> </w:t>
      </w:r>
      <w:r>
        <w:rPr/>
        <w:t>entre</w:t>
      </w:r>
      <w:r>
        <w:rPr>
          <w:spacing w:val="-14"/>
        </w:rPr>
        <w:t> </w:t>
      </w:r>
      <w:r>
        <w:rPr/>
        <w:t>el</w:t>
      </w:r>
      <w:r>
        <w:rPr>
          <w:spacing w:val="-13"/>
        </w:rPr>
        <w:t> </w:t>
      </w:r>
      <w:r>
        <w:rPr/>
        <w:t>ciclo</w:t>
      </w:r>
      <w:r>
        <w:rPr>
          <w:spacing w:val="-12"/>
        </w:rPr>
        <w:t> </w:t>
      </w:r>
      <w:r>
        <w:rPr/>
        <w:t>selvático y el ciclo urbano de algunas arbovirosis como: dengue, fiebre amarilla, EEE, EEV, EEO, ESL, La Crosse y otros patógenos, pero se adapta más al medio rural</w:t>
      </w:r>
      <w:r>
        <w:rPr>
          <w:position w:val="8"/>
          <w:sz w:val="16"/>
        </w:rPr>
        <w:t>. (62, </w:t>
      </w:r>
      <w:r>
        <w:rPr>
          <w:spacing w:val="-3"/>
          <w:position w:val="8"/>
          <w:sz w:val="16"/>
        </w:rPr>
        <w:t>63, </w:t>
      </w:r>
      <w:r>
        <w:rPr>
          <w:sz w:val="16"/>
        </w:rPr>
        <w:t>64, 65,</w:t>
      </w:r>
      <w:r>
        <w:rPr>
          <w:spacing w:val="-3"/>
          <w:sz w:val="16"/>
        </w:rPr>
        <w:t> </w:t>
      </w:r>
      <w:r>
        <w:rPr>
          <w:sz w:val="16"/>
        </w:rPr>
        <w:t>66)</w:t>
      </w:r>
    </w:p>
    <w:p>
      <w:pPr>
        <w:pStyle w:val="BodyText"/>
        <w:rPr>
          <w:sz w:val="16"/>
        </w:rPr>
      </w:pPr>
    </w:p>
    <w:p>
      <w:pPr>
        <w:pStyle w:val="BodyText"/>
        <w:rPr>
          <w:sz w:val="16"/>
        </w:rPr>
      </w:pPr>
    </w:p>
    <w:p>
      <w:pPr>
        <w:pStyle w:val="BodyText"/>
        <w:spacing w:before="7"/>
        <w:rPr>
          <w:sz w:val="16"/>
        </w:rPr>
      </w:pPr>
    </w:p>
    <w:p>
      <w:pPr>
        <w:pStyle w:val="BodyText"/>
        <w:spacing w:line="360" w:lineRule="auto"/>
        <w:ind w:left="102" w:right="116"/>
        <w:jc w:val="both"/>
        <w:rPr>
          <w:sz w:val="16"/>
        </w:rPr>
      </w:pPr>
      <w:r>
        <w:rPr/>
        <w:t>Otros artrópodos que no son mosquitos también han estado implicados como vectores de la EEV. Las moscas negras fueron importantes vectores mecánicos (artrópodos que transmiten mediante zonas bucales contaminadas sin replicación viral) durante la epizootia de Colombia en 1967. Garrapatas, incluyendo Amblyomma cajennense (Acari: Ixodidae) y Hyalomma truncatum son susceptibles a la infección por cepas epizoóticas de VEEV. Las termitas también pueden transmitir el VEEV.</w:t>
      </w:r>
      <w:r>
        <w:rPr>
          <w:spacing w:val="61"/>
        </w:rPr>
        <w:t> </w:t>
      </w:r>
      <w:r>
        <w:rPr>
          <w:position w:val="8"/>
          <w:sz w:val="16"/>
        </w:rPr>
        <w:t>(67)</w:t>
      </w:r>
    </w:p>
    <w:p>
      <w:pPr>
        <w:spacing w:after="0" w:line="360" w:lineRule="auto"/>
        <w:jc w:val="both"/>
        <w:rPr>
          <w:sz w:val="16"/>
        </w:rPr>
        <w:sectPr>
          <w:pgSz w:w="12240" w:h="15840"/>
          <w:pgMar w:header="0" w:footer="1108" w:top="1360" w:bottom="13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4066" w:right="4203" w:firstLine="0"/>
        <w:jc w:val="center"/>
        <w:rPr>
          <w:b/>
          <w:sz w:val="22"/>
        </w:rPr>
      </w:pPr>
      <w:r>
        <w:rPr/>
        <w:pict>
          <v:group style="position:absolute;margin-left:12pt;margin-top:-366.67215pt;width:599.4pt;height:366.6pt;mso-position-horizontal-relative:page;mso-position-vertical-relative:paragraph;z-index:1216" coordorigin="240,-7333" coordsize="11988,7332">
            <v:shape style="position:absolute;left:6862;top:-4393;width:1366;height:1162" type="#_x0000_t75" stroked="false">
              <v:imagedata r:id="rId34" o:title=""/>
            </v:shape>
            <v:shape style="position:absolute;left:240;top:-7333;width:11988;height:7332" type="#_x0000_t75" stroked="false">
              <v:imagedata r:id="rId35" o:title=""/>
            </v:shape>
            <w10:wrap type="none"/>
          </v:group>
        </w:pict>
      </w:r>
      <w:r>
        <w:rPr>
          <w:b/>
          <w:sz w:val="22"/>
        </w:rPr>
        <w:t>Figura 9. Ciclo epizoótico de la EEV.</w:t>
      </w:r>
    </w:p>
    <w:p>
      <w:pPr>
        <w:pStyle w:val="BodyText"/>
        <w:rPr>
          <w:b/>
          <w:sz w:val="22"/>
        </w:rPr>
      </w:pPr>
    </w:p>
    <w:p>
      <w:pPr>
        <w:pStyle w:val="BodyText"/>
        <w:rPr>
          <w:b/>
          <w:sz w:val="22"/>
        </w:rPr>
      </w:pPr>
    </w:p>
    <w:p>
      <w:pPr>
        <w:pStyle w:val="BodyText"/>
        <w:rPr>
          <w:b/>
          <w:sz w:val="22"/>
        </w:rPr>
      </w:pPr>
    </w:p>
    <w:p>
      <w:pPr>
        <w:pStyle w:val="BodyText"/>
        <w:spacing w:before="2"/>
        <w:rPr>
          <w:b/>
          <w:sz w:val="17"/>
        </w:rPr>
      </w:pPr>
    </w:p>
    <w:p>
      <w:pPr>
        <w:pStyle w:val="Heading4"/>
        <w:spacing w:before="0"/>
        <w:ind w:left="1562"/>
        <w:jc w:val="both"/>
      </w:pPr>
      <w:r>
        <w:rPr/>
        <w:t>II.8.2. Ciclo de transmisión enzoótico  de la EEV</w:t>
      </w:r>
    </w:p>
    <w:p>
      <w:pPr>
        <w:pStyle w:val="BodyText"/>
        <w:rPr>
          <w:b/>
        </w:rPr>
      </w:pPr>
    </w:p>
    <w:p>
      <w:pPr>
        <w:pStyle w:val="BodyText"/>
        <w:rPr>
          <w:b/>
        </w:rPr>
      </w:pPr>
    </w:p>
    <w:p>
      <w:pPr>
        <w:pStyle w:val="BodyText"/>
        <w:spacing w:line="360" w:lineRule="auto"/>
        <w:ind w:left="1562" w:right="1696"/>
        <w:jc w:val="both"/>
      </w:pPr>
      <w:r>
        <w:rPr/>
        <w:t>Las</w:t>
      </w:r>
      <w:r>
        <w:rPr>
          <w:spacing w:val="-10"/>
        </w:rPr>
        <w:t> </w:t>
      </w:r>
      <w:r>
        <w:rPr/>
        <w:t>variantes</w:t>
      </w:r>
      <w:r>
        <w:rPr>
          <w:spacing w:val="-13"/>
        </w:rPr>
        <w:t> </w:t>
      </w:r>
      <w:r>
        <w:rPr/>
        <w:t>enzoóticas</w:t>
      </w:r>
      <w:r>
        <w:rPr>
          <w:spacing w:val="-10"/>
        </w:rPr>
        <w:t> </w:t>
      </w:r>
      <w:r>
        <w:rPr/>
        <w:t>del</w:t>
      </w:r>
      <w:r>
        <w:rPr>
          <w:spacing w:val="-11"/>
        </w:rPr>
        <w:t> </w:t>
      </w:r>
      <w:r>
        <w:rPr/>
        <w:t>virus</w:t>
      </w:r>
      <w:r>
        <w:rPr>
          <w:spacing w:val="-10"/>
        </w:rPr>
        <w:t> </w:t>
      </w:r>
      <w:r>
        <w:rPr/>
        <w:t>de</w:t>
      </w:r>
      <w:r>
        <w:rPr>
          <w:spacing w:val="-9"/>
        </w:rPr>
        <w:t> </w:t>
      </w:r>
      <w:r>
        <w:rPr/>
        <w:t>la</w:t>
      </w:r>
      <w:r>
        <w:rPr>
          <w:spacing w:val="-12"/>
        </w:rPr>
        <w:t> </w:t>
      </w:r>
      <w:r>
        <w:rPr/>
        <w:t>EEV</w:t>
      </w:r>
      <w:r>
        <w:rPr>
          <w:spacing w:val="-10"/>
        </w:rPr>
        <w:t> </w:t>
      </w:r>
      <w:r>
        <w:rPr/>
        <w:t>(subtipos</w:t>
      </w:r>
      <w:r>
        <w:rPr>
          <w:spacing w:val="-10"/>
        </w:rPr>
        <w:t> </w:t>
      </w:r>
      <w:r>
        <w:rPr/>
        <w:t>ID-IF,</w:t>
      </w:r>
      <w:r>
        <w:rPr>
          <w:spacing w:val="-12"/>
        </w:rPr>
        <w:t> </w:t>
      </w:r>
      <w:r>
        <w:rPr/>
        <w:t>II-VI),</w:t>
      </w:r>
      <w:r>
        <w:rPr>
          <w:spacing w:val="-10"/>
        </w:rPr>
        <w:t> </w:t>
      </w:r>
      <w:r>
        <w:rPr/>
        <w:t>se</w:t>
      </w:r>
      <w:r>
        <w:rPr>
          <w:spacing w:val="-9"/>
        </w:rPr>
        <w:t> </w:t>
      </w:r>
      <w:r>
        <w:rPr/>
        <w:t>mantienen</w:t>
      </w:r>
      <w:r>
        <w:rPr>
          <w:spacing w:val="-12"/>
        </w:rPr>
        <w:t> </w:t>
      </w:r>
      <w:r>
        <w:rPr/>
        <w:t>de forma natural a un bajo nivel en el ciclo enzoótico, conservando una actividad continua,</w:t>
      </w:r>
      <w:r>
        <w:rPr>
          <w:spacing w:val="-17"/>
        </w:rPr>
        <w:t> </w:t>
      </w:r>
      <w:r>
        <w:rPr/>
        <w:t>logrando</w:t>
      </w:r>
      <w:r>
        <w:rPr>
          <w:spacing w:val="-16"/>
        </w:rPr>
        <w:t> </w:t>
      </w:r>
      <w:r>
        <w:rPr/>
        <w:t>así,</w:t>
      </w:r>
      <w:r>
        <w:rPr>
          <w:spacing w:val="-17"/>
        </w:rPr>
        <w:t> </w:t>
      </w:r>
      <w:r>
        <w:rPr/>
        <w:t>permanecer</w:t>
      </w:r>
      <w:r>
        <w:rPr>
          <w:spacing w:val="-18"/>
        </w:rPr>
        <w:t> </w:t>
      </w:r>
      <w:r>
        <w:rPr/>
        <w:t>por</w:t>
      </w:r>
      <w:r>
        <w:rPr>
          <w:spacing w:val="-18"/>
        </w:rPr>
        <w:t> </w:t>
      </w:r>
      <w:r>
        <w:rPr/>
        <w:t>períodos</w:t>
      </w:r>
      <w:r>
        <w:rPr>
          <w:spacing w:val="-17"/>
        </w:rPr>
        <w:t> </w:t>
      </w:r>
      <w:r>
        <w:rPr/>
        <w:t>de</w:t>
      </w:r>
      <w:r>
        <w:rPr>
          <w:spacing w:val="-16"/>
        </w:rPr>
        <w:t> </w:t>
      </w:r>
      <w:r>
        <w:rPr/>
        <w:t>tiempo</w:t>
      </w:r>
      <w:r>
        <w:rPr>
          <w:spacing w:val="-16"/>
        </w:rPr>
        <w:t> </w:t>
      </w:r>
      <w:r>
        <w:rPr/>
        <w:t>indefinidos</w:t>
      </w:r>
      <w:r>
        <w:rPr>
          <w:spacing w:val="-15"/>
        </w:rPr>
        <w:t> </w:t>
      </w:r>
      <w:r>
        <w:rPr/>
        <w:t>en</w:t>
      </w:r>
      <w:r>
        <w:rPr>
          <w:spacing w:val="-14"/>
        </w:rPr>
        <w:t> </w:t>
      </w:r>
      <w:r>
        <w:rPr/>
        <w:t>las</w:t>
      </w:r>
      <w:r>
        <w:rPr>
          <w:spacing w:val="-17"/>
        </w:rPr>
        <w:t> </w:t>
      </w:r>
      <w:r>
        <w:rPr/>
        <w:t>selvas húmedas</w:t>
      </w:r>
      <w:r>
        <w:rPr>
          <w:spacing w:val="-4"/>
        </w:rPr>
        <w:t> </w:t>
      </w:r>
      <w:r>
        <w:rPr/>
        <w:t>tropicales</w:t>
      </w:r>
      <w:r>
        <w:rPr>
          <w:spacing w:val="-7"/>
        </w:rPr>
        <w:t> </w:t>
      </w:r>
      <w:r>
        <w:rPr/>
        <w:t>y</w:t>
      </w:r>
      <w:r>
        <w:rPr>
          <w:spacing w:val="-7"/>
        </w:rPr>
        <w:t> </w:t>
      </w:r>
      <w:r>
        <w:rPr/>
        <w:t>en</w:t>
      </w:r>
      <w:r>
        <w:rPr>
          <w:spacing w:val="-4"/>
        </w:rPr>
        <w:t> </w:t>
      </w:r>
      <w:r>
        <w:rPr/>
        <w:t>las</w:t>
      </w:r>
      <w:r>
        <w:rPr>
          <w:spacing w:val="-6"/>
        </w:rPr>
        <w:t> </w:t>
      </w:r>
      <w:r>
        <w:rPr/>
        <w:t>regiones</w:t>
      </w:r>
      <w:r>
        <w:rPr>
          <w:spacing w:val="-7"/>
        </w:rPr>
        <w:t> </w:t>
      </w:r>
      <w:r>
        <w:rPr/>
        <w:t>pantanosas</w:t>
      </w:r>
      <w:r>
        <w:rPr>
          <w:spacing w:val="-7"/>
        </w:rPr>
        <w:t> </w:t>
      </w:r>
      <w:r>
        <w:rPr/>
        <w:t>de</w:t>
      </w:r>
      <w:r>
        <w:rPr>
          <w:spacing w:val="-6"/>
        </w:rPr>
        <w:t> </w:t>
      </w:r>
      <w:r>
        <w:rPr/>
        <w:t>América</w:t>
      </w:r>
      <w:r>
        <w:rPr>
          <w:spacing w:val="-4"/>
        </w:rPr>
        <w:t> </w:t>
      </w:r>
      <w:r>
        <w:rPr/>
        <w:t>tropical</w:t>
      </w:r>
      <w:r>
        <w:rPr>
          <w:spacing w:val="-5"/>
        </w:rPr>
        <w:t> </w:t>
      </w:r>
      <w:r>
        <w:rPr/>
        <w:t>y</w:t>
      </w:r>
      <w:r>
        <w:rPr>
          <w:spacing w:val="-7"/>
        </w:rPr>
        <w:t> </w:t>
      </w:r>
      <w:r>
        <w:rPr/>
        <w:t>subtropical. La transmisión se presenta continuamente desde roedores de los géneros Sigmodon, Oryzomys, Zygodontomy, Heteromys, Peromyscus, y Proechimys, a un número variado de mosquitos; el hombre y los équidos se pueden involucrar casualmente en este ciclo, cuando ingresan al ecosistema enzoótico, afectándose cuando sus poblaciones son</w:t>
      </w:r>
      <w:r>
        <w:rPr>
          <w:spacing w:val="-13"/>
        </w:rPr>
        <w:t> </w:t>
      </w:r>
      <w:r>
        <w:rPr/>
        <w:t>susceptibles.</w:t>
      </w:r>
    </w:p>
    <w:p>
      <w:pPr>
        <w:spacing w:after="0" w:line="360" w:lineRule="auto"/>
        <w:jc w:val="both"/>
        <w:sectPr>
          <w:pgSz w:w="12240" w:h="15840"/>
          <w:pgMar w:header="0" w:footer="1108" w:top="1420" w:bottom="1300" w:left="140" w:right="0"/>
        </w:sectPr>
      </w:pPr>
    </w:p>
    <w:p>
      <w:pPr>
        <w:pStyle w:val="BodyText"/>
        <w:spacing w:line="360" w:lineRule="auto" w:before="54"/>
        <w:ind w:left="102" w:right="124"/>
        <w:jc w:val="both"/>
      </w:pPr>
      <w:r>
        <w:rPr/>
        <w:t>Los subtipos enzoóticos del VEEV son mantenidos eficientemente en ciclos de transmisión</w:t>
      </w:r>
      <w:r>
        <w:rPr>
          <w:spacing w:val="-15"/>
        </w:rPr>
        <w:t> </w:t>
      </w:r>
      <w:r>
        <w:rPr/>
        <w:t>que</w:t>
      </w:r>
      <w:r>
        <w:rPr>
          <w:spacing w:val="-17"/>
        </w:rPr>
        <w:t> </w:t>
      </w:r>
      <w:r>
        <w:rPr/>
        <w:t>involucran</w:t>
      </w:r>
      <w:r>
        <w:rPr>
          <w:spacing w:val="-15"/>
        </w:rPr>
        <w:t> </w:t>
      </w:r>
      <w:r>
        <w:rPr/>
        <w:t>principalmente</w:t>
      </w:r>
      <w:r>
        <w:rPr>
          <w:spacing w:val="-15"/>
        </w:rPr>
        <w:t> </w:t>
      </w:r>
      <w:r>
        <w:rPr/>
        <w:t>a</w:t>
      </w:r>
      <w:r>
        <w:rPr>
          <w:spacing w:val="-20"/>
        </w:rPr>
        <w:t> </w:t>
      </w:r>
      <w:r>
        <w:rPr/>
        <w:t>mosquitos</w:t>
      </w:r>
      <w:r>
        <w:rPr>
          <w:spacing w:val="-18"/>
        </w:rPr>
        <w:t> </w:t>
      </w:r>
      <w:r>
        <w:rPr/>
        <w:t>pertenecientes</w:t>
      </w:r>
      <w:r>
        <w:rPr>
          <w:spacing w:val="-16"/>
        </w:rPr>
        <w:t> </w:t>
      </w:r>
      <w:r>
        <w:rPr/>
        <w:t>al</w:t>
      </w:r>
      <w:r>
        <w:rPr>
          <w:spacing w:val="-19"/>
        </w:rPr>
        <w:t> </w:t>
      </w:r>
      <w:r>
        <w:rPr/>
        <w:t>subgénero Melanoconion. Estos mosquitos se encuentran presentes en bosques húmedos tropicales o hábitats</w:t>
      </w:r>
      <w:r>
        <w:rPr>
          <w:spacing w:val="-12"/>
        </w:rPr>
        <w:t> </w:t>
      </w:r>
      <w:r>
        <w:rPr/>
        <w:t>pantanosos.</w:t>
      </w:r>
    </w:p>
    <w:p>
      <w:pPr>
        <w:pStyle w:val="BodyText"/>
        <w:spacing w:line="360" w:lineRule="auto" w:before="2"/>
        <w:ind w:left="102" w:right="106"/>
      </w:pPr>
      <w:r>
        <w:rPr/>
        <w:t>Las variantes silvestres de EEV son patógenas para el humano, esporádicamente causan epidemias con algunas muertes, pero por lo general son solo pequeños brotes de una enfermedad aguda, febril y benigna en la población susceptible que habita o ingresa a las áreas cercanas a los ciclos naturales; en los équidos estas variantes son generalmente no patógenas, a excepción de la variante IE, que ha provocado casos en Centroamérica y México.</w:t>
      </w:r>
    </w:p>
    <w:p>
      <w:pPr>
        <w:pStyle w:val="BodyText"/>
        <w:spacing w:line="360" w:lineRule="auto" w:before="2"/>
        <w:ind w:left="102" w:right="116"/>
        <w:jc w:val="both"/>
        <w:rPr>
          <w:sz w:val="16"/>
        </w:rPr>
      </w:pPr>
      <w:r>
        <w:rPr/>
        <w:t>Las</w:t>
      </w:r>
      <w:r>
        <w:rPr>
          <w:spacing w:val="-11"/>
        </w:rPr>
        <w:t> </w:t>
      </w:r>
      <w:r>
        <w:rPr/>
        <w:t>investigaciones</w:t>
      </w:r>
      <w:r>
        <w:rPr>
          <w:spacing w:val="-13"/>
        </w:rPr>
        <w:t> </w:t>
      </w:r>
      <w:r>
        <w:rPr/>
        <w:t>epidemiológicas,</w:t>
      </w:r>
      <w:r>
        <w:rPr>
          <w:spacing w:val="-10"/>
        </w:rPr>
        <w:t> </w:t>
      </w:r>
      <w:r>
        <w:rPr/>
        <w:t>han</w:t>
      </w:r>
      <w:r>
        <w:rPr>
          <w:spacing w:val="-12"/>
        </w:rPr>
        <w:t> </w:t>
      </w:r>
      <w:r>
        <w:rPr/>
        <w:t>permitido</w:t>
      </w:r>
      <w:r>
        <w:rPr>
          <w:spacing w:val="-11"/>
        </w:rPr>
        <w:t> </w:t>
      </w:r>
      <w:r>
        <w:rPr/>
        <w:t>constatar</w:t>
      </w:r>
      <w:r>
        <w:rPr>
          <w:spacing w:val="-11"/>
        </w:rPr>
        <w:t> </w:t>
      </w:r>
      <w:r>
        <w:rPr/>
        <w:t>la</w:t>
      </w:r>
      <w:r>
        <w:rPr>
          <w:spacing w:val="-12"/>
        </w:rPr>
        <w:t> </w:t>
      </w:r>
      <w:r>
        <w:rPr/>
        <w:t>existencia</w:t>
      </w:r>
      <w:r>
        <w:rPr>
          <w:spacing w:val="-12"/>
        </w:rPr>
        <w:t> </w:t>
      </w:r>
      <w:r>
        <w:rPr/>
        <w:t>de</w:t>
      </w:r>
      <w:r>
        <w:rPr>
          <w:spacing w:val="-12"/>
        </w:rPr>
        <w:t> </w:t>
      </w:r>
      <w:r>
        <w:rPr/>
        <w:t>áreas endémicas de Encefalitis Equina en diversos países de América tropical y subtropical especialmente en aquellas áreas de selva húmeda tropical que poseen las condiciones ecológicas, climáticas y ambientales, propicias para el desarrollo y distribución de estos virus. Esto ha sido útil para el establecimiento de las medidas de vigilancia y control en esas zonas. Puede haber otros focos naturales con características similares que aún no hayan sido reconocidos en otras regiones tropicales y subtropicales de América. Sin embargo se cree que el virus se podría encontrar en todas aquellas áreas de selva húmeda tropical. Algunos ejemplos de estas áreas reconocidas son: (a) los focos enzoóticos de ID encontrados en Colombia,</w:t>
      </w:r>
      <w:r>
        <w:rPr>
          <w:spacing w:val="-7"/>
        </w:rPr>
        <w:t> </w:t>
      </w:r>
      <w:r>
        <w:rPr/>
        <w:t>Perú,</w:t>
      </w:r>
      <w:r>
        <w:rPr>
          <w:spacing w:val="-8"/>
        </w:rPr>
        <w:t> </w:t>
      </w:r>
      <w:r>
        <w:rPr/>
        <w:t>Venezuela,</w:t>
      </w:r>
      <w:r>
        <w:rPr>
          <w:spacing w:val="-7"/>
        </w:rPr>
        <w:t> </w:t>
      </w:r>
      <w:r>
        <w:rPr/>
        <w:t>Ecuador</w:t>
      </w:r>
      <w:r>
        <w:rPr>
          <w:spacing w:val="-8"/>
        </w:rPr>
        <w:t> </w:t>
      </w:r>
      <w:r>
        <w:rPr/>
        <w:t>y</w:t>
      </w:r>
      <w:r>
        <w:rPr>
          <w:spacing w:val="-9"/>
        </w:rPr>
        <w:t> </w:t>
      </w:r>
      <w:r>
        <w:rPr/>
        <w:t>Panamá;</w:t>
      </w:r>
      <w:r>
        <w:rPr>
          <w:spacing w:val="-9"/>
        </w:rPr>
        <w:t> </w:t>
      </w:r>
      <w:r>
        <w:rPr/>
        <w:t>(b)</w:t>
      </w:r>
      <w:r>
        <w:rPr>
          <w:spacing w:val="-8"/>
        </w:rPr>
        <w:t> </w:t>
      </w:r>
      <w:r>
        <w:rPr/>
        <w:t>la</w:t>
      </w:r>
      <w:r>
        <w:rPr>
          <w:spacing w:val="-9"/>
        </w:rPr>
        <w:t> </w:t>
      </w:r>
      <w:r>
        <w:rPr/>
        <w:t>presencia</w:t>
      </w:r>
      <w:r>
        <w:rPr>
          <w:spacing w:val="-9"/>
        </w:rPr>
        <w:t> </w:t>
      </w:r>
      <w:r>
        <w:rPr/>
        <w:t>de</w:t>
      </w:r>
      <w:r>
        <w:rPr>
          <w:spacing w:val="-8"/>
        </w:rPr>
        <w:t> </w:t>
      </w:r>
      <w:r>
        <w:rPr/>
        <w:t>las</w:t>
      </w:r>
      <w:r>
        <w:rPr>
          <w:spacing w:val="-7"/>
        </w:rPr>
        <w:t> </w:t>
      </w:r>
      <w:r>
        <w:rPr/>
        <w:t>variantes III A (Mucambo), IV (Pixuna) y IF en Brasil; (c) la circulación del subtipo III B en Surinam y Estados Unidos (d) la variedad IE encontrada en México y Panamá. </w:t>
      </w:r>
      <w:r>
        <w:rPr>
          <w:position w:val="8"/>
          <w:sz w:val="16"/>
        </w:rPr>
        <w:t>(42, </w:t>
      </w:r>
      <w:r>
        <w:rPr>
          <w:sz w:val="16"/>
        </w:rPr>
        <w:t>68, 69, 70, 71, 72,</w:t>
      </w:r>
      <w:r>
        <w:rPr>
          <w:spacing w:val="-8"/>
          <w:sz w:val="16"/>
        </w:rPr>
        <w:t> </w:t>
      </w:r>
      <w:r>
        <w:rPr>
          <w:sz w:val="16"/>
        </w:rPr>
        <w:t>73)</w:t>
      </w:r>
    </w:p>
    <w:p>
      <w:pPr>
        <w:spacing w:after="0" w:line="360" w:lineRule="auto"/>
        <w:jc w:val="both"/>
        <w:rPr>
          <w:sz w:val="16"/>
        </w:rPr>
        <w:sectPr>
          <w:pgSz w:w="12240" w:h="15840"/>
          <w:pgMar w:header="0" w:footer="1108" w:top="1360" w:bottom="1320" w:left="1600" w:right="1580"/>
        </w:sectPr>
      </w:pPr>
    </w:p>
    <w:p>
      <w:pPr>
        <w:pStyle w:val="Heading4"/>
        <w:jc w:val="both"/>
      </w:pPr>
      <w:r>
        <w:rPr/>
        <w:t>II.8.2.1 Vectores enzoóticos</w:t>
      </w:r>
    </w:p>
    <w:p>
      <w:pPr>
        <w:pStyle w:val="BodyText"/>
        <w:rPr>
          <w:b/>
        </w:rPr>
      </w:pPr>
    </w:p>
    <w:p>
      <w:pPr>
        <w:pStyle w:val="BodyText"/>
        <w:rPr>
          <w:b/>
        </w:rPr>
      </w:pPr>
    </w:p>
    <w:p>
      <w:pPr>
        <w:pStyle w:val="BodyText"/>
        <w:spacing w:line="360" w:lineRule="auto"/>
        <w:ind w:left="102" w:right="116"/>
        <w:jc w:val="both"/>
      </w:pPr>
      <w:r>
        <w:rPr/>
        <w:t>El</w:t>
      </w:r>
      <w:r>
        <w:rPr>
          <w:spacing w:val="-5"/>
        </w:rPr>
        <w:t> </w:t>
      </w:r>
      <w:r>
        <w:rPr/>
        <w:t>mayor</w:t>
      </w:r>
      <w:r>
        <w:rPr>
          <w:spacing w:val="-5"/>
        </w:rPr>
        <w:t> </w:t>
      </w:r>
      <w:r>
        <w:rPr/>
        <w:t>impedimento</w:t>
      </w:r>
      <w:r>
        <w:rPr>
          <w:spacing w:val="-6"/>
        </w:rPr>
        <w:t> </w:t>
      </w:r>
      <w:r>
        <w:rPr/>
        <w:t>para</w:t>
      </w:r>
      <w:r>
        <w:rPr>
          <w:spacing w:val="-4"/>
        </w:rPr>
        <w:t> </w:t>
      </w:r>
      <w:r>
        <w:rPr/>
        <w:t>los</w:t>
      </w:r>
      <w:r>
        <w:rPr>
          <w:spacing w:val="-4"/>
        </w:rPr>
        <w:t> </w:t>
      </w:r>
      <w:r>
        <w:rPr/>
        <w:t>estudios</w:t>
      </w:r>
      <w:r>
        <w:rPr>
          <w:spacing w:val="-6"/>
        </w:rPr>
        <w:t> </w:t>
      </w:r>
      <w:r>
        <w:rPr/>
        <w:t>ecológicos</w:t>
      </w:r>
      <w:r>
        <w:rPr>
          <w:spacing w:val="-4"/>
        </w:rPr>
        <w:t> </w:t>
      </w:r>
      <w:r>
        <w:rPr/>
        <w:t>y</w:t>
      </w:r>
      <w:r>
        <w:rPr>
          <w:spacing w:val="-4"/>
        </w:rPr>
        <w:t> </w:t>
      </w:r>
      <w:r>
        <w:rPr/>
        <w:t>epidemiológicos</w:t>
      </w:r>
      <w:r>
        <w:rPr>
          <w:spacing w:val="-4"/>
        </w:rPr>
        <w:t> </w:t>
      </w:r>
      <w:r>
        <w:rPr/>
        <w:t>de</w:t>
      </w:r>
      <w:r>
        <w:rPr>
          <w:spacing w:val="-4"/>
        </w:rPr>
        <w:t> </w:t>
      </w:r>
      <w:r>
        <w:rPr/>
        <w:t>las</w:t>
      </w:r>
      <w:r>
        <w:rPr>
          <w:spacing w:val="-4"/>
        </w:rPr>
        <w:t> </w:t>
      </w:r>
      <w:r>
        <w:rPr/>
        <w:t>cepas enzoóticas del VEEV es la dificultad para identificar y clasificar los mosquitos vectores. La mayoría de los arbovirus circulantes en bosques neotropicales son transmitidos</w:t>
      </w:r>
      <w:r>
        <w:rPr>
          <w:spacing w:val="-10"/>
        </w:rPr>
        <w:t> </w:t>
      </w:r>
      <w:r>
        <w:rPr/>
        <w:t>por</w:t>
      </w:r>
      <w:r>
        <w:rPr>
          <w:spacing w:val="-10"/>
        </w:rPr>
        <w:t> </w:t>
      </w:r>
      <w:r>
        <w:rPr/>
        <w:t>miembros</w:t>
      </w:r>
      <w:r>
        <w:rPr>
          <w:spacing w:val="-10"/>
        </w:rPr>
        <w:t> </w:t>
      </w:r>
      <w:r>
        <w:rPr/>
        <w:t>del</w:t>
      </w:r>
      <w:r>
        <w:rPr>
          <w:spacing w:val="-10"/>
        </w:rPr>
        <w:t> </w:t>
      </w:r>
      <w:r>
        <w:rPr/>
        <w:t>genero</w:t>
      </w:r>
      <w:r>
        <w:rPr>
          <w:spacing w:val="-10"/>
        </w:rPr>
        <w:t> </w:t>
      </w:r>
      <w:r>
        <w:rPr/>
        <w:t>Culex</w:t>
      </w:r>
      <w:r>
        <w:rPr>
          <w:spacing w:val="-12"/>
        </w:rPr>
        <w:t> </w:t>
      </w:r>
      <w:r>
        <w:rPr/>
        <w:t>subgénero</w:t>
      </w:r>
      <w:r>
        <w:rPr>
          <w:spacing w:val="-10"/>
        </w:rPr>
        <w:t> </w:t>
      </w:r>
      <w:r>
        <w:rPr/>
        <w:t>Melanoconion,</w:t>
      </w:r>
      <w:r>
        <w:rPr>
          <w:spacing w:val="-10"/>
        </w:rPr>
        <w:t> </w:t>
      </w:r>
      <w:r>
        <w:rPr/>
        <w:t>un</w:t>
      </w:r>
      <w:r>
        <w:rPr>
          <w:spacing w:val="-11"/>
        </w:rPr>
        <w:t> </w:t>
      </w:r>
      <w:r>
        <w:rPr/>
        <w:t>diverso</w:t>
      </w:r>
      <w:r>
        <w:rPr>
          <w:spacing w:val="-8"/>
        </w:rPr>
        <w:t> </w:t>
      </w:r>
      <w:r>
        <w:rPr/>
        <w:t>y complejo grupo taxonómico que consta de 156 especies reconocidas que se encuentran en los neotrópicos, aunque algunas se pueden encontrar en áreas templadas. Estos están relacionados fenotípicamente con especies similares pero con distinta distribución geográfica. En Guatemala, el vector que se ha</w:t>
      </w:r>
      <w:r>
        <w:rPr>
          <w:spacing w:val="-33"/>
        </w:rPr>
        <w:t> </w:t>
      </w:r>
      <w:r>
        <w:rPr/>
        <w:t>demostrado que participa en la transmisión del subtipo IE VEEV es Culex (Melanoconion) taeniopus (anteriormente Cx. Opisthopus).En Panamá el vector del subtipo ID VEEV es Cx. (Mel.) aikenii sensu lato. En una región de Venezuela tres diferentes especies</w:t>
      </w:r>
      <w:r>
        <w:rPr>
          <w:spacing w:val="-13"/>
        </w:rPr>
        <w:t> </w:t>
      </w:r>
      <w:r>
        <w:rPr/>
        <w:t>de</w:t>
      </w:r>
      <w:r>
        <w:rPr>
          <w:spacing w:val="-13"/>
        </w:rPr>
        <w:t> </w:t>
      </w:r>
      <w:r>
        <w:rPr/>
        <w:t>mosquitos</w:t>
      </w:r>
      <w:r>
        <w:rPr>
          <w:spacing w:val="-14"/>
        </w:rPr>
        <w:t> </w:t>
      </w:r>
      <w:r>
        <w:rPr/>
        <w:t>has</w:t>
      </w:r>
      <w:r>
        <w:rPr>
          <w:spacing w:val="-12"/>
        </w:rPr>
        <w:t> </w:t>
      </w:r>
      <w:r>
        <w:rPr/>
        <w:t>sido</w:t>
      </w:r>
      <w:r>
        <w:rPr>
          <w:spacing w:val="-11"/>
        </w:rPr>
        <w:t> </w:t>
      </w:r>
      <w:r>
        <w:rPr/>
        <w:t>identificados</w:t>
      </w:r>
      <w:r>
        <w:rPr>
          <w:spacing w:val="-14"/>
        </w:rPr>
        <w:t> </w:t>
      </w:r>
      <w:r>
        <w:rPr/>
        <w:t>como</w:t>
      </w:r>
      <w:r>
        <w:rPr>
          <w:spacing w:val="-13"/>
        </w:rPr>
        <w:t> </w:t>
      </w:r>
      <w:r>
        <w:rPr/>
        <w:t>vectores</w:t>
      </w:r>
      <w:r>
        <w:rPr>
          <w:spacing w:val="-11"/>
        </w:rPr>
        <w:t> </w:t>
      </w:r>
      <w:r>
        <w:rPr/>
        <w:t>de</w:t>
      </w:r>
      <w:r>
        <w:rPr>
          <w:spacing w:val="-11"/>
        </w:rPr>
        <w:t> </w:t>
      </w:r>
      <w:r>
        <w:rPr/>
        <w:t>VEEV</w:t>
      </w:r>
      <w:r>
        <w:rPr>
          <w:spacing w:val="-11"/>
        </w:rPr>
        <w:t> </w:t>
      </w:r>
      <w:r>
        <w:rPr/>
        <w:t>ID:</w:t>
      </w:r>
      <w:r>
        <w:rPr>
          <w:spacing w:val="-11"/>
        </w:rPr>
        <w:t> </w:t>
      </w:r>
      <w:r>
        <w:rPr/>
        <w:t>Cx.</w:t>
      </w:r>
      <w:r>
        <w:rPr>
          <w:spacing w:val="-11"/>
        </w:rPr>
        <w:t> </w:t>
      </w:r>
      <w:r>
        <w:rPr/>
        <w:t>(Mel.) vomerifer,</w:t>
      </w:r>
      <w:r>
        <w:rPr>
          <w:spacing w:val="-7"/>
        </w:rPr>
        <w:t> </w:t>
      </w:r>
      <w:r>
        <w:rPr/>
        <w:t>Cx.</w:t>
      </w:r>
      <w:r>
        <w:rPr>
          <w:spacing w:val="-6"/>
        </w:rPr>
        <w:t> </w:t>
      </w:r>
      <w:r>
        <w:rPr/>
        <w:t>(Mel.)</w:t>
      </w:r>
      <w:r>
        <w:rPr>
          <w:spacing w:val="-7"/>
        </w:rPr>
        <w:t> </w:t>
      </w:r>
      <w:r>
        <w:rPr/>
        <w:t>pedroi</w:t>
      </w:r>
      <w:r>
        <w:rPr>
          <w:spacing w:val="-7"/>
        </w:rPr>
        <w:t> </w:t>
      </w:r>
      <w:r>
        <w:rPr/>
        <w:t>y</w:t>
      </w:r>
      <w:r>
        <w:rPr>
          <w:spacing w:val="-9"/>
        </w:rPr>
        <w:t> </w:t>
      </w:r>
      <w:r>
        <w:rPr/>
        <w:t>Cx.</w:t>
      </w:r>
      <w:r>
        <w:rPr>
          <w:spacing w:val="-6"/>
        </w:rPr>
        <w:t> </w:t>
      </w:r>
      <w:r>
        <w:rPr/>
        <w:t>(Mel.)</w:t>
      </w:r>
      <w:r>
        <w:rPr>
          <w:spacing w:val="-7"/>
        </w:rPr>
        <w:t> </w:t>
      </w:r>
      <w:r>
        <w:rPr/>
        <w:t>adamesi.</w:t>
      </w:r>
      <w:r>
        <w:rPr>
          <w:spacing w:val="-7"/>
        </w:rPr>
        <w:t> </w:t>
      </w:r>
      <w:r>
        <w:rPr/>
        <w:t>En</w:t>
      </w:r>
      <w:r>
        <w:rPr>
          <w:spacing w:val="-6"/>
        </w:rPr>
        <w:t> </w:t>
      </w:r>
      <w:r>
        <w:rPr/>
        <w:t>Florida,</w:t>
      </w:r>
      <w:r>
        <w:rPr>
          <w:spacing w:val="-9"/>
        </w:rPr>
        <w:t> </w:t>
      </w:r>
      <w:r>
        <w:rPr/>
        <w:t>el</w:t>
      </w:r>
      <w:r>
        <w:rPr>
          <w:spacing w:val="-7"/>
        </w:rPr>
        <w:t> </w:t>
      </w:r>
      <w:r>
        <w:rPr/>
        <w:t>virus</w:t>
      </w:r>
      <w:r>
        <w:rPr>
          <w:spacing w:val="-7"/>
        </w:rPr>
        <w:t> </w:t>
      </w:r>
      <w:r>
        <w:rPr/>
        <w:t>de</w:t>
      </w:r>
      <w:r>
        <w:rPr>
          <w:spacing w:val="-8"/>
        </w:rPr>
        <w:t> </w:t>
      </w:r>
      <w:r>
        <w:rPr/>
        <w:t>Everglades (complejo del VEEV subtipo II) es transmitido por Cx. (Mel.) cedecei y en Trinidad, Mucambo virus (VEEV subtipo IIIA) es transmitido por Cx. (Mel.) portesi. Especies no pertenecinetes al subgenero Melanoconion , Cx. (Deinocerites) psuedes (anteriormente Deinocerites psuedes) ha demostrado experimentalmente la transmisión del VEEV subtipo ID; </w:t>
      </w:r>
      <w:r>
        <w:rPr>
          <w:color w:val="202020"/>
        </w:rPr>
        <w:t>sin embargo, este estudio se realizó con</w:t>
      </w:r>
      <w:r>
        <w:rPr>
          <w:color w:val="202020"/>
          <w:spacing w:val="-46"/>
        </w:rPr>
        <w:t> </w:t>
      </w:r>
      <w:r>
        <w:rPr>
          <w:color w:val="202020"/>
        </w:rPr>
        <w:t>ingestas de sangre con títulos superiores a los que normalmente presentan los roedores reservorios y por lo tanto sus implicaciones</w:t>
      </w:r>
      <w:r>
        <w:rPr>
          <w:color w:val="202020"/>
          <w:spacing w:val="-46"/>
        </w:rPr>
        <w:t> </w:t>
      </w:r>
      <w:r>
        <w:rPr>
          <w:color w:val="202020"/>
        </w:rPr>
        <w:t>para los ciclos de transmisión naturales son</w:t>
      </w:r>
      <w:r>
        <w:rPr>
          <w:color w:val="202020"/>
          <w:spacing w:val="-7"/>
        </w:rPr>
        <w:t> </w:t>
      </w:r>
      <w:r>
        <w:rPr>
          <w:color w:val="202020"/>
        </w:rPr>
        <w:t>limitados.</w:t>
      </w:r>
    </w:p>
    <w:p>
      <w:pPr>
        <w:pStyle w:val="BodyText"/>
        <w:spacing w:line="360" w:lineRule="auto" w:before="5"/>
        <w:ind w:left="102" w:right="117"/>
        <w:jc w:val="both"/>
      </w:pPr>
      <w:r>
        <w:rPr/>
        <w:t>El subgénero Melanoconion está dividido en dos secciones Melanoconion y Spissipes, este último taxón incluye la mayoría de los vectores de arbovirus neotropicales,</w:t>
      </w:r>
      <w:r>
        <w:rPr>
          <w:spacing w:val="-8"/>
        </w:rPr>
        <w:t> </w:t>
      </w:r>
      <w:r>
        <w:rPr/>
        <w:t>incluyendo</w:t>
      </w:r>
      <w:r>
        <w:rPr>
          <w:spacing w:val="-8"/>
        </w:rPr>
        <w:t> </w:t>
      </w:r>
      <w:r>
        <w:rPr/>
        <w:t>todos</w:t>
      </w:r>
      <w:r>
        <w:rPr>
          <w:spacing w:val="-6"/>
        </w:rPr>
        <w:t> </w:t>
      </w:r>
      <w:r>
        <w:rPr/>
        <w:t>los</w:t>
      </w:r>
      <w:r>
        <w:rPr>
          <w:spacing w:val="-6"/>
        </w:rPr>
        <w:t> </w:t>
      </w:r>
      <w:r>
        <w:rPr/>
        <w:t>vectores</w:t>
      </w:r>
      <w:r>
        <w:rPr>
          <w:spacing w:val="-9"/>
        </w:rPr>
        <w:t> </w:t>
      </w:r>
      <w:r>
        <w:rPr/>
        <w:t>enzoóticos</w:t>
      </w:r>
      <w:r>
        <w:rPr>
          <w:spacing w:val="-6"/>
        </w:rPr>
        <w:t> </w:t>
      </w:r>
      <w:r>
        <w:rPr/>
        <w:t>de</w:t>
      </w:r>
      <w:r>
        <w:rPr>
          <w:spacing w:val="-6"/>
        </w:rPr>
        <w:t> </w:t>
      </w:r>
      <w:r>
        <w:rPr/>
        <w:t>los</w:t>
      </w:r>
      <w:r>
        <w:rPr>
          <w:spacing w:val="-6"/>
        </w:rPr>
        <w:t> </w:t>
      </w:r>
      <w:r>
        <w:rPr/>
        <w:t>complejos</w:t>
      </w:r>
      <w:r>
        <w:rPr>
          <w:spacing w:val="-6"/>
        </w:rPr>
        <w:t> </w:t>
      </w:r>
      <w:r>
        <w:rPr/>
        <w:t>virales</w:t>
      </w:r>
      <w:r>
        <w:rPr>
          <w:spacing w:val="-8"/>
        </w:rPr>
        <w:t> </w:t>
      </w:r>
      <w:r>
        <w:rPr/>
        <w:t>de las encefalitis equinas (EEV, EEE, EEO) en América Latina. La restricción de la mayoría</w:t>
      </w:r>
      <w:r>
        <w:rPr>
          <w:spacing w:val="-9"/>
        </w:rPr>
        <w:t> </w:t>
      </w:r>
      <w:r>
        <w:rPr/>
        <w:t>de</w:t>
      </w:r>
      <w:r>
        <w:rPr>
          <w:spacing w:val="-9"/>
        </w:rPr>
        <w:t> </w:t>
      </w:r>
      <w:r>
        <w:rPr/>
        <w:t>los</w:t>
      </w:r>
      <w:r>
        <w:rPr>
          <w:spacing w:val="-10"/>
        </w:rPr>
        <w:t> </w:t>
      </w:r>
      <w:r>
        <w:rPr/>
        <w:t>vectores</w:t>
      </w:r>
      <w:r>
        <w:rPr>
          <w:spacing w:val="-10"/>
        </w:rPr>
        <w:t> </w:t>
      </w:r>
      <w:r>
        <w:rPr/>
        <w:t>de</w:t>
      </w:r>
      <w:r>
        <w:rPr>
          <w:spacing w:val="-9"/>
        </w:rPr>
        <w:t> </w:t>
      </w:r>
      <w:r>
        <w:rPr/>
        <w:t>arbovirus</w:t>
      </w:r>
      <w:r>
        <w:rPr>
          <w:spacing w:val="-10"/>
        </w:rPr>
        <w:t> </w:t>
      </w:r>
      <w:r>
        <w:rPr/>
        <w:t>Melanoconion</w:t>
      </w:r>
      <w:r>
        <w:rPr>
          <w:spacing w:val="-11"/>
        </w:rPr>
        <w:t> </w:t>
      </w:r>
      <w:r>
        <w:rPr/>
        <w:t>en</w:t>
      </w:r>
      <w:r>
        <w:rPr>
          <w:spacing w:val="-9"/>
        </w:rPr>
        <w:t> </w:t>
      </w:r>
      <w:r>
        <w:rPr/>
        <w:t>la</w:t>
      </w:r>
      <w:r>
        <w:rPr>
          <w:spacing w:val="-10"/>
        </w:rPr>
        <w:t> </w:t>
      </w:r>
      <w:r>
        <w:rPr/>
        <w:t>sección</w:t>
      </w:r>
      <w:r>
        <w:rPr>
          <w:spacing w:val="-9"/>
        </w:rPr>
        <w:t> </w:t>
      </w:r>
      <w:r>
        <w:rPr/>
        <w:t>Spissipes</w:t>
      </w:r>
      <w:r>
        <w:rPr>
          <w:spacing w:val="-10"/>
        </w:rPr>
        <w:t> </w:t>
      </w:r>
      <w:r>
        <w:rPr/>
        <w:t>plantea la cuestión sobre que características genéticas, fisiológicas, y/o ecológicas son compartidas por los miembros de esta sección que los predispone a transmitir arbovirus.</w:t>
      </w:r>
    </w:p>
    <w:p>
      <w:pPr>
        <w:spacing w:after="0" w:line="360" w:lineRule="auto"/>
        <w:jc w:val="both"/>
        <w:sectPr>
          <w:pgSz w:w="12240" w:h="15840"/>
          <w:pgMar w:header="0" w:footer="1108" w:top="1360" w:bottom="1300" w:left="1600" w:right="1580"/>
        </w:sectPr>
      </w:pPr>
    </w:p>
    <w:p>
      <w:pPr>
        <w:pStyle w:val="BodyText"/>
        <w:spacing w:line="360" w:lineRule="auto" w:before="54"/>
        <w:ind w:left="102" w:right="116"/>
        <w:jc w:val="both"/>
      </w:pPr>
      <w:r>
        <w:rPr/>
        <w:t>La ecología de la mayoría de especies Melanoconion es poco conocida, en parte debido a las dificultades taxonómicas asociadas con las hembras adultas. Los estados inmaduros de muchas especies nunca han sido descritos a pesar de los esfuerzos</w:t>
      </w:r>
      <w:r>
        <w:rPr>
          <w:spacing w:val="-6"/>
        </w:rPr>
        <w:t> </w:t>
      </w:r>
      <w:r>
        <w:rPr/>
        <w:t>concertados.</w:t>
      </w:r>
      <w:r>
        <w:rPr>
          <w:spacing w:val="-6"/>
        </w:rPr>
        <w:t> </w:t>
      </w:r>
      <w:r>
        <w:rPr/>
        <w:t>Los</w:t>
      </w:r>
      <w:r>
        <w:rPr>
          <w:spacing w:val="-9"/>
        </w:rPr>
        <w:t> </w:t>
      </w:r>
      <w:r>
        <w:rPr/>
        <w:t>adultos</w:t>
      </w:r>
      <w:r>
        <w:rPr>
          <w:spacing w:val="-6"/>
        </w:rPr>
        <w:t> </w:t>
      </w:r>
      <w:r>
        <w:rPr/>
        <w:t>habitan</w:t>
      </w:r>
      <w:r>
        <w:rPr>
          <w:spacing w:val="-6"/>
        </w:rPr>
        <w:t> </w:t>
      </w:r>
      <w:r>
        <w:rPr/>
        <w:t>principalmente</w:t>
      </w:r>
      <w:r>
        <w:rPr>
          <w:spacing w:val="-8"/>
        </w:rPr>
        <w:t> </w:t>
      </w:r>
      <w:r>
        <w:rPr/>
        <w:t>en</w:t>
      </w:r>
      <w:r>
        <w:rPr>
          <w:spacing w:val="-8"/>
        </w:rPr>
        <w:t> </w:t>
      </w:r>
      <w:r>
        <w:rPr/>
        <w:t>bosques</w:t>
      </w:r>
      <w:r>
        <w:rPr>
          <w:spacing w:val="-6"/>
        </w:rPr>
        <w:t> </w:t>
      </w:r>
      <w:r>
        <w:rPr/>
        <w:t>tropicales</w:t>
      </w:r>
      <w:r>
        <w:rPr>
          <w:spacing w:val="-11"/>
        </w:rPr>
        <w:t> </w:t>
      </w:r>
      <w:r>
        <w:rPr/>
        <w:t>o en pantanos en asociación con plantas acuáticas como Pistia. Muchas hembras adultas,</w:t>
      </w:r>
      <w:r>
        <w:rPr>
          <w:spacing w:val="-14"/>
        </w:rPr>
        <w:t> </w:t>
      </w:r>
      <w:r>
        <w:rPr/>
        <w:t>especialmente</w:t>
      </w:r>
      <w:r>
        <w:rPr>
          <w:spacing w:val="-14"/>
        </w:rPr>
        <w:t> </w:t>
      </w:r>
      <w:r>
        <w:rPr/>
        <w:t>los</w:t>
      </w:r>
      <w:r>
        <w:rPr>
          <w:spacing w:val="-12"/>
        </w:rPr>
        <w:t> </w:t>
      </w:r>
      <w:r>
        <w:rPr/>
        <w:t>vectores</w:t>
      </w:r>
      <w:r>
        <w:rPr>
          <w:spacing w:val="-15"/>
        </w:rPr>
        <w:t> </w:t>
      </w:r>
      <w:r>
        <w:rPr/>
        <w:t>del</w:t>
      </w:r>
      <w:r>
        <w:rPr>
          <w:spacing w:val="-13"/>
        </w:rPr>
        <w:t> </w:t>
      </w:r>
      <w:r>
        <w:rPr/>
        <w:t>VEEV</w:t>
      </w:r>
      <w:r>
        <w:rPr>
          <w:spacing w:val="-14"/>
        </w:rPr>
        <w:t> </w:t>
      </w:r>
      <w:r>
        <w:rPr/>
        <w:t>en</w:t>
      </w:r>
      <w:r>
        <w:rPr>
          <w:spacing w:val="-14"/>
        </w:rPr>
        <w:t> </w:t>
      </w:r>
      <w:r>
        <w:rPr/>
        <w:t>la</w:t>
      </w:r>
      <w:r>
        <w:rPr>
          <w:spacing w:val="-12"/>
        </w:rPr>
        <w:t> </w:t>
      </w:r>
      <w:r>
        <w:rPr/>
        <w:t>sección</w:t>
      </w:r>
      <w:r>
        <w:rPr>
          <w:spacing w:val="-14"/>
        </w:rPr>
        <w:t> </w:t>
      </w:r>
      <w:r>
        <w:rPr/>
        <w:t>Spissipes,</w:t>
      </w:r>
      <w:r>
        <w:rPr>
          <w:spacing w:val="-12"/>
        </w:rPr>
        <w:t> </w:t>
      </w:r>
      <w:r>
        <w:rPr/>
        <w:t>se</w:t>
      </w:r>
      <w:r>
        <w:rPr>
          <w:spacing w:val="-14"/>
        </w:rPr>
        <w:t> </w:t>
      </w:r>
      <w:r>
        <w:rPr/>
        <w:t>alimentan principalmente</w:t>
      </w:r>
      <w:r>
        <w:rPr>
          <w:spacing w:val="-10"/>
        </w:rPr>
        <w:t> </w:t>
      </w:r>
      <w:r>
        <w:rPr/>
        <w:t>de</w:t>
      </w:r>
      <w:r>
        <w:rPr>
          <w:spacing w:val="-10"/>
        </w:rPr>
        <w:t> </w:t>
      </w:r>
      <w:r>
        <w:rPr/>
        <w:t>pequeños</w:t>
      </w:r>
      <w:r>
        <w:rPr>
          <w:spacing w:val="-11"/>
        </w:rPr>
        <w:t> </w:t>
      </w:r>
      <w:r>
        <w:rPr/>
        <w:t>mamíferos</w:t>
      </w:r>
      <w:r>
        <w:rPr>
          <w:spacing w:val="-11"/>
        </w:rPr>
        <w:t> </w:t>
      </w:r>
      <w:r>
        <w:rPr/>
        <w:t>selváticos;</w:t>
      </w:r>
      <w:r>
        <w:rPr>
          <w:spacing w:val="-11"/>
        </w:rPr>
        <w:t> </w:t>
      </w:r>
      <w:r>
        <w:rPr/>
        <w:t>algunas</w:t>
      </w:r>
      <w:r>
        <w:rPr>
          <w:spacing w:val="-14"/>
        </w:rPr>
        <w:t> </w:t>
      </w:r>
      <w:r>
        <w:rPr/>
        <w:t>muestran</w:t>
      </w:r>
      <w:r>
        <w:rPr>
          <w:spacing w:val="-10"/>
        </w:rPr>
        <w:t> </w:t>
      </w:r>
      <w:r>
        <w:rPr/>
        <w:t>una</w:t>
      </w:r>
      <w:r>
        <w:rPr>
          <w:spacing w:val="-8"/>
        </w:rPr>
        <w:t> </w:t>
      </w:r>
      <w:r>
        <w:rPr/>
        <w:t>conducta alimentaria oportunista e ingieren sangre de humanos o animales</w:t>
      </w:r>
      <w:r>
        <w:rPr>
          <w:spacing w:val="-29"/>
        </w:rPr>
        <w:t> </w:t>
      </w:r>
      <w:r>
        <w:rPr/>
        <w:t>domésticos.</w:t>
      </w:r>
    </w:p>
    <w:p>
      <w:pPr>
        <w:pStyle w:val="BodyText"/>
      </w:pPr>
    </w:p>
    <w:p>
      <w:pPr>
        <w:pStyle w:val="BodyText"/>
        <w:spacing w:line="357" w:lineRule="auto" w:before="142"/>
        <w:ind w:left="102" w:right="122"/>
        <w:jc w:val="both"/>
        <w:rPr>
          <w:sz w:val="16"/>
        </w:rPr>
      </w:pPr>
      <w:r>
        <w:rPr/>
        <w:drawing>
          <wp:anchor distT="0" distB="0" distL="0" distR="0" allowOverlap="1" layoutInCell="1" locked="0" behindDoc="0" simplePos="0" relativeHeight="1240">
            <wp:simplePos x="0" y="0"/>
            <wp:positionH relativeFrom="page">
              <wp:posOffset>1080516</wp:posOffset>
            </wp:positionH>
            <wp:positionV relativeFrom="paragraph">
              <wp:posOffset>1203272</wp:posOffset>
            </wp:positionV>
            <wp:extent cx="5269143" cy="4029075"/>
            <wp:effectExtent l="0" t="0" r="0" b="0"/>
            <wp:wrapTopAndBottom/>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36" cstate="print"/>
                    <a:stretch>
                      <a:fillRect/>
                    </a:stretch>
                  </pic:blipFill>
                  <pic:spPr>
                    <a:xfrm>
                      <a:off x="0" y="0"/>
                      <a:ext cx="5269143" cy="4029075"/>
                    </a:xfrm>
                    <a:prstGeom prst="rect">
                      <a:avLst/>
                    </a:prstGeom>
                  </pic:spPr>
                </pic:pic>
              </a:graphicData>
            </a:graphic>
          </wp:anchor>
        </w:drawing>
      </w:r>
      <w:r>
        <w:rPr/>
        <w:t>La</w:t>
      </w:r>
      <w:r>
        <w:rPr>
          <w:spacing w:val="-12"/>
        </w:rPr>
        <w:t> </w:t>
      </w:r>
      <w:r>
        <w:rPr/>
        <w:t>periodicidad</w:t>
      </w:r>
      <w:r>
        <w:rPr>
          <w:spacing w:val="-12"/>
        </w:rPr>
        <w:t> </w:t>
      </w:r>
      <w:r>
        <w:rPr/>
        <w:t>de</w:t>
      </w:r>
      <w:r>
        <w:rPr>
          <w:spacing w:val="-12"/>
        </w:rPr>
        <w:t> </w:t>
      </w:r>
      <w:r>
        <w:rPr/>
        <w:t>la</w:t>
      </w:r>
      <w:r>
        <w:rPr>
          <w:spacing w:val="-12"/>
        </w:rPr>
        <w:t> </w:t>
      </w:r>
      <w:r>
        <w:rPr/>
        <w:t>ingesta</w:t>
      </w:r>
      <w:r>
        <w:rPr>
          <w:spacing w:val="-11"/>
        </w:rPr>
        <w:t> </w:t>
      </w:r>
      <w:r>
        <w:rPr/>
        <w:t>de</w:t>
      </w:r>
      <w:r>
        <w:rPr>
          <w:spacing w:val="-12"/>
        </w:rPr>
        <w:t> </w:t>
      </w:r>
      <w:r>
        <w:rPr/>
        <w:t>sangre</w:t>
      </w:r>
      <w:r>
        <w:rPr>
          <w:spacing w:val="-12"/>
        </w:rPr>
        <w:t> </w:t>
      </w:r>
      <w:r>
        <w:rPr/>
        <w:t>es</w:t>
      </w:r>
      <w:r>
        <w:rPr>
          <w:spacing w:val="-13"/>
        </w:rPr>
        <w:t> </w:t>
      </w:r>
      <w:r>
        <w:rPr/>
        <w:t>generalmente</w:t>
      </w:r>
      <w:r>
        <w:rPr>
          <w:spacing w:val="-12"/>
        </w:rPr>
        <w:t> </w:t>
      </w:r>
      <w:r>
        <w:rPr/>
        <w:t>crepuscular</w:t>
      </w:r>
      <w:r>
        <w:rPr>
          <w:spacing w:val="-13"/>
        </w:rPr>
        <w:t> </w:t>
      </w:r>
      <w:r>
        <w:rPr/>
        <w:t>o</w:t>
      </w:r>
      <w:r>
        <w:rPr>
          <w:spacing w:val="-12"/>
        </w:rPr>
        <w:t> </w:t>
      </w:r>
      <w:r>
        <w:rPr/>
        <w:t>nocturna.</w:t>
      </w:r>
      <w:r>
        <w:rPr>
          <w:spacing w:val="-17"/>
        </w:rPr>
        <w:t> </w:t>
      </w:r>
      <w:r>
        <w:rPr/>
        <w:t>La preferencia por pequeños mamíferos, los hospederos reservorios para la mayoría de los arbovirus, puede ser una factor ecológico que predispone a estos mosquitos para ser vectores eficientes del VEEV.</w:t>
      </w:r>
      <w:r>
        <w:rPr>
          <w:spacing w:val="-43"/>
        </w:rPr>
        <w:t> </w:t>
      </w:r>
      <w:r>
        <w:rPr>
          <w:position w:val="8"/>
          <w:sz w:val="16"/>
        </w:rPr>
        <w:t>(73, 74, 75 ,76, 77, 78, 79)</w:t>
      </w:r>
    </w:p>
    <w:p>
      <w:pPr>
        <w:pStyle w:val="BodyText"/>
        <w:rPr>
          <w:sz w:val="26"/>
        </w:rPr>
      </w:pPr>
    </w:p>
    <w:p>
      <w:pPr>
        <w:pStyle w:val="BodyText"/>
        <w:rPr>
          <w:sz w:val="26"/>
        </w:rPr>
      </w:pPr>
    </w:p>
    <w:p>
      <w:pPr>
        <w:spacing w:before="184"/>
        <w:ind w:left="102" w:right="0" w:firstLine="0"/>
        <w:jc w:val="both"/>
        <w:rPr>
          <w:b/>
          <w:sz w:val="22"/>
        </w:rPr>
      </w:pPr>
      <w:r>
        <w:rPr>
          <w:b/>
          <w:sz w:val="22"/>
        </w:rPr>
        <w:t>Figura 10 Ciclo enzoótico de la EEV.</w:t>
      </w:r>
    </w:p>
    <w:p>
      <w:pPr>
        <w:spacing w:after="0"/>
        <w:jc w:val="both"/>
        <w:rPr>
          <w:sz w:val="22"/>
        </w:rPr>
        <w:sectPr>
          <w:pgSz w:w="12240" w:h="15840"/>
          <w:pgMar w:header="0" w:footer="1108" w:top="1360" w:bottom="1300" w:left="1600" w:right="1580"/>
        </w:sectPr>
      </w:pPr>
    </w:p>
    <w:p>
      <w:pPr>
        <w:pStyle w:val="Heading4"/>
        <w:numPr>
          <w:ilvl w:val="1"/>
          <w:numId w:val="6"/>
        </w:numPr>
        <w:tabs>
          <w:tab w:pos="558" w:val="left" w:leader="none"/>
        </w:tabs>
        <w:spacing w:line="240" w:lineRule="auto" w:before="54" w:after="0"/>
        <w:ind w:left="558" w:right="0" w:hanging="456"/>
        <w:jc w:val="both"/>
      </w:pPr>
      <w:r>
        <w:rPr/>
        <w:t>Origen</w:t>
      </w:r>
      <w:r>
        <w:rPr>
          <w:spacing w:val="-14"/>
        </w:rPr>
        <w:t> </w:t>
      </w:r>
      <w:r>
        <w:rPr/>
        <w:t>de</w:t>
      </w:r>
      <w:r>
        <w:rPr>
          <w:spacing w:val="-16"/>
        </w:rPr>
        <w:t> </w:t>
      </w:r>
      <w:r>
        <w:rPr/>
        <w:t>las</w:t>
      </w:r>
      <w:r>
        <w:rPr>
          <w:spacing w:val="-16"/>
        </w:rPr>
        <w:t> </w:t>
      </w:r>
      <w:r>
        <w:rPr/>
        <w:t>cepas</w:t>
      </w:r>
      <w:r>
        <w:rPr>
          <w:spacing w:val="-16"/>
        </w:rPr>
        <w:t> </w:t>
      </w:r>
      <w:r>
        <w:rPr/>
        <w:t>epizoóticas</w:t>
      </w:r>
      <w:r>
        <w:rPr>
          <w:spacing w:val="-13"/>
        </w:rPr>
        <w:t> </w:t>
      </w:r>
      <w:r>
        <w:rPr/>
        <w:t>y</w:t>
      </w:r>
      <w:r>
        <w:rPr>
          <w:spacing w:val="-20"/>
        </w:rPr>
        <w:t> </w:t>
      </w:r>
      <w:r>
        <w:rPr/>
        <w:t>determinantes</w:t>
      </w:r>
      <w:r>
        <w:rPr>
          <w:spacing w:val="-15"/>
        </w:rPr>
        <w:t> </w:t>
      </w:r>
      <w:r>
        <w:rPr/>
        <w:t>de</w:t>
      </w:r>
      <w:r>
        <w:rPr>
          <w:spacing w:val="-16"/>
        </w:rPr>
        <w:t> </w:t>
      </w:r>
      <w:r>
        <w:rPr/>
        <w:t>emergencia</w:t>
      </w:r>
      <w:r>
        <w:rPr>
          <w:spacing w:val="-13"/>
        </w:rPr>
        <w:t> </w:t>
      </w:r>
      <w:r>
        <w:rPr/>
        <w:t>de</w:t>
      </w:r>
      <w:r>
        <w:rPr>
          <w:spacing w:val="-13"/>
        </w:rPr>
        <w:t> </w:t>
      </w:r>
      <w:r>
        <w:rPr/>
        <w:t>la</w:t>
      </w:r>
      <w:r>
        <w:rPr>
          <w:spacing w:val="-16"/>
        </w:rPr>
        <w:t> </w:t>
      </w:r>
      <w:r>
        <w:rPr/>
        <w:t>EEV.</w:t>
      </w:r>
    </w:p>
    <w:p>
      <w:pPr>
        <w:pStyle w:val="BodyText"/>
        <w:rPr>
          <w:b/>
        </w:rPr>
      </w:pPr>
    </w:p>
    <w:p>
      <w:pPr>
        <w:pStyle w:val="BodyText"/>
        <w:rPr>
          <w:b/>
        </w:rPr>
      </w:pPr>
    </w:p>
    <w:p>
      <w:pPr>
        <w:pStyle w:val="BodyText"/>
        <w:spacing w:line="360" w:lineRule="auto"/>
        <w:ind w:left="102" w:right="116"/>
        <w:jc w:val="both"/>
      </w:pPr>
      <w:r>
        <w:rPr/>
        <w:t>Debido a la naturaleza esporádica de los brotes de EEV, el origen de los subtipos IAB y IC han sido un importante tema de investigación. Johnson y Martin propusieron cinco hipótesis para explicar los orígenes de las cepas epizoóticas:</w:t>
      </w:r>
    </w:p>
    <w:p>
      <w:pPr>
        <w:pStyle w:val="BodyText"/>
        <w:spacing w:line="360" w:lineRule="auto" w:before="5"/>
        <w:ind w:left="102" w:right="121"/>
        <w:jc w:val="both"/>
      </w:pPr>
      <w:r>
        <w:rPr/>
        <w:t>a) mantenimiento de las cepas epizoóticas en ciclos de transmisión continua, b) mantenimiento de las cepas epizoóticas en equinos latentes o en otras infecciones animales, c) reemergencia de virus epizoóticos seguido de la administración de vacunas inactivadas inadecuadamente, d) mantenimiento de las cepas epizoóticas como subpoblaciones de minorías dentro de las poblaciones enzoóticas y e) emergencia periódica de virus epizoóticos vía mutaciones de cepas enzoóticas.</w:t>
      </w:r>
    </w:p>
    <w:p>
      <w:pPr>
        <w:pStyle w:val="BodyText"/>
        <w:spacing w:line="360" w:lineRule="auto" w:before="5"/>
        <w:ind w:left="102" w:right="119"/>
        <w:jc w:val="both"/>
      </w:pPr>
      <w:r>
        <w:rPr/>
        <w:t>, pero la evidencia respalda solamente dos. La primera hipótesis es que los virus epizoóticos remergieron debido a la administración de vacunas inactivadas inadecuadamente. En apoyo a esta hipótesis, estudios genéticos de las cepas IAB aisladas durante brotes recientes </w:t>
      </w:r>
      <w:r>
        <w:rPr>
          <w:position w:val="8"/>
          <w:sz w:val="16"/>
        </w:rPr>
        <w:t>(80, 81, 82) </w:t>
      </w:r>
      <w:r>
        <w:rPr/>
        <w:t>sugieren que algunos de los brotes recientes pueden haber sido causados por preparaciones vacunales que no fueron inactivadas apropiadamente. Sin embargo, esta hipótesis no explica la ocurrencia de los brotes recientes de EEV que involucran los subtipos IC y IE, que nos son empleados para la elaboración de vacunas.</w:t>
      </w:r>
    </w:p>
    <w:p>
      <w:pPr>
        <w:pStyle w:val="BodyText"/>
        <w:spacing w:line="357" w:lineRule="auto" w:before="5"/>
        <w:ind w:left="102" w:right="106"/>
        <w:rPr>
          <w:sz w:val="16"/>
        </w:rPr>
      </w:pPr>
      <w:r>
        <w:rPr/>
        <w:t>La segunda hipótesis es que las cepas epizoóticas periódicamente emergieron por mutaciones de cepas enzoóticas. En apoyo a esta hipótesis, estudios genéticos utilizando la técnica de la huella genética </w:t>
      </w:r>
      <w:r>
        <w:rPr>
          <w:position w:val="8"/>
          <w:sz w:val="16"/>
        </w:rPr>
        <w:t>(83) </w:t>
      </w:r>
      <w:r>
        <w:rPr/>
        <w:t>y secuenciamiento de cepas epizoóticas y enzoóticas del VEEV </w:t>
      </w:r>
      <w:r>
        <w:rPr>
          <w:position w:val="8"/>
          <w:sz w:val="16"/>
        </w:rPr>
        <w:t>(84) </w:t>
      </w:r>
      <w:r>
        <w:rPr/>
        <w:t>sugieren que los subtipos IAB y IC evolucionaron de los subtipos ID. Cuando el complejo de la EEV fue sometido a análisis filogenéticos, la evidencia hallada fue que los subtipos IAB y IC evolucionaron</w:t>
      </w:r>
      <w:r>
        <w:rPr>
          <w:spacing w:val="-11"/>
        </w:rPr>
        <w:t> </w:t>
      </w:r>
      <w:r>
        <w:rPr/>
        <w:t>al</w:t>
      </w:r>
      <w:r>
        <w:rPr>
          <w:spacing w:val="-12"/>
        </w:rPr>
        <w:t> </w:t>
      </w:r>
      <w:r>
        <w:rPr/>
        <w:t>menos</w:t>
      </w:r>
      <w:r>
        <w:rPr>
          <w:spacing w:val="-9"/>
        </w:rPr>
        <w:t> </w:t>
      </w:r>
      <w:r>
        <w:rPr/>
        <w:t>tres</w:t>
      </w:r>
      <w:r>
        <w:rPr>
          <w:spacing w:val="-9"/>
        </w:rPr>
        <w:t> </w:t>
      </w:r>
      <w:r>
        <w:rPr/>
        <w:t>veces</w:t>
      </w:r>
      <w:r>
        <w:rPr>
          <w:spacing w:val="-9"/>
        </w:rPr>
        <w:t> </w:t>
      </w:r>
      <w:r>
        <w:rPr/>
        <w:t>de</w:t>
      </w:r>
      <w:r>
        <w:rPr>
          <w:spacing w:val="-11"/>
        </w:rPr>
        <w:t> </w:t>
      </w:r>
      <w:r>
        <w:rPr/>
        <w:t>uno</w:t>
      </w:r>
      <w:r>
        <w:rPr>
          <w:spacing w:val="-8"/>
        </w:rPr>
        <w:t> </w:t>
      </w:r>
      <w:r>
        <w:rPr/>
        <w:t>de</w:t>
      </w:r>
      <w:r>
        <w:rPr>
          <w:spacing w:val="-11"/>
        </w:rPr>
        <w:t> </w:t>
      </w:r>
      <w:r>
        <w:rPr/>
        <w:t>los</w:t>
      </w:r>
      <w:r>
        <w:rPr>
          <w:spacing w:val="-9"/>
        </w:rPr>
        <w:t> </w:t>
      </w:r>
      <w:r>
        <w:rPr/>
        <w:t>más</w:t>
      </w:r>
      <w:r>
        <w:rPr>
          <w:spacing w:val="-12"/>
        </w:rPr>
        <w:t> </w:t>
      </w:r>
      <w:r>
        <w:rPr/>
        <w:t>grandes</w:t>
      </w:r>
      <w:r>
        <w:rPr>
          <w:spacing w:val="-9"/>
        </w:rPr>
        <w:t> </w:t>
      </w:r>
      <w:r>
        <w:rPr/>
        <w:t>linajes,</w:t>
      </w:r>
      <w:r>
        <w:rPr>
          <w:spacing w:val="-9"/>
        </w:rPr>
        <w:t> </w:t>
      </w:r>
      <w:r>
        <w:rPr/>
        <w:t>el</w:t>
      </w:r>
      <w:r>
        <w:rPr>
          <w:spacing w:val="-10"/>
        </w:rPr>
        <w:t> </w:t>
      </w:r>
      <w:r>
        <w:rPr/>
        <w:t>subtipo</w:t>
      </w:r>
      <w:r>
        <w:rPr>
          <w:spacing w:val="-11"/>
        </w:rPr>
        <w:t> </w:t>
      </w:r>
      <w:r>
        <w:rPr/>
        <w:t>ID, que ocurrió en Colombia, Venezuela occidental y en el norte de Perú. </w:t>
      </w:r>
      <w:r>
        <w:rPr>
          <w:position w:val="8"/>
          <w:sz w:val="16"/>
        </w:rPr>
        <w:t>(44, 85,86) </w:t>
      </w:r>
      <w:r>
        <w:rPr/>
        <w:t>Fuerte</w:t>
      </w:r>
      <w:r>
        <w:rPr>
          <w:spacing w:val="-12"/>
        </w:rPr>
        <w:t> </w:t>
      </w:r>
      <w:r>
        <w:rPr/>
        <w:t>evidencia</w:t>
      </w:r>
      <w:r>
        <w:rPr>
          <w:spacing w:val="-12"/>
        </w:rPr>
        <w:t> </w:t>
      </w:r>
      <w:r>
        <w:rPr/>
        <w:t>que</w:t>
      </w:r>
      <w:r>
        <w:rPr>
          <w:spacing w:val="-12"/>
        </w:rPr>
        <w:t> </w:t>
      </w:r>
      <w:r>
        <w:rPr/>
        <w:t>sugiere</w:t>
      </w:r>
      <w:r>
        <w:rPr>
          <w:spacing w:val="-12"/>
        </w:rPr>
        <w:t> </w:t>
      </w:r>
      <w:r>
        <w:rPr/>
        <w:t>que</w:t>
      </w:r>
      <w:r>
        <w:rPr>
          <w:spacing w:val="-12"/>
        </w:rPr>
        <w:t> </w:t>
      </w:r>
      <w:r>
        <w:rPr/>
        <w:t>las</w:t>
      </w:r>
      <w:r>
        <w:rPr>
          <w:spacing w:val="-12"/>
        </w:rPr>
        <w:t> </w:t>
      </w:r>
      <w:r>
        <w:rPr/>
        <w:t>cepas</w:t>
      </w:r>
      <w:r>
        <w:rPr>
          <w:spacing w:val="-13"/>
        </w:rPr>
        <w:t> </w:t>
      </w:r>
      <w:r>
        <w:rPr/>
        <w:t>epizoóticas</w:t>
      </w:r>
      <w:r>
        <w:rPr>
          <w:spacing w:val="-13"/>
        </w:rPr>
        <w:t> </w:t>
      </w:r>
      <w:r>
        <w:rPr/>
        <w:t>emergieron</w:t>
      </w:r>
      <w:r>
        <w:rPr>
          <w:spacing w:val="-12"/>
        </w:rPr>
        <w:t> </w:t>
      </w:r>
      <w:r>
        <w:rPr/>
        <w:t>de</w:t>
      </w:r>
      <w:r>
        <w:rPr>
          <w:spacing w:val="-12"/>
        </w:rPr>
        <w:t> </w:t>
      </w:r>
      <w:r>
        <w:rPr/>
        <w:t>progenitores enzoóticos proviene de los aislamientos del subtipo IC durante la epizootia en Venezuela en 1992, que tiene solamente siete aminoácidos diferentes en comparación con el subtipo ID aislado en la misma región en 1997. </w:t>
      </w:r>
      <w:r>
        <w:rPr>
          <w:position w:val="8"/>
          <w:sz w:val="16"/>
        </w:rPr>
        <w:t>(33,</w:t>
      </w:r>
      <w:r>
        <w:rPr>
          <w:spacing w:val="-17"/>
          <w:position w:val="8"/>
          <w:sz w:val="16"/>
        </w:rPr>
        <w:t> </w:t>
      </w:r>
      <w:r>
        <w:rPr>
          <w:position w:val="8"/>
          <w:sz w:val="16"/>
        </w:rPr>
        <w:t>87)</w:t>
      </w:r>
    </w:p>
    <w:p>
      <w:pPr>
        <w:spacing w:after="0" w:line="357" w:lineRule="auto"/>
        <w:rPr>
          <w:sz w:val="16"/>
        </w:rPr>
        <w:sectPr>
          <w:footerReference w:type="default" r:id="rId37"/>
          <w:pgSz w:w="12240" w:h="15840"/>
          <w:pgMar w:footer="1034" w:header="0" w:top="1360" w:bottom="1220" w:left="1600" w:right="1580"/>
        </w:sectPr>
      </w:pPr>
    </w:p>
    <w:p>
      <w:pPr>
        <w:pStyle w:val="BodyText"/>
        <w:spacing w:line="357" w:lineRule="auto" w:before="54"/>
        <w:ind w:left="102" w:right="106"/>
        <w:jc w:val="both"/>
        <w:rPr>
          <w:sz w:val="16"/>
        </w:rPr>
      </w:pPr>
      <w:r>
        <w:rPr/>
        <w:t>Una mutación puntual en la glicoproteína de envoltura E2 fue identificada como la responsable de la generación de altos títulos en los equinos así como del subtipo epidémico IC. </w:t>
      </w:r>
      <w:r>
        <w:rPr>
          <w:position w:val="8"/>
          <w:sz w:val="16"/>
        </w:rPr>
        <w:t>(88)</w:t>
      </w:r>
    </w:p>
    <w:p>
      <w:pPr>
        <w:pStyle w:val="BodyText"/>
        <w:spacing w:line="357" w:lineRule="auto" w:before="4"/>
        <w:ind w:left="102" w:right="99"/>
        <w:jc w:val="both"/>
        <w:rPr>
          <w:sz w:val="16"/>
        </w:rPr>
      </w:pPr>
      <w:r>
        <w:rPr/>
        <w:t>Adicionalmente,</w:t>
      </w:r>
      <w:r>
        <w:rPr>
          <w:spacing w:val="-13"/>
        </w:rPr>
        <w:t> </w:t>
      </w:r>
      <w:r>
        <w:rPr/>
        <w:t>la</w:t>
      </w:r>
      <w:r>
        <w:rPr>
          <w:spacing w:val="-13"/>
        </w:rPr>
        <w:t> </w:t>
      </w:r>
      <w:r>
        <w:rPr/>
        <w:t>evidencia</w:t>
      </w:r>
      <w:r>
        <w:rPr>
          <w:spacing w:val="-13"/>
        </w:rPr>
        <w:t> </w:t>
      </w:r>
      <w:r>
        <w:rPr/>
        <w:t>sugiere</w:t>
      </w:r>
      <w:r>
        <w:rPr>
          <w:spacing w:val="-11"/>
        </w:rPr>
        <w:t> </w:t>
      </w:r>
      <w:r>
        <w:rPr/>
        <w:t>que</w:t>
      </w:r>
      <w:r>
        <w:rPr>
          <w:spacing w:val="-13"/>
        </w:rPr>
        <w:t> </w:t>
      </w:r>
      <w:r>
        <w:rPr/>
        <w:t>el</w:t>
      </w:r>
      <w:r>
        <w:rPr>
          <w:spacing w:val="-14"/>
        </w:rPr>
        <w:t> </w:t>
      </w:r>
      <w:r>
        <w:rPr/>
        <w:t>subtipo</w:t>
      </w:r>
      <w:r>
        <w:rPr>
          <w:spacing w:val="-13"/>
        </w:rPr>
        <w:t> </w:t>
      </w:r>
      <w:r>
        <w:rPr/>
        <w:t>avirulento</w:t>
      </w:r>
      <w:r>
        <w:rPr>
          <w:spacing w:val="-13"/>
        </w:rPr>
        <w:t> </w:t>
      </w:r>
      <w:r>
        <w:rPr/>
        <w:t>IE</w:t>
      </w:r>
      <w:r>
        <w:rPr>
          <w:spacing w:val="-13"/>
        </w:rPr>
        <w:t> </w:t>
      </w:r>
      <w:r>
        <w:rPr/>
        <w:t>es</w:t>
      </w:r>
      <w:r>
        <w:rPr>
          <w:spacing w:val="-14"/>
        </w:rPr>
        <w:t> </w:t>
      </w:r>
      <w:r>
        <w:rPr/>
        <w:t>el</w:t>
      </w:r>
      <w:r>
        <w:rPr>
          <w:spacing w:val="-14"/>
        </w:rPr>
        <w:t> </w:t>
      </w:r>
      <w:r>
        <w:rPr/>
        <w:t>progenitor</w:t>
      </w:r>
      <w:r>
        <w:rPr>
          <w:spacing w:val="-12"/>
        </w:rPr>
        <w:t> </w:t>
      </w:r>
      <w:r>
        <w:rPr/>
        <w:t>del subtipo IE virulento para los equinos aislado durante las epizootias de 1993 y 1996 </w:t>
      </w:r>
      <w:r>
        <w:rPr>
          <w:position w:val="-7"/>
        </w:rPr>
        <w:t>en México.  </w:t>
      </w:r>
      <w:r>
        <w:rPr>
          <w:sz w:val="16"/>
        </w:rPr>
        <w:t>(89, 90,</w:t>
      </w:r>
      <w:r>
        <w:rPr>
          <w:spacing w:val="-6"/>
          <w:sz w:val="16"/>
        </w:rPr>
        <w:t> </w:t>
      </w:r>
      <w:r>
        <w:rPr>
          <w:sz w:val="16"/>
        </w:rPr>
        <w:t>91)</w:t>
      </w:r>
    </w:p>
    <w:p>
      <w:pPr>
        <w:pStyle w:val="BodyText"/>
        <w:spacing w:line="357" w:lineRule="auto" w:before="1"/>
        <w:ind w:left="102" w:right="105"/>
        <w:jc w:val="both"/>
        <w:rPr>
          <w:sz w:val="16"/>
        </w:rPr>
      </w:pPr>
      <w:r>
        <w:rPr/>
        <w:t>La adaptación de los mosquitos vectores puede jugar un rol importante en la emergencia de la EEV, ya que los vectores implicados durante los brotes son diferentes de aquellos que transmiten las cepas enzoóticas. </w:t>
      </w:r>
      <w:r>
        <w:rPr>
          <w:position w:val="8"/>
          <w:sz w:val="16"/>
        </w:rPr>
        <w:t>(33)</w:t>
      </w:r>
    </w:p>
    <w:p>
      <w:pPr>
        <w:pStyle w:val="BodyText"/>
        <w:spacing w:before="3"/>
        <w:rPr>
          <w:sz w:val="36"/>
        </w:rPr>
      </w:pPr>
    </w:p>
    <w:p>
      <w:pPr>
        <w:pStyle w:val="Heading4"/>
        <w:numPr>
          <w:ilvl w:val="2"/>
          <w:numId w:val="7"/>
        </w:numPr>
        <w:tabs>
          <w:tab w:pos="707" w:val="left" w:leader="none"/>
        </w:tabs>
        <w:spacing w:line="240" w:lineRule="auto" w:before="0" w:after="0"/>
        <w:ind w:left="706" w:right="0" w:hanging="604"/>
        <w:jc w:val="both"/>
      </w:pPr>
      <w:r>
        <w:rPr/>
        <w:t>Adaptación de las cepas enzoóticas a los</w:t>
      </w:r>
      <w:r>
        <w:rPr>
          <w:spacing w:val="-18"/>
        </w:rPr>
        <w:t> </w:t>
      </w:r>
      <w:r>
        <w:rPr/>
        <w:t>equinos</w:t>
      </w:r>
    </w:p>
    <w:p>
      <w:pPr>
        <w:pStyle w:val="BodyText"/>
        <w:rPr>
          <w:b/>
        </w:rPr>
      </w:pPr>
    </w:p>
    <w:p>
      <w:pPr>
        <w:pStyle w:val="BodyText"/>
        <w:rPr>
          <w:b/>
        </w:rPr>
      </w:pPr>
    </w:p>
    <w:p>
      <w:pPr>
        <w:pStyle w:val="BodyText"/>
        <w:spacing w:line="360" w:lineRule="auto"/>
        <w:ind w:left="102" w:right="102"/>
        <w:jc w:val="both"/>
        <w:rPr>
          <w:sz w:val="16"/>
        </w:rPr>
      </w:pPr>
      <w:r>
        <w:rPr/>
        <w:t>Los</w:t>
      </w:r>
      <w:r>
        <w:rPr>
          <w:spacing w:val="-18"/>
        </w:rPr>
        <w:t> </w:t>
      </w:r>
      <w:r>
        <w:rPr/>
        <w:t>mosquitos</w:t>
      </w:r>
      <w:r>
        <w:rPr>
          <w:spacing w:val="-18"/>
        </w:rPr>
        <w:t> </w:t>
      </w:r>
      <w:r>
        <w:rPr/>
        <w:t>vectores</w:t>
      </w:r>
      <w:r>
        <w:rPr>
          <w:spacing w:val="-16"/>
        </w:rPr>
        <w:t> </w:t>
      </w:r>
      <w:r>
        <w:rPr/>
        <w:t>epizoóticos</w:t>
      </w:r>
      <w:r>
        <w:rPr>
          <w:spacing w:val="-18"/>
        </w:rPr>
        <w:t> </w:t>
      </w:r>
      <w:r>
        <w:rPr/>
        <w:t>generalmente</w:t>
      </w:r>
      <w:r>
        <w:rPr>
          <w:spacing w:val="-17"/>
        </w:rPr>
        <w:t> </w:t>
      </w:r>
      <w:r>
        <w:rPr/>
        <w:t>no</w:t>
      </w:r>
      <w:r>
        <w:rPr>
          <w:spacing w:val="-15"/>
        </w:rPr>
        <w:t> </w:t>
      </w:r>
      <w:r>
        <w:rPr/>
        <w:t>son</w:t>
      </w:r>
      <w:r>
        <w:rPr>
          <w:spacing w:val="-15"/>
        </w:rPr>
        <w:t> </w:t>
      </w:r>
      <w:r>
        <w:rPr/>
        <w:t>susceptibles</w:t>
      </w:r>
      <w:r>
        <w:rPr>
          <w:spacing w:val="-16"/>
        </w:rPr>
        <w:t> </w:t>
      </w:r>
      <w:r>
        <w:rPr/>
        <w:t>a</w:t>
      </w:r>
      <w:r>
        <w:rPr>
          <w:spacing w:val="-17"/>
        </w:rPr>
        <w:t> </w:t>
      </w:r>
      <w:r>
        <w:rPr/>
        <w:t>la</w:t>
      </w:r>
      <w:r>
        <w:rPr>
          <w:spacing w:val="-15"/>
        </w:rPr>
        <w:t> </w:t>
      </w:r>
      <w:r>
        <w:rPr/>
        <w:t>infección con dosis bajas de cepas epizoóticas del VEEV, por lo tanto la magnitud de la viremia en los equinos es un factor determinante para la infección del vector, la transmisión y ya dispersión durante las epizootias. Estudios realizados anteriormente</w:t>
      </w:r>
      <w:r>
        <w:rPr>
          <w:spacing w:val="-19"/>
        </w:rPr>
        <w:t> </w:t>
      </w:r>
      <w:r>
        <w:rPr/>
        <w:t>en</w:t>
      </w:r>
      <w:r>
        <w:rPr>
          <w:spacing w:val="-19"/>
        </w:rPr>
        <w:t> </w:t>
      </w:r>
      <w:r>
        <w:rPr/>
        <w:t>los</w:t>
      </w:r>
      <w:r>
        <w:rPr>
          <w:spacing w:val="-17"/>
        </w:rPr>
        <w:t> </w:t>
      </w:r>
      <w:r>
        <w:rPr/>
        <w:t>que</w:t>
      </w:r>
      <w:r>
        <w:rPr>
          <w:spacing w:val="-17"/>
        </w:rPr>
        <w:t> </w:t>
      </w:r>
      <w:r>
        <w:rPr/>
        <w:t>se</w:t>
      </w:r>
      <w:r>
        <w:rPr>
          <w:spacing w:val="-17"/>
        </w:rPr>
        <w:t> </w:t>
      </w:r>
      <w:r>
        <w:rPr/>
        <w:t>infectó</w:t>
      </w:r>
      <w:r>
        <w:rPr>
          <w:spacing w:val="-18"/>
        </w:rPr>
        <w:t> </w:t>
      </w:r>
      <w:r>
        <w:rPr/>
        <w:t>equinos</w:t>
      </w:r>
      <w:r>
        <w:rPr>
          <w:spacing w:val="-17"/>
        </w:rPr>
        <w:t> </w:t>
      </w:r>
      <w:r>
        <w:rPr/>
        <w:t>con</w:t>
      </w:r>
      <w:r>
        <w:rPr>
          <w:spacing w:val="-17"/>
        </w:rPr>
        <w:t> </w:t>
      </w:r>
      <w:r>
        <w:rPr/>
        <w:t>cepas</w:t>
      </w:r>
      <w:r>
        <w:rPr>
          <w:spacing w:val="-20"/>
        </w:rPr>
        <w:t> </w:t>
      </w:r>
      <w:r>
        <w:rPr/>
        <w:t>aisladas</w:t>
      </w:r>
      <w:r>
        <w:rPr>
          <w:spacing w:val="-20"/>
        </w:rPr>
        <w:t> </w:t>
      </w:r>
      <w:r>
        <w:rPr/>
        <w:t>en</w:t>
      </w:r>
      <w:r>
        <w:rPr>
          <w:spacing w:val="-19"/>
        </w:rPr>
        <w:t> </w:t>
      </w:r>
      <w:r>
        <w:rPr/>
        <w:t>diferentes</w:t>
      </w:r>
      <w:r>
        <w:rPr>
          <w:spacing w:val="-20"/>
        </w:rPr>
        <w:t> </w:t>
      </w:r>
      <w:r>
        <w:rPr/>
        <w:t>brotes, encontraron</w:t>
      </w:r>
      <w:r>
        <w:rPr>
          <w:spacing w:val="-11"/>
        </w:rPr>
        <w:t> </w:t>
      </w:r>
      <w:r>
        <w:rPr/>
        <w:t>una</w:t>
      </w:r>
      <w:r>
        <w:rPr>
          <w:spacing w:val="-12"/>
        </w:rPr>
        <w:t> </w:t>
      </w:r>
      <w:r>
        <w:rPr/>
        <w:t>estrecha</w:t>
      </w:r>
      <w:r>
        <w:rPr>
          <w:spacing w:val="-9"/>
        </w:rPr>
        <w:t> </w:t>
      </w:r>
      <w:r>
        <w:rPr/>
        <w:t>correlación</w:t>
      </w:r>
      <w:r>
        <w:rPr>
          <w:spacing w:val="-12"/>
        </w:rPr>
        <w:t> </w:t>
      </w:r>
      <w:r>
        <w:rPr/>
        <w:t>entre</w:t>
      </w:r>
      <w:r>
        <w:rPr>
          <w:spacing w:val="-12"/>
        </w:rPr>
        <w:t> </w:t>
      </w:r>
      <w:r>
        <w:rPr/>
        <w:t>la</w:t>
      </w:r>
      <w:r>
        <w:rPr>
          <w:spacing w:val="-14"/>
        </w:rPr>
        <w:t> </w:t>
      </w:r>
      <w:r>
        <w:rPr/>
        <w:t>magnitud</w:t>
      </w:r>
      <w:r>
        <w:rPr>
          <w:spacing w:val="-12"/>
        </w:rPr>
        <w:t> </w:t>
      </w:r>
      <w:r>
        <w:rPr/>
        <w:t>de</w:t>
      </w:r>
      <w:r>
        <w:rPr>
          <w:spacing w:val="-12"/>
        </w:rPr>
        <w:t> </w:t>
      </w:r>
      <w:r>
        <w:rPr/>
        <w:t>la</w:t>
      </w:r>
      <w:r>
        <w:rPr>
          <w:spacing w:val="-12"/>
        </w:rPr>
        <w:t> </w:t>
      </w:r>
      <w:r>
        <w:rPr/>
        <w:t>viremia</w:t>
      </w:r>
      <w:r>
        <w:rPr>
          <w:spacing w:val="-12"/>
        </w:rPr>
        <w:t> </w:t>
      </w:r>
      <w:r>
        <w:rPr/>
        <w:t>en</w:t>
      </w:r>
      <w:r>
        <w:rPr>
          <w:spacing w:val="-9"/>
        </w:rPr>
        <w:t> </w:t>
      </w:r>
      <w:r>
        <w:rPr/>
        <w:t>los</w:t>
      </w:r>
      <w:r>
        <w:rPr>
          <w:spacing w:val="-13"/>
        </w:rPr>
        <w:t> </w:t>
      </w:r>
      <w:r>
        <w:rPr/>
        <w:t>equinos y el tamaño de la epizootia. </w:t>
      </w:r>
      <w:r>
        <w:rPr>
          <w:position w:val="8"/>
          <w:sz w:val="16"/>
        </w:rPr>
        <w:t>(92,</w:t>
      </w:r>
      <w:r>
        <w:rPr>
          <w:spacing w:val="-9"/>
          <w:position w:val="8"/>
          <w:sz w:val="16"/>
        </w:rPr>
        <w:t> </w:t>
      </w:r>
      <w:r>
        <w:rPr>
          <w:position w:val="8"/>
          <w:sz w:val="16"/>
        </w:rPr>
        <w:t>93)</w:t>
      </w:r>
    </w:p>
    <w:p>
      <w:pPr>
        <w:pStyle w:val="BodyText"/>
        <w:spacing w:before="1"/>
      </w:pPr>
    </w:p>
    <w:p>
      <w:pPr>
        <w:pStyle w:val="BodyText"/>
        <w:spacing w:line="360" w:lineRule="auto"/>
        <w:ind w:left="102" w:right="99"/>
        <w:jc w:val="both"/>
      </w:pPr>
      <w:r>
        <w:rPr/>
        <w:t>Las mutaciones responsables de la emergencia del fenotipo epizoótico fueron probadas utilizando clones cDNA infecciosos para generar quimeras virales. Las primeras quimeras virales se derivaron del subtipo enzoótico IE y el subtipo epizoótico IAB debido a su diferente virulencia en cobayos. Los cobayos son un modelo</w:t>
      </w:r>
      <w:r>
        <w:rPr>
          <w:spacing w:val="-10"/>
        </w:rPr>
        <w:t> </w:t>
      </w:r>
      <w:r>
        <w:rPr/>
        <w:t>animal</w:t>
      </w:r>
      <w:r>
        <w:rPr>
          <w:spacing w:val="-11"/>
        </w:rPr>
        <w:t> </w:t>
      </w:r>
      <w:r>
        <w:rPr/>
        <w:t>pequeño</w:t>
      </w:r>
      <w:r>
        <w:rPr>
          <w:spacing w:val="-9"/>
        </w:rPr>
        <w:t> </w:t>
      </w:r>
      <w:r>
        <w:rPr/>
        <w:t>que</w:t>
      </w:r>
      <w:r>
        <w:rPr>
          <w:spacing w:val="-9"/>
        </w:rPr>
        <w:t> </w:t>
      </w:r>
      <w:r>
        <w:rPr/>
        <w:t>se</w:t>
      </w:r>
      <w:r>
        <w:rPr>
          <w:spacing w:val="-9"/>
        </w:rPr>
        <w:t> </w:t>
      </w:r>
      <w:r>
        <w:rPr/>
        <w:t>asemeja</w:t>
      </w:r>
      <w:r>
        <w:rPr>
          <w:spacing w:val="-10"/>
        </w:rPr>
        <w:t> </w:t>
      </w:r>
      <w:r>
        <w:rPr/>
        <w:t>a</w:t>
      </w:r>
      <w:r>
        <w:rPr>
          <w:spacing w:val="-9"/>
        </w:rPr>
        <w:t> </w:t>
      </w:r>
      <w:r>
        <w:rPr/>
        <w:t>los</w:t>
      </w:r>
      <w:r>
        <w:rPr>
          <w:spacing w:val="-12"/>
        </w:rPr>
        <w:t> </w:t>
      </w:r>
      <w:r>
        <w:rPr/>
        <w:t>equinos</w:t>
      </w:r>
      <w:r>
        <w:rPr>
          <w:spacing w:val="-10"/>
        </w:rPr>
        <w:t> </w:t>
      </w:r>
      <w:r>
        <w:rPr/>
        <w:t>en</w:t>
      </w:r>
      <w:r>
        <w:rPr>
          <w:spacing w:val="-9"/>
        </w:rPr>
        <w:t> </w:t>
      </w:r>
      <w:r>
        <w:rPr/>
        <w:t>que</w:t>
      </w:r>
      <w:r>
        <w:rPr>
          <w:spacing w:val="-9"/>
        </w:rPr>
        <w:t> </w:t>
      </w:r>
      <w:r>
        <w:rPr/>
        <w:t>muestran</w:t>
      </w:r>
      <w:r>
        <w:rPr>
          <w:spacing w:val="-9"/>
        </w:rPr>
        <w:t> </w:t>
      </w:r>
      <w:r>
        <w:rPr/>
        <w:t>respuestas diferenciales a algunas cepas enzoóticas y epizoóticas, pero en contraste con los equinos,</w:t>
      </w:r>
      <w:r>
        <w:rPr>
          <w:spacing w:val="-12"/>
        </w:rPr>
        <w:t> </w:t>
      </w:r>
      <w:r>
        <w:rPr/>
        <w:t>los</w:t>
      </w:r>
      <w:r>
        <w:rPr>
          <w:spacing w:val="-12"/>
        </w:rPr>
        <w:t> </w:t>
      </w:r>
      <w:r>
        <w:rPr/>
        <w:t>cobayos</w:t>
      </w:r>
      <w:r>
        <w:rPr>
          <w:spacing w:val="-13"/>
        </w:rPr>
        <w:t> </w:t>
      </w:r>
      <w:r>
        <w:rPr/>
        <w:t>sucumben</w:t>
      </w:r>
      <w:r>
        <w:rPr>
          <w:spacing w:val="-9"/>
        </w:rPr>
        <w:t> </w:t>
      </w:r>
      <w:r>
        <w:rPr/>
        <w:t>a</w:t>
      </w:r>
      <w:r>
        <w:rPr>
          <w:spacing w:val="-12"/>
        </w:rPr>
        <w:t> </w:t>
      </w:r>
      <w:r>
        <w:rPr/>
        <w:t>la</w:t>
      </w:r>
      <w:r>
        <w:rPr>
          <w:spacing w:val="-12"/>
        </w:rPr>
        <w:t> </w:t>
      </w:r>
      <w:r>
        <w:rPr/>
        <w:t>infección</w:t>
      </w:r>
      <w:r>
        <w:rPr>
          <w:spacing w:val="-14"/>
        </w:rPr>
        <w:t> </w:t>
      </w:r>
      <w:r>
        <w:rPr/>
        <w:t>con</w:t>
      </w:r>
      <w:r>
        <w:rPr>
          <w:spacing w:val="-12"/>
        </w:rPr>
        <w:t> </w:t>
      </w:r>
      <w:r>
        <w:rPr/>
        <w:t>algunos</w:t>
      </w:r>
      <w:r>
        <w:rPr>
          <w:spacing w:val="-13"/>
        </w:rPr>
        <w:t> </w:t>
      </w:r>
      <w:r>
        <w:rPr/>
        <w:t>subtipos</w:t>
      </w:r>
      <w:r>
        <w:rPr>
          <w:spacing w:val="-15"/>
        </w:rPr>
        <w:t> </w:t>
      </w:r>
      <w:r>
        <w:rPr/>
        <w:t>enzoóticos.</w:t>
      </w:r>
      <w:r>
        <w:rPr>
          <w:spacing w:val="-14"/>
        </w:rPr>
        <w:t> </w:t>
      </w:r>
      <w:r>
        <w:rPr/>
        <w:t>Las quimeras</w:t>
      </w:r>
      <w:r>
        <w:rPr>
          <w:spacing w:val="-5"/>
        </w:rPr>
        <w:t> </w:t>
      </w:r>
      <w:r>
        <w:rPr/>
        <w:t>virales</w:t>
      </w:r>
      <w:r>
        <w:rPr>
          <w:spacing w:val="-5"/>
        </w:rPr>
        <w:t> </w:t>
      </w:r>
      <w:r>
        <w:rPr/>
        <w:t>incluyen</w:t>
      </w:r>
      <w:r>
        <w:rPr>
          <w:spacing w:val="-5"/>
        </w:rPr>
        <w:t> </w:t>
      </w:r>
      <w:r>
        <w:rPr/>
        <w:t>las</w:t>
      </w:r>
      <w:r>
        <w:rPr>
          <w:spacing w:val="-7"/>
        </w:rPr>
        <w:t> </w:t>
      </w:r>
      <w:r>
        <w:rPr/>
        <w:t>proteínas</w:t>
      </w:r>
      <w:r>
        <w:rPr>
          <w:spacing w:val="-5"/>
        </w:rPr>
        <w:t> </w:t>
      </w:r>
      <w:r>
        <w:rPr/>
        <w:t>no</w:t>
      </w:r>
      <w:r>
        <w:rPr>
          <w:spacing w:val="-7"/>
        </w:rPr>
        <w:t> </w:t>
      </w:r>
      <w:r>
        <w:rPr/>
        <w:t>estructurales</w:t>
      </w:r>
      <w:r>
        <w:rPr>
          <w:spacing w:val="-8"/>
        </w:rPr>
        <w:t> </w:t>
      </w:r>
      <w:r>
        <w:rPr/>
        <w:t>de</w:t>
      </w:r>
      <w:r>
        <w:rPr>
          <w:spacing w:val="-5"/>
        </w:rPr>
        <w:t> </w:t>
      </w:r>
      <w:r>
        <w:rPr/>
        <w:t>la</w:t>
      </w:r>
      <w:r>
        <w:rPr>
          <w:spacing w:val="-5"/>
        </w:rPr>
        <w:t> </w:t>
      </w:r>
      <w:r>
        <w:rPr/>
        <w:t>cepa</w:t>
      </w:r>
      <w:r>
        <w:rPr>
          <w:spacing w:val="-7"/>
        </w:rPr>
        <w:t> </w:t>
      </w:r>
      <w:r>
        <w:rPr/>
        <w:t>epizoótica</w:t>
      </w:r>
      <w:r>
        <w:rPr>
          <w:spacing w:val="-5"/>
        </w:rPr>
        <w:t> </w:t>
      </w:r>
      <w:r>
        <w:rPr/>
        <w:t>IAB</w:t>
      </w:r>
      <w:r>
        <w:rPr>
          <w:spacing w:val="-7"/>
        </w:rPr>
        <w:t> </w:t>
      </w:r>
      <w:r>
        <w:rPr/>
        <w:t>y las proteínas estructurales de la cepa enzoótica IE (IAB/IE) y su reciproco  </w:t>
      </w:r>
      <w:r>
        <w:rPr>
          <w:spacing w:val="16"/>
        </w:rPr>
        <w:t> </w:t>
      </w:r>
      <w:r>
        <w:rPr/>
        <w:t>IE/IAB.</w:t>
      </w:r>
    </w:p>
    <w:p>
      <w:pPr>
        <w:spacing w:line="183" w:lineRule="exact" w:before="0"/>
        <w:ind w:left="102" w:right="0" w:firstLine="0"/>
        <w:jc w:val="both"/>
        <w:rPr>
          <w:sz w:val="16"/>
        </w:rPr>
      </w:pPr>
      <w:r>
        <w:rPr>
          <w:sz w:val="16"/>
        </w:rPr>
        <w:t>(94, 95, 96)</w:t>
      </w:r>
    </w:p>
    <w:p>
      <w:pPr>
        <w:pStyle w:val="BodyText"/>
        <w:spacing w:before="2"/>
        <w:rPr>
          <w:sz w:val="20"/>
        </w:rPr>
      </w:pPr>
    </w:p>
    <w:p>
      <w:pPr>
        <w:pStyle w:val="BodyText"/>
        <w:spacing w:line="360" w:lineRule="auto" w:before="1"/>
        <w:ind w:left="102" w:right="104"/>
        <w:jc w:val="both"/>
      </w:pPr>
      <w:r>
        <w:rPr/>
        <w:t>Un fenotipo con virulencia y viremia intermedia fue generado en cobayos mediante las quimeras virales comparado con las cepas parentales; sin embargo, la quimera</w:t>
      </w:r>
    </w:p>
    <w:p>
      <w:pPr>
        <w:spacing w:after="0" w:line="360" w:lineRule="auto"/>
        <w:jc w:val="both"/>
        <w:sectPr>
          <w:footerReference w:type="default" r:id="rId38"/>
          <w:pgSz w:w="12240" w:h="15840"/>
          <w:pgMar w:footer="669" w:header="0" w:top="1360" w:bottom="860" w:left="1600" w:right="1600"/>
        </w:sectPr>
      </w:pPr>
    </w:p>
    <w:p>
      <w:pPr>
        <w:pStyle w:val="BodyText"/>
        <w:spacing w:line="360" w:lineRule="auto" w:before="54"/>
        <w:ind w:left="102" w:right="115"/>
        <w:jc w:val="both"/>
        <w:rPr>
          <w:sz w:val="16"/>
        </w:rPr>
      </w:pPr>
      <w:r>
        <w:rPr/>
        <w:t>IE/IAB</w:t>
      </w:r>
      <w:r>
        <w:rPr>
          <w:spacing w:val="-9"/>
        </w:rPr>
        <w:t> </w:t>
      </w:r>
      <w:r>
        <w:rPr/>
        <w:t>produjo</w:t>
      </w:r>
      <w:r>
        <w:rPr>
          <w:spacing w:val="-8"/>
        </w:rPr>
        <w:t> </w:t>
      </w:r>
      <w:r>
        <w:rPr/>
        <w:t>una</w:t>
      </w:r>
      <w:r>
        <w:rPr>
          <w:spacing w:val="-8"/>
        </w:rPr>
        <w:t> </w:t>
      </w:r>
      <w:r>
        <w:rPr/>
        <w:t>viremia</w:t>
      </w:r>
      <w:r>
        <w:rPr>
          <w:spacing w:val="-9"/>
        </w:rPr>
        <w:t> </w:t>
      </w:r>
      <w:r>
        <w:rPr/>
        <w:t>ligeramente</w:t>
      </w:r>
      <w:r>
        <w:rPr>
          <w:spacing w:val="-8"/>
        </w:rPr>
        <w:t> </w:t>
      </w:r>
      <w:r>
        <w:rPr/>
        <w:t>más</w:t>
      </w:r>
      <w:r>
        <w:rPr>
          <w:spacing w:val="-9"/>
        </w:rPr>
        <w:t> </w:t>
      </w:r>
      <w:r>
        <w:rPr/>
        <w:t>alta</w:t>
      </w:r>
      <w:r>
        <w:rPr>
          <w:spacing w:val="-8"/>
        </w:rPr>
        <w:t> </w:t>
      </w:r>
      <w:r>
        <w:rPr/>
        <w:t>y</w:t>
      </w:r>
      <w:r>
        <w:rPr>
          <w:spacing w:val="-12"/>
        </w:rPr>
        <w:t> </w:t>
      </w:r>
      <w:r>
        <w:rPr/>
        <w:t>mayor</w:t>
      </w:r>
      <w:r>
        <w:rPr>
          <w:spacing w:val="-10"/>
        </w:rPr>
        <w:t> </w:t>
      </w:r>
      <w:r>
        <w:rPr/>
        <w:t>mortalidad</w:t>
      </w:r>
      <w:r>
        <w:rPr>
          <w:spacing w:val="-11"/>
        </w:rPr>
        <w:t> </w:t>
      </w:r>
      <w:r>
        <w:rPr/>
        <w:t>que</w:t>
      </w:r>
      <w:r>
        <w:rPr>
          <w:spacing w:val="-8"/>
        </w:rPr>
        <w:t> </w:t>
      </w:r>
      <w:r>
        <w:rPr/>
        <w:t>la</w:t>
      </w:r>
      <w:r>
        <w:rPr>
          <w:spacing w:val="-9"/>
        </w:rPr>
        <w:t> </w:t>
      </w:r>
      <w:r>
        <w:rPr/>
        <w:t>quimera IAB/IE, lo que sugiere que las proteínas estructurales pueden ser elementos más importantes</w:t>
      </w:r>
      <w:r>
        <w:rPr>
          <w:spacing w:val="-8"/>
        </w:rPr>
        <w:t> </w:t>
      </w:r>
      <w:r>
        <w:rPr/>
        <w:t>para</w:t>
      </w:r>
      <w:r>
        <w:rPr>
          <w:spacing w:val="-8"/>
        </w:rPr>
        <w:t> </w:t>
      </w:r>
      <w:r>
        <w:rPr/>
        <w:t>la</w:t>
      </w:r>
      <w:r>
        <w:rPr>
          <w:spacing w:val="-10"/>
        </w:rPr>
        <w:t> </w:t>
      </w:r>
      <w:r>
        <w:rPr/>
        <w:t>virulencia</w:t>
      </w:r>
      <w:r>
        <w:rPr>
          <w:spacing w:val="-10"/>
        </w:rPr>
        <w:t> </w:t>
      </w:r>
      <w:r>
        <w:rPr/>
        <w:t>en</w:t>
      </w:r>
      <w:r>
        <w:rPr>
          <w:spacing w:val="-9"/>
        </w:rPr>
        <w:t> </w:t>
      </w:r>
      <w:r>
        <w:rPr/>
        <w:t>los</w:t>
      </w:r>
      <w:r>
        <w:rPr>
          <w:spacing w:val="-7"/>
        </w:rPr>
        <w:t> </w:t>
      </w:r>
      <w:r>
        <w:rPr/>
        <w:t>cobayos</w:t>
      </w:r>
      <w:r>
        <w:rPr>
          <w:spacing w:val="-8"/>
        </w:rPr>
        <w:t> </w:t>
      </w:r>
      <w:r>
        <w:rPr/>
        <w:t>que</w:t>
      </w:r>
      <w:r>
        <w:rPr>
          <w:spacing w:val="-7"/>
        </w:rPr>
        <w:t> </w:t>
      </w:r>
      <w:r>
        <w:rPr/>
        <w:t>las</w:t>
      </w:r>
      <w:r>
        <w:rPr>
          <w:spacing w:val="-10"/>
        </w:rPr>
        <w:t> </w:t>
      </w:r>
      <w:r>
        <w:rPr/>
        <w:t>proteínas</w:t>
      </w:r>
      <w:r>
        <w:rPr>
          <w:spacing w:val="-10"/>
        </w:rPr>
        <w:t> </w:t>
      </w:r>
      <w:r>
        <w:rPr/>
        <w:t>no</w:t>
      </w:r>
      <w:r>
        <w:rPr>
          <w:spacing w:val="-9"/>
        </w:rPr>
        <w:t> </w:t>
      </w:r>
      <w:r>
        <w:rPr/>
        <w:t>estructurales.</w:t>
      </w:r>
      <w:r>
        <w:rPr>
          <w:spacing w:val="-2"/>
        </w:rPr>
        <w:t> </w:t>
      </w:r>
      <w:r>
        <w:rPr>
          <w:position w:val="8"/>
          <w:sz w:val="16"/>
        </w:rPr>
        <w:t>(97) </w:t>
      </w:r>
      <w:r>
        <w:rPr/>
        <w:t>Estudios adicionales con los subtipos ID, IC y quimeras virales con genes E2 intercambiados, sugieren que tanto los genes de la envoltura como los genes que no forman parte de envoltura viral afectan la virulencia del fenotipo en cobayos, sin embargo la replicación temprana en el tejido linfoide parece ser dependiente de</w:t>
      </w:r>
      <w:r>
        <w:rPr>
          <w:spacing w:val="-37"/>
        </w:rPr>
        <w:t> </w:t>
      </w:r>
      <w:r>
        <w:rPr/>
        <w:t>los genes de la envoltura viral principalmente.</w:t>
      </w:r>
      <w:r>
        <w:rPr>
          <w:spacing w:val="-17"/>
        </w:rPr>
        <w:t> </w:t>
      </w:r>
      <w:r>
        <w:rPr>
          <w:position w:val="8"/>
          <w:sz w:val="16"/>
        </w:rPr>
        <w:t>(98)</w:t>
      </w:r>
    </w:p>
    <w:p>
      <w:pPr>
        <w:pStyle w:val="BodyText"/>
        <w:spacing w:before="11"/>
        <w:rPr>
          <w:sz w:val="23"/>
        </w:rPr>
      </w:pPr>
    </w:p>
    <w:p>
      <w:pPr>
        <w:pStyle w:val="BodyText"/>
        <w:spacing w:line="360" w:lineRule="auto"/>
        <w:ind w:left="102" w:right="123"/>
        <w:jc w:val="both"/>
        <w:rPr>
          <w:sz w:val="16"/>
        </w:rPr>
      </w:pPr>
      <w:r>
        <w:rPr/>
        <w:t>Recientemente, una mutación viral filogenéticamente predicha fue analizada mediante genética reversa, que identifico que una mutación puntual en la glicoproteína</w:t>
      </w:r>
      <w:r>
        <w:rPr>
          <w:spacing w:val="-6"/>
        </w:rPr>
        <w:t> </w:t>
      </w:r>
      <w:r>
        <w:rPr/>
        <w:t>de</w:t>
      </w:r>
      <w:r>
        <w:rPr>
          <w:spacing w:val="-6"/>
        </w:rPr>
        <w:t> </w:t>
      </w:r>
      <w:r>
        <w:rPr/>
        <w:t>la</w:t>
      </w:r>
      <w:r>
        <w:rPr>
          <w:spacing w:val="-6"/>
        </w:rPr>
        <w:t> </w:t>
      </w:r>
      <w:r>
        <w:rPr/>
        <w:t>envoltura</w:t>
      </w:r>
      <w:r>
        <w:rPr>
          <w:spacing w:val="-7"/>
        </w:rPr>
        <w:t> </w:t>
      </w:r>
      <w:r>
        <w:rPr/>
        <w:t>E2</w:t>
      </w:r>
      <w:r>
        <w:rPr>
          <w:spacing w:val="-6"/>
        </w:rPr>
        <w:t> </w:t>
      </w:r>
      <w:r>
        <w:rPr/>
        <w:t>es</w:t>
      </w:r>
      <w:r>
        <w:rPr>
          <w:spacing w:val="-7"/>
        </w:rPr>
        <w:t> </w:t>
      </w:r>
      <w:r>
        <w:rPr/>
        <w:t>la</w:t>
      </w:r>
      <w:r>
        <w:rPr>
          <w:spacing w:val="-6"/>
        </w:rPr>
        <w:t> </w:t>
      </w:r>
      <w:r>
        <w:rPr/>
        <w:t>responsable</w:t>
      </w:r>
      <w:r>
        <w:rPr>
          <w:spacing w:val="-6"/>
        </w:rPr>
        <w:t> </w:t>
      </w:r>
      <w:r>
        <w:rPr/>
        <w:t>de</w:t>
      </w:r>
      <w:r>
        <w:rPr>
          <w:spacing w:val="-6"/>
        </w:rPr>
        <w:t> </w:t>
      </w:r>
      <w:r>
        <w:rPr/>
        <w:t>generar</w:t>
      </w:r>
      <w:r>
        <w:rPr>
          <w:spacing w:val="-7"/>
        </w:rPr>
        <w:t> </w:t>
      </w:r>
      <w:r>
        <w:rPr/>
        <w:t>una</w:t>
      </w:r>
      <w:r>
        <w:rPr>
          <w:spacing w:val="-6"/>
        </w:rPr>
        <w:t> </w:t>
      </w:r>
      <w:r>
        <w:rPr/>
        <w:t>viremia</w:t>
      </w:r>
      <w:r>
        <w:rPr>
          <w:spacing w:val="-6"/>
        </w:rPr>
        <w:t> </w:t>
      </w:r>
      <w:r>
        <w:rPr/>
        <w:t>con</w:t>
      </w:r>
      <w:r>
        <w:rPr>
          <w:spacing w:val="-6"/>
        </w:rPr>
        <w:t> </w:t>
      </w:r>
      <w:r>
        <w:rPr/>
        <w:t>altos títulos en los equinos.</w:t>
      </w:r>
      <w:r>
        <w:rPr>
          <w:spacing w:val="-10"/>
        </w:rPr>
        <w:t> </w:t>
      </w:r>
      <w:r>
        <w:rPr>
          <w:position w:val="8"/>
          <w:sz w:val="16"/>
        </w:rPr>
        <w:t>(99)</w:t>
      </w:r>
    </w:p>
    <w:p>
      <w:pPr>
        <w:pStyle w:val="BodyText"/>
        <w:rPr>
          <w:sz w:val="36"/>
        </w:rPr>
      </w:pPr>
    </w:p>
    <w:p>
      <w:pPr>
        <w:pStyle w:val="Heading4"/>
        <w:numPr>
          <w:ilvl w:val="2"/>
          <w:numId w:val="7"/>
        </w:numPr>
        <w:tabs>
          <w:tab w:pos="706" w:val="left" w:leader="none"/>
        </w:tabs>
        <w:spacing w:line="240" w:lineRule="auto" w:before="0" w:after="0"/>
        <w:ind w:left="705" w:right="0" w:hanging="603"/>
        <w:jc w:val="both"/>
      </w:pPr>
      <w:r>
        <w:rPr/>
        <w:t>Adaptación  de las cepas epizoóticas a los mosquitos</w:t>
      </w:r>
      <w:r>
        <w:rPr>
          <w:spacing w:val="-24"/>
        </w:rPr>
        <w:t> </w:t>
      </w:r>
      <w:r>
        <w:rPr/>
        <w:t>vectores.</w:t>
      </w:r>
    </w:p>
    <w:p>
      <w:pPr>
        <w:pStyle w:val="BodyText"/>
        <w:rPr>
          <w:b/>
        </w:rPr>
      </w:pPr>
    </w:p>
    <w:p>
      <w:pPr>
        <w:pStyle w:val="BodyText"/>
        <w:rPr>
          <w:b/>
        </w:rPr>
      </w:pPr>
    </w:p>
    <w:p>
      <w:pPr>
        <w:pStyle w:val="BodyText"/>
        <w:spacing w:line="360" w:lineRule="auto"/>
        <w:ind w:left="102" w:right="123"/>
        <w:jc w:val="both"/>
        <w:rPr>
          <w:sz w:val="16"/>
        </w:rPr>
      </w:pPr>
      <w:r>
        <w:rPr/>
        <w:t>Las cepas epizoóticas y enzoóticas del VEEV son transmitidas por diferentes especies de mosquitos, por lo tanto, una eficiente infección en los vectores epizoóticos puede mediar la emergencia de la EEV. Kramer y colaboradores, encontraron que el A. taeniorhynchus, un vector epizoótico establecido, era más susceptible a la infección con el subtipo epizoótico IAB comparado con el subtipo enzoótico IE</w:t>
      </w:r>
      <w:r>
        <w:rPr>
          <w:position w:val="8"/>
          <w:sz w:val="16"/>
        </w:rPr>
        <w:t>. (100)</w:t>
      </w:r>
    </w:p>
    <w:p>
      <w:pPr>
        <w:pStyle w:val="BodyText"/>
        <w:spacing w:line="357" w:lineRule="auto" w:before="1"/>
        <w:ind w:left="102" w:right="119"/>
        <w:jc w:val="both"/>
        <w:rPr>
          <w:sz w:val="16"/>
        </w:rPr>
      </w:pPr>
      <w:r>
        <w:rPr/>
        <w:t>Un</w:t>
      </w:r>
      <w:r>
        <w:rPr>
          <w:spacing w:val="-13"/>
        </w:rPr>
        <w:t> </w:t>
      </w:r>
      <w:r>
        <w:rPr/>
        <w:t>estudio</w:t>
      </w:r>
      <w:r>
        <w:rPr>
          <w:spacing w:val="-16"/>
        </w:rPr>
        <w:t> </w:t>
      </w:r>
      <w:r>
        <w:rPr/>
        <w:t>más</w:t>
      </w:r>
      <w:r>
        <w:rPr>
          <w:spacing w:val="-14"/>
        </w:rPr>
        <w:t> </w:t>
      </w:r>
      <w:r>
        <w:rPr/>
        <w:t>reciente</w:t>
      </w:r>
      <w:r>
        <w:rPr>
          <w:spacing w:val="-13"/>
        </w:rPr>
        <w:t> </w:t>
      </w:r>
      <w:r>
        <w:rPr/>
        <w:t>con</w:t>
      </w:r>
      <w:r>
        <w:rPr>
          <w:spacing w:val="-16"/>
        </w:rPr>
        <w:t> </w:t>
      </w:r>
      <w:r>
        <w:rPr/>
        <w:t>el</w:t>
      </w:r>
      <w:r>
        <w:rPr>
          <w:spacing w:val="-14"/>
        </w:rPr>
        <w:t> </w:t>
      </w:r>
      <w:r>
        <w:rPr/>
        <w:t>subtipo</w:t>
      </w:r>
      <w:r>
        <w:rPr>
          <w:spacing w:val="-16"/>
        </w:rPr>
        <w:t> </w:t>
      </w:r>
      <w:r>
        <w:rPr/>
        <w:t>epizoótico</w:t>
      </w:r>
      <w:r>
        <w:rPr>
          <w:spacing w:val="-13"/>
        </w:rPr>
        <w:t> </w:t>
      </w:r>
      <w:r>
        <w:rPr/>
        <w:t>IC</w:t>
      </w:r>
      <w:r>
        <w:rPr>
          <w:spacing w:val="-14"/>
        </w:rPr>
        <w:t> </w:t>
      </w:r>
      <w:r>
        <w:rPr/>
        <w:t>(3908),</w:t>
      </w:r>
      <w:r>
        <w:rPr>
          <w:spacing w:val="-14"/>
        </w:rPr>
        <w:t> </w:t>
      </w:r>
      <w:r>
        <w:rPr/>
        <w:t>que</w:t>
      </w:r>
      <w:r>
        <w:rPr>
          <w:spacing w:val="-16"/>
        </w:rPr>
        <w:t> </w:t>
      </w:r>
      <w:r>
        <w:rPr/>
        <w:t>fue</w:t>
      </w:r>
      <w:r>
        <w:rPr>
          <w:spacing w:val="-16"/>
        </w:rPr>
        <w:t> </w:t>
      </w:r>
      <w:r>
        <w:rPr/>
        <w:t>aislado</w:t>
      </w:r>
      <w:r>
        <w:rPr>
          <w:spacing w:val="-16"/>
        </w:rPr>
        <w:t> </w:t>
      </w:r>
      <w:r>
        <w:rPr/>
        <w:t>durante el brote de 1995, encontró que los mosquitos de A. taeniorhynchus son más susceptibles a esta cepa epizootica que a la cepa ID con la que está más estrechamente relacionada.</w:t>
      </w:r>
      <w:r>
        <w:rPr>
          <w:spacing w:val="-9"/>
        </w:rPr>
        <w:t> </w:t>
      </w:r>
      <w:r>
        <w:rPr>
          <w:position w:val="8"/>
          <w:sz w:val="16"/>
        </w:rPr>
        <w:t>(101)</w:t>
      </w:r>
    </w:p>
    <w:p>
      <w:pPr>
        <w:pStyle w:val="BodyText"/>
        <w:spacing w:line="274" w:lineRule="exact"/>
        <w:ind w:left="102"/>
        <w:jc w:val="both"/>
        <w:rPr>
          <w:rFonts w:ascii="Times New Roman"/>
        </w:rPr>
      </w:pPr>
      <w:r>
        <w:rPr>
          <w:rFonts w:ascii="Times New Roman"/>
          <w:color w:val="2D74B5"/>
        </w:rPr>
        <w:t>.</w:t>
      </w:r>
    </w:p>
    <w:p>
      <w:pPr>
        <w:pStyle w:val="BodyText"/>
        <w:spacing w:line="357" w:lineRule="auto" w:before="6"/>
        <w:ind w:left="102" w:right="106"/>
      </w:pPr>
      <w:r>
        <w:rPr/>
        <w:t>Estudios adicionales de la susceptibilidad del A. taeniorhynchus, con las cepas de los brotes en México en 1993 y 1996, indican que esta especia es más susceptible a la infección con cepas epizoóticas comparadas con las cepas enzoóticas. </w:t>
      </w:r>
      <w:r>
        <w:rPr>
          <w:position w:val="8"/>
          <w:sz w:val="16"/>
        </w:rPr>
        <w:t>(102) </w:t>
      </w:r>
      <w:r>
        <w:rPr/>
        <w:t>Estos resultados respaldan la hipótesis de que la adaptación de vectores epizoóticos puede mediar la emergencia de la EEV.</w:t>
      </w:r>
    </w:p>
    <w:p>
      <w:pPr>
        <w:spacing w:before="90"/>
        <w:ind w:left="330" w:right="346" w:firstLine="0"/>
        <w:jc w:val="center"/>
        <w:rPr>
          <w:rFonts w:ascii="Calibri"/>
          <w:b/>
          <w:sz w:val="22"/>
        </w:rPr>
      </w:pPr>
      <w:r>
        <w:rPr>
          <w:rFonts w:ascii="Calibri"/>
          <w:b/>
          <w:sz w:val="22"/>
        </w:rPr>
        <w:t>32</w:t>
      </w:r>
    </w:p>
    <w:p>
      <w:pPr>
        <w:spacing w:after="0"/>
        <w:jc w:val="center"/>
        <w:rPr>
          <w:rFonts w:ascii="Calibri"/>
          <w:sz w:val="22"/>
        </w:rPr>
        <w:sectPr>
          <w:footerReference w:type="default" r:id="rId39"/>
          <w:pgSz w:w="12240" w:h="15840"/>
          <w:pgMar w:footer="0" w:header="0" w:top="1360" w:bottom="280" w:left="1600" w:right="1580"/>
        </w:sectPr>
      </w:pPr>
    </w:p>
    <w:p>
      <w:pPr>
        <w:pStyle w:val="BodyText"/>
        <w:spacing w:line="360" w:lineRule="auto" w:before="54"/>
        <w:ind w:left="102" w:right="116"/>
        <w:jc w:val="both"/>
      </w:pPr>
      <w:r>
        <w:rPr/>
        <w:t>Quimeras virales reciprocas de cepas epizoóticas y enzoóticas del VEEV fueron construidas para identificar los determinantes genéticos de la infección en los mosquitos.</w:t>
      </w:r>
    </w:p>
    <w:p>
      <w:pPr>
        <w:pStyle w:val="BodyText"/>
        <w:spacing w:line="357" w:lineRule="auto" w:before="5"/>
        <w:ind w:left="102" w:right="124"/>
        <w:jc w:val="both"/>
        <w:rPr>
          <w:sz w:val="16"/>
        </w:rPr>
      </w:pPr>
      <w:r>
        <w:rPr/>
        <w:t>A. taeniorhynchus resulto ser más susceptible a la infección con las quimeras que contenían</w:t>
      </w:r>
      <w:r>
        <w:rPr>
          <w:spacing w:val="-7"/>
        </w:rPr>
        <w:t> </w:t>
      </w:r>
      <w:r>
        <w:rPr/>
        <w:t>los</w:t>
      </w:r>
      <w:r>
        <w:rPr>
          <w:spacing w:val="-10"/>
        </w:rPr>
        <w:t> </w:t>
      </w:r>
      <w:r>
        <w:rPr/>
        <w:t>genes</w:t>
      </w:r>
      <w:r>
        <w:rPr>
          <w:spacing w:val="-10"/>
        </w:rPr>
        <w:t> </w:t>
      </w:r>
      <w:r>
        <w:rPr/>
        <w:t>estructurales,</w:t>
      </w:r>
      <w:r>
        <w:rPr>
          <w:spacing w:val="-12"/>
        </w:rPr>
        <w:t> </w:t>
      </w:r>
      <w:r>
        <w:rPr/>
        <w:t>más</w:t>
      </w:r>
      <w:r>
        <w:rPr>
          <w:spacing w:val="-10"/>
        </w:rPr>
        <w:t> </w:t>
      </w:r>
      <w:r>
        <w:rPr/>
        <w:t>específicamente</w:t>
      </w:r>
      <w:r>
        <w:rPr>
          <w:spacing w:val="-9"/>
        </w:rPr>
        <w:t> </w:t>
      </w:r>
      <w:r>
        <w:rPr/>
        <w:t>el</w:t>
      </w:r>
      <w:r>
        <w:rPr>
          <w:spacing w:val="-8"/>
        </w:rPr>
        <w:t> </w:t>
      </w:r>
      <w:r>
        <w:rPr/>
        <w:t>gen</w:t>
      </w:r>
      <w:r>
        <w:rPr>
          <w:spacing w:val="-9"/>
        </w:rPr>
        <w:t> </w:t>
      </w:r>
      <w:r>
        <w:rPr/>
        <w:t>precursor</w:t>
      </w:r>
      <w:r>
        <w:rPr>
          <w:spacing w:val="-8"/>
        </w:rPr>
        <w:t> </w:t>
      </w:r>
      <w:r>
        <w:rPr/>
        <w:t>PE2</w:t>
      </w:r>
      <w:r>
        <w:rPr>
          <w:spacing w:val="-7"/>
        </w:rPr>
        <w:t> </w:t>
      </w:r>
      <w:r>
        <w:rPr/>
        <w:t>de</w:t>
      </w:r>
      <w:r>
        <w:rPr>
          <w:spacing w:val="-7"/>
        </w:rPr>
        <w:t> </w:t>
      </w:r>
      <w:r>
        <w:rPr/>
        <w:t>la glicoproteína E2, de las cepas epizoóticas (IAB o IC) más que de las cepas enzoóticas.</w:t>
      </w:r>
      <w:r>
        <w:rPr>
          <w:spacing w:val="60"/>
        </w:rPr>
        <w:t> </w:t>
      </w:r>
      <w:r>
        <w:rPr>
          <w:position w:val="8"/>
          <w:sz w:val="16"/>
        </w:rPr>
        <w:t>(101)</w:t>
      </w:r>
    </w:p>
    <w:p>
      <w:pPr>
        <w:pStyle w:val="BodyText"/>
        <w:spacing w:line="357" w:lineRule="auto" w:before="4"/>
        <w:ind w:left="102" w:right="115"/>
        <w:jc w:val="both"/>
        <w:rPr>
          <w:sz w:val="16"/>
        </w:rPr>
      </w:pPr>
      <w:r>
        <w:rPr/>
        <w:t>Un estudio similar de reversa genética realizado con las cepas epizoóticas y enzoóticas asociadas a los brotes en México, encontraron que una mutación puntual en la glicoproteína de la envoltura E2 es la responsable por el aumento de la susceptibilidad de los mosquitos A. taeniorhynchus a las cepas epizoóticas. </w:t>
      </w:r>
      <w:r>
        <w:rPr>
          <w:position w:val="8"/>
          <w:sz w:val="16"/>
        </w:rPr>
        <w:t>(102)</w:t>
      </w:r>
    </w:p>
    <w:p>
      <w:pPr>
        <w:pStyle w:val="BodyText"/>
        <w:rPr>
          <w:sz w:val="26"/>
        </w:rPr>
      </w:pPr>
    </w:p>
    <w:p>
      <w:pPr>
        <w:pStyle w:val="BodyText"/>
        <w:spacing w:before="4"/>
        <w:rPr>
          <w:sz w:val="32"/>
        </w:rPr>
      </w:pPr>
    </w:p>
    <w:p>
      <w:pPr>
        <w:pStyle w:val="BodyText"/>
        <w:spacing w:line="360" w:lineRule="auto"/>
        <w:ind w:left="102" w:right="115"/>
        <w:jc w:val="both"/>
        <w:rPr>
          <w:sz w:val="16"/>
        </w:rPr>
      </w:pPr>
      <w:r>
        <w:rPr/>
        <w:t>Estos</w:t>
      </w:r>
      <w:r>
        <w:rPr>
          <w:spacing w:val="-12"/>
        </w:rPr>
        <w:t> </w:t>
      </w:r>
      <w:r>
        <w:rPr/>
        <w:t>estudios</w:t>
      </w:r>
      <w:r>
        <w:rPr>
          <w:spacing w:val="-11"/>
        </w:rPr>
        <w:t> </w:t>
      </w:r>
      <w:r>
        <w:rPr/>
        <w:t>demuestran</w:t>
      </w:r>
      <w:r>
        <w:rPr>
          <w:spacing w:val="-11"/>
        </w:rPr>
        <w:t> </w:t>
      </w:r>
      <w:r>
        <w:rPr/>
        <w:t>que</w:t>
      </w:r>
      <w:r>
        <w:rPr>
          <w:spacing w:val="-11"/>
        </w:rPr>
        <w:t> </w:t>
      </w:r>
      <w:r>
        <w:rPr/>
        <w:t>la</w:t>
      </w:r>
      <w:r>
        <w:rPr>
          <w:spacing w:val="-11"/>
        </w:rPr>
        <w:t> </w:t>
      </w:r>
      <w:r>
        <w:rPr/>
        <w:t>glicoproteína</w:t>
      </w:r>
      <w:r>
        <w:rPr>
          <w:spacing w:val="-6"/>
        </w:rPr>
        <w:t> </w:t>
      </w:r>
      <w:r>
        <w:rPr/>
        <w:t>de</w:t>
      </w:r>
      <w:r>
        <w:rPr>
          <w:spacing w:val="-11"/>
        </w:rPr>
        <w:t> </w:t>
      </w:r>
      <w:r>
        <w:rPr/>
        <w:t>envoltura</w:t>
      </w:r>
      <w:r>
        <w:rPr>
          <w:spacing w:val="-11"/>
        </w:rPr>
        <w:t> </w:t>
      </w:r>
      <w:r>
        <w:rPr/>
        <w:t>E2,</w:t>
      </w:r>
      <w:r>
        <w:rPr>
          <w:spacing w:val="-11"/>
        </w:rPr>
        <w:t> </w:t>
      </w:r>
      <w:r>
        <w:rPr/>
        <w:t>el</w:t>
      </w:r>
      <w:r>
        <w:rPr>
          <w:spacing w:val="-14"/>
        </w:rPr>
        <w:t> </w:t>
      </w:r>
      <w:r>
        <w:rPr/>
        <w:t>sitio</w:t>
      </w:r>
      <w:r>
        <w:rPr>
          <w:spacing w:val="-11"/>
        </w:rPr>
        <w:t> </w:t>
      </w:r>
      <w:r>
        <w:rPr/>
        <w:t>de</w:t>
      </w:r>
      <w:r>
        <w:rPr>
          <w:spacing w:val="-11"/>
        </w:rPr>
        <w:t> </w:t>
      </w:r>
      <w:r>
        <w:rPr/>
        <w:t>epítopes que define los subtipos epizoóticos y enzoóticos, también codifica determinantes para la infección de los mosquitos, que podría contribuir significativamente a la emergencia del VEEV. Sin embargo esta adaptación podría ser especifica de la especie, porque la susceptibilidad de otro vector reportado como epizoótico (Psorophora confinnis), no difiere entre cepas epizoóticas y enzoóticas.</w:t>
      </w:r>
      <w:r>
        <w:rPr>
          <w:spacing w:val="-23"/>
        </w:rPr>
        <w:t> </w:t>
      </w:r>
      <w:r>
        <w:rPr>
          <w:position w:val="8"/>
          <w:sz w:val="16"/>
        </w:rPr>
        <w:t>(99)</w:t>
      </w:r>
    </w:p>
    <w:p>
      <w:pPr>
        <w:pStyle w:val="BodyText"/>
        <w:spacing w:line="360" w:lineRule="auto" w:before="1"/>
        <w:ind w:left="102" w:right="115" w:hanging="12"/>
        <w:jc w:val="center"/>
      </w:pPr>
      <w:r>
        <w:rPr/>
        <w:t>Las cepas epizoóticas aparentemente no tienen la habilidad de mantenerse en ciclos de transmisión selváticos. Una hipótesis para explicar esta aparente falla de las</w:t>
      </w:r>
      <w:r>
        <w:rPr>
          <w:spacing w:val="-11"/>
        </w:rPr>
        <w:t> </w:t>
      </w:r>
      <w:r>
        <w:rPr/>
        <w:t>cepas</w:t>
      </w:r>
      <w:r>
        <w:rPr>
          <w:spacing w:val="-14"/>
        </w:rPr>
        <w:t> </w:t>
      </w:r>
      <w:r>
        <w:rPr/>
        <w:t>epizoóticas</w:t>
      </w:r>
      <w:r>
        <w:rPr>
          <w:spacing w:val="-14"/>
        </w:rPr>
        <w:t> </w:t>
      </w:r>
      <w:r>
        <w:rPr/>
        <w:t>a</w:t>
      </w:r>
      <w:r>
        <w:rPr>
          <w:spacing w:val="-13"/>
        </w:rPr>
        <w:t> </w:t>
      </w:r>
      <w:r>
        <w:rPr/>
        <w:t>ser</w:t>
      </w:r>
      <w:r>
        <w:rPr>
          <w:spacing w:val="-15"/>
        </w:rPr>
        <w:t> </w:t>
      </w:r>
      <w:r>
        <w:rPr/>
        <w:t>mantenidas</w:t>
      </w:r>
      <w:r>
        <w:rPr>
          <w:spacing w:val="-14"/>
        </w:rPr>
        <w:t> </w:t>
      </w:r>
      <w:r>
        <w:rPr/>
        <w:t>en</w:t>
      </w:r>
      <w:r>
        <w:rPr>
          <w:spacing w:val="-13"/>
        </w:rPr>
        <w:t> </w:t>
      </w:r>
      <w:r>
        <w:rPr/>
        <w:t>ciclos</w:t>
      </w:r>
      <w:r>
        <w:rPr>
          <w:spacing w:val="-12"/>
        </w:rPr>
        <w:t> </w:t>
      </w:r>
      <w:r>
        <w:rPr/>
        <w:t>de</w:t>
      </w:r>
      <w:r>
        <w:rPr>
          <w:spacing w:val="-11"/>
        </w:rPr>
        <w:t> </w:t>
      </w:r>
      <w:r>
        <w:rPr/>
        <w:t>transmisión</w:t>
      </w:r>
      <w:r>
        <w:rPr>
          <w:spacing w:val="-11"/>
        </w:rPr>
        <w:t> </w:t>
      </w:r>
      <w:r>
        <w:rPr/>
        <w:t>selváticos</w:t>
      </w:r>
      <w:r>
        <w:rPr>
          <w:spacing w:val="-11"/>
        </w:rPr>
        <w:t> </w:t>
      </w:r>
      <w:r>
        <w:rPr/>
        <w:t>similares a los de las variantes enzoóticas, es la adaptación por infección de los vectores epizoóticos que conlleva a una disminución en la capacidad de los mosquitos vectores enzoóticos </w:t>
      </w:r>
      <w:r>
        <w:rPr>
          <w:position w:val="8"/>
          <w:sz w:val="16"/>
        </w:rPr>
        <w:t>(103) </w:t>
      </w:r>
      <w:r>
        <w:rPr/>
        <w:t>demostraron que los vectores enzoóticos son en algunos casos</w:t>
      </w:r>
      <w:r>
        <w:rPr>
          <w:spacing w:val="-8"/>
        </w:rPr>
        <w:t> </w:t>
      </w:r>
      <w:r>
        <w:rPr/>
        <w:t>más</w:t>
      </w:r>
      <w:r>
        <w:rPr>
          <w:spacing w:val="-8"/>
        </w:rPr>
        <w:t> </w:t>
      </w:r>
      <w:r>
        <w:rPr/>
        <w:t>susceptibles</w:t>
      </w:r>
      <w:r>
        <w:rPr>
          <w:spacing w:val="-5"/>
        </w:rPr>
        <w:t> </w:t>
      </w:r>
      <w:r>
        <w:rPr/>
        <w:t>a</w:t>
      </w:r>
      <w:r>
        <w:rPr>
          <w:spacing w:val="-5"/>
        </w:rPr>
        <w:t> </w:t>
      </w:r>
      <w:r>
        <w:rPr/>
        <w:t>la</w:t>
      </w:r>
      <w:r>
        <w:rPr>
          <w:spacing w:val="-7"/>
        </w:rPr>
        <w:t> </w:t>
      </w:r>
      <w:r>
        <w:rPr/>
        <w:t>infección</w:t>
      </w:r>
      <w:r>
        <w:rPr>
          <w:spacing w:val="-7"/>
        </w:rPr>
        <w:t> </w:t>
      </w:r>
      <w:r>
        <w:rPr/>
        <w:t>por</w:t>
      </w:r>
      <w:r>
        <w:rPr>
          <w:spacing w:val="-6"/>
        </w:rPr>
        <w:t> </w:t>
      </w:r>
      <w:r>
        <w:rPr/>
        <w:t>variantes</w:t>
      </w:r>
      <w:r>
        <w:rPr>
          <w:spacing w:val="-8"/>
        </w:rPr>
        <w:t> </w:t>
      </w:r>
      <w:r>
        <w:rPr/>
        <w:t>enzoóticas</w:t>
      </w:r>
      <w:r>
        <w:rPr>
          <w:spacing w:val="-5"/>
        </w:rPr>
        <w:t> </w:t>
      </w:r>
      <w:r>
        <w:rPr/>
        <w:t>simpátricas</w:t>
      </w:r>
      <w:r>
        <w:rPr>
          <w:spacing w:val="-5"/>
        </w:rPr>
        <w:t> </w:t>
      </w:r>
      <w:r>
        <w:rPr/>
        <w:t>que</w:t>
      </w:r>
      <w:r>
        <w:rPr>
          <w:spacing w:val="-7"/>
        </w:rPr>
        <w:t> </w:t>
      </w:r>
      <w:r>
        <w:rPr/>
        <w:t>a</w:t>
      </w:r>
      <w:r>
        <w:rPr>
          <w:spacing w:val="-5"/>
        </w:rPr>
        <w:t> </w:t>
      </w:r>
      <w:r>
        <w:rPr/>
        <w:t>la infección</w:t>
      </w:r>
      <w:r>
        <w:rPr>
          <w:spacing w:val="-16"/>
        </w:rPr>
        <w:t> </w:t>
      </w:r>
      <w:r>
        <w:rPr/>
        <w:t>por</w:t>
      </w:r>
      <w:r>
        <w:rPr>
          <w:spacing w:val="-16"/>
        </w:rPr>
        <w:t> </w:t>
      </w:r>
      <w:r>
        <w:rPr/>
        <w:t>variantes</w:t>
      </w:r>
      <w:r>
        <w:rPr>
          <w:spacing w:val="-17"/>
        </w:rPr>
        <w:t> </w:t>
      </w:r>
      <w:r>
        <w:rPr/>
        <w:t>enzoóticas</w:t>
      </w:r>
      <w:r>
        <w:rPr>
          <w:spacing w:val="-17"/>
        </w:rPr>
        <w:t> </w:t>
      </w:r>
      <w:r>
        <w:rPr/>
        <w:t>alopátricas.</w:t>
      </w:r>
      <w:r>
        <w:rPr>
          <w:spacing w:val="-17"/>
        </w:rPr>
        <w:t> </w:t>
      </w:r>
      <w:r>
        <w:rPr/>
        <w:t>Culex</w:t>
      </w:r>
      <w:r>
        <w:rPr>
          <w:spacing w:val="-17"/>
        </w:rPr>
        <w:t> </w:t>
      </w:r>
      <w:r>
        <w:rPr/>
        <w:t>taeniopus,</w:t>
      </w:r>
      <w:r>
        <w:rPr>
          <w:spacing w:val="-17"/>
        </w:rPr>
        <w:t> </w:t>
      </w:r>
      <w:r>
        <w:rPr/>
        <w:t>el</w:t>
      </w:r>
      <w:r>
        <w:rPr>
          <w:spacing w:val="-15"/>
        </w:rPr>
        <w:t> </w:t>
      </w:r>
      <w:r>
        <w:rPr/>
        <w:t>vector</w:t>
      </w:r>
      <w:r>
        <w:rPr>
          <w:spacing w:val="-16"/>
        </w:rPr>
        <w:t> </w:t>
      </w:r>
      <w:r>
        <w:rPr/>
        <w:t>del</w:t>
      </w:r>
      <w:r>
        <w:rPr>
          <w:spacing w:val="-15"/>
        </w:rPr>
        <w:t> </w:t>
      </w:r>
      <w:r>
        <w:rPr/>
        <w:t>subtipo enzoótico IE es altamente susceptible a la infección con cepas simpátricas IE,</w:t>
      </w:r>
      <w:r>
        <w:rPr>
          <w:spacing w:val="-31"/>
        </w:rPr>
        <w:t> </w:t>
      </w:r>
      <w:r>
        <w:rPr/>
        <w:t>pero relativamente refractario a los subtipos IAB, IC, ID, II( Everglades), III( Mucambo) y IV (Pixuna). Infecciones experimentales adicionales de vectores del subtipo enzoótico ID con cepas epizoóticas y enzoóticas son necesarios para probar la hipótesis de que la adaptación a vectores epizoóticos reduce la capacidad de    las</w:t>
      </w:r>
    </w:p>
    <w:p>
      <w:pPr>
        <w:pStyle w:val="BodyText"/>
      </w:pPr>
    </w:p>
    <w:p>
      <w:pPr>
        <w:pStyle w:val="BodyText"/>
        <w:spacing w:before="7"/>
        <w:rPr>
          <w:sz w:val="29"/>
        </w:rPr>
      </w:pPr>
    </w:p>
    <w:p>
      <w:pPr>
        <w:spacing w:before="0"/>
        <w:ind w:left="330" w:right="346" w:firstLine="0"/>
        <w:jc w:val="center"/>
        <w:rPr>
          <w:rFonts w:ascii="Calibri"/>
          <w:b/>
          <w:sz w:val="22"/>
        </w:rPr>
      </w:pPr>
      <w:r>
        <w:rPr>
          <w:rFonts w:ascii="Calibri"/>
          <w:b/>
          <w:sz w:val="22"/>
        </w:rPr>
        <w:t>33</w:t>
      </w:r>
    </w:p>
    <w:p>
      <w:pPr>
        <w:spacing w:after="0"/>
        <w:jc w:val="center"/>
        <w:rPr>
          <w:rFonts w:ascii="Calibri"/>
          <w:sz w:val="22"/>
        </w:rPr>
        <w:sectPr>
          <w:footerReference w:type="default" r:id="rId40"/>
          <w:pgSz w:w="12240" w:h="15840"/>
          <w:pgMar w:footer="0" w:header="0" w:top="1360" w:bottom="280" w:left="1600" w:right="1580"/>
        </w:sectPr>
      </w:pPr>
    </w:p>
    <w:p>
      <w:pPr>
        <w:pStyle w:val="BodyText"/>
        <w:spacing w:line="360" w:lineRule="auto" w:before="54"/>
        <w:ind w:left="102" w:right="124"/>
        <w:jc w:val="both"/>
        <w:rPr>
          <w:sz w:val="16"/>
        </w:rPr>
      </w:pPr>
      <w:r>
        <w:rPr/>
        <w:t>cepas epizoóticas para los vectores enzoóticos ancestrales. La misma pérdida de capacidad podría aplicar para los reservorios de las cepas enzoóticas comparado con los reservorios de las cepas epizoóticas; infecciones con el VEEV en roedores reservorios son necesarias para evaluar esta hipótesis. </w:t>
      </w:r>
      <w:r>
        <w:rPr>
          <w:position w:val="8"/>
          <w:sz w:val="16"/>
        </w:rPr>
        <w:t>(33)</w:t>
      </w:r>
    </w:p>
    <w:p>
      <w:pPr>
        <w:pStyle w:val="BodyText"/>
        <w:rPr>
          <w:sz w:val="36"/>
        </w:rPr>
      </w:pPr>
    </w:p>
    <w:p>
      <w:pPr>
        <w:pStyle w:val="Heading4"/>
        <w:numPr>
          <w:ilvl w:val="1"/>
          <w:numId w:val="6"/>
        </w:numPr>
        <w:tabs>
          <w:tab w:pos="705" w:val="left" w:leader="none"/>
        </w:tabs>
        <w:spacing w:line="240" w:lineRule="auto" w:before="0" w:after="0"/>
        <w:ind w:left="704" w:right="0" w:hanging="602"/>
        <w:jc w:val="both"/>
      </w:pPr>
      <w:r>
        <w:rPr/>
        <w:t>Patogénesis y diseminación en vertebrados del</w:t>
      </w:r>
      <w:r>
        <w:rPr>
          <w:spacing w:val="-18"/>
        </w:rPr>
        <w:t> </w:t>
      </w:r>
      <w:r>
        <w:rPr/>
        <w:t>VEEV</w:t>
      </w:r>
    </w:p>
    <w:p>
      <w:pPr>
        <w:pStyle w:val="BodyText"/>
        <w:rPr>
          <w:b/>
        </w:rPr>
      </w:pPr>
    </w:p>
    <w:p>
      <w:pPr>
        <w:pStyle w:val="BodyText"/>
        <w:rPr>
          <w:b/>
        </w:rPr>
      </w:pPr>
    </w:p>
    <w:p>
      <w:pPr>
        <w:pStyle w:val="BodyText"/>
        <w:tabs>
          <w:tab w:pos="1317" w:val="left" w:leader="none"/>
        </w:tabs>
        <w:spacing w:line="357" w:lineRule="auto"/>
        <w:ind w:left="102" w:right="127"/>
        <w:rPr>
          <w:sz w:val="16"/>
        </w:rPr>
      </w:pPr>
      <w:r>
        <w:rPr/>
        <w:t>El VEEV puede causar un amplio rango de signos y síntomas que van desde inaparentes hasta encefalitis aguda en equinos y humanos. Las cepas enzoóticas (IE,</w:t>
      </w:r>
      <w:r>
        <w:rPr>
          <w:spacing w:val="43"/>
        </w:rPr>
        <w:t> </w:t>
      </w:r>
      <w:r>
        <w:rPr/>
        <w:t>II,</w:t>
      </w:r>
      <w:r>
        <w:rPr>
          <w:spacing w:val="43"/>
        </w:rPr>
        <w:t> </w:t>
      </w:r>
      <w:r>
        <w:rPr/>
        <w:t>III</w:t>
        <w:tab/>
        <w:t>IV) generalmente  no  son  virulentos para  los equinos</w:t>
      </w:r>
      <w:r>
        <w:rPr>
          <w:spacing w:val="53"/>
        </w:rPr>
        <w:t> </w:t>
      </w:r>
      <w:r>
        <w:rPr/>
        <w:t>generando</w:t>
      </w:r>
      <w:r>
        <w:rPr>
          <w:spacing w:val="38"/>
        </w:rPr>
        <w:t> </w:t>
      </w:r>
      <w:r>
        <w:rPr/>
        <w:t>una</w:t>
      </w:r>
      <w:r>
        <w:rPr>
          <w:w w:val="99"/>
        </w:rPr>
        <w:t> </w:t>
      </w:r>
      <w:r>
        <w:rPr/>
        <w:t>viremia con bajos títulos y no producen signos o enfermedad </w:t>
      </w:r>
      <w:r>
        <w:rPr>
          <w:position w:val="8"/>
          <w:sz w:val="16"/>
        </w:rPr>
        <w:t>(104, 105,</w:t>
      </w:r>
      <w:r>
        <w:rPr>
          <w:spacing w:val="-23"/>
          <w:position w:val="8"/>
          <w:sz w:val="16"/>
        </w:rPr>
        <w:t> </w:t>
      </w:r>
      <w:r>
        <w:rPr>
          <w:position w:val="8"/>
          <w:sz w:val="16"/>
        </w:rPr>
        <w:t>106)</w:t>
      </w:r>
    </w:p>
    <w:p>
      <w:pPr>
        <w:pStyle w:val="BodyText"/>
        <w:spacing w:line="360" w:lineRule="auto" w:before="4"/>
        <w:ind w:left="102" w:right="117"/>
        <w:jc w:val="both"/>
        <w:rPr>
          <w:sz w:val="16"/>
        </w:rPr>
      </w:pPr>
      <w:r>
        <w:rPr/>
        <w:t>Las cepas epizoóticas (IAB y IC) pueden ser fatales tanto para equinos como para humanos y producen una alta viremia. Las tasas de mortalidad estimadas en los equinos durante las epizootias son de 19%-83%. Las fatalidades en humanos ocurren con menor frecuencia y la enfermedad neurológica aparece en aproximadamente 4%-14% de los casos. </w:t>
      </w:r>
      <w:r>
        <w:rPr>
          <w:position w:val="8"/>
          <w:sz w:val="16"/>
        </w:rPr>
        <w:t>(53, 109)</w:t>
      </w:r>
    </w:p>
    <w:p>
      <w:pPr>
        <w:pStyle w:val="BodyText"/>
        <w:spacing w:line="357" w:lineRule="auto"/>
        <w:ind w:left="102" w:right="127"/>
        <w:jc w:val="both"/>
        <w:rPr>
          <w:sz w:val="16"/>
        </w:rPr>
      </w:pPr>
      <w:r>
        <w:rPr/>
        <w:t>En los equinos, los signos y síntomas de la enfermedad aparecen alrededor de 2 a 5 días después de la infección con el VEEV epizoótico. Los signos incluyen fiebre, taquicardia, depresión y anorexia. </w:t>
      </w:r>
      <w:r>
        <w:rPr>
          <w:position w:val="8"/>
          <w:sz w:val="16"/>
        </w:rPr>
        <w:t>(105, 109, 110)</w:t>
      </w:r>
    </w:p>
    <w:p>
      <w:pPr>
        <w:pStyle w:val="BodyText"/>
        <w:spacing w:line="360" w:lineRule="auto" w:before="4"/>
        <w:ind w:left="102" w:right="117"/>
        <w:jc w:val="both"/>
        <w:rPr>
          <w:sz w:val="16"/>
        </w:rPr>
      </w:pPr>
      <w:r>
        <w:rPr/>
        <w:t>Un gran porcentaje de animales desarrolla encefalitis 5 a 10 días después de la infección, acompañada de signos como caminata en círculos, ataxia, hiperexcitabilidad, seguido de la muerte que ocurre cerca de una semana después de la infección. El nivel de viremia en el suero se correlaciona con el desarrollo de la encefalitis y la muerte, a pesar de que las cepas enzoóticas no son virulentas para los equinos pueden causar muerte a los equinos si se inyecta intracerebralmente</w:t>
      </w:r>
      <w:r>
        <w:rPr>
          <w:spacing w:val="-11"/>
        </w:rPr>
        <w:t> </w:t>
      </w:r>
      <w:r>
        <w:rPr/>
        <w:t>sugiriendo</w:t>
      </w:r>
      <w:r>
        <w:rPr>
          <w:spacing w:val="-12"/>
        </w:rPr>
        <w:t> </w:t>
      </w:r>
      <w:r>
        <w:rPr/>
        <w:t>que</w:t>
      </w:r>
      <w:r>
        <w:rPr>
          <w:spacing w:val="-12"/>
        </w:rPr>
        <w:t> </w:t>
      </w:r>
      <w:r>
        <w:rPr/>
        <w:t>la</w:t>
      </w:r>
      <w:r>
        <w:rPr>
          <w:spacing w:val="-12"/>
        </w:rPr>
        <w:t> </w:t>
      </w:r>
      <w:r>
        <w:rPr/>
        <w:t>virulencia</w:t>
      </w:r>
      <w:r>
        <w:rPr>
          <w:spacing w:val="-12"/>
        </w:rPr>
        <w:t> </w:t>
      </w:r>
      <w:r>
        <w:rPr/>
        <w:t>está</w:t>
      </w:r>
      <w:r>
        <w:rPr>
          <w:spacing w:val="-11"/>
        </w:rPr>
        <w:t> </w:t>
      </w:r>
      <w:r>
        <w:rPr/>
        <w:t>relacionada</w:t>
      </w:r>
      <w:r>
        <w:rPr>
          <w:spacing w:val="-12"/>
        </w:rPr>
        <w:t> </w:t>
      </w:r>
      <w:r>
        <w:rPr/>
        <w:t>con</w:t>
      </w:r>
      <w:r>
        <w:rPr>
          <w:spacing w:val="-12"/>
        </w:rPr>
        <w:t> </w:t>
      </w:r>
      <w:r>
        <w:rPr/>
        <w:t>la</w:t>
      </w:r>
      <w:r>
        <w:rPr>
          <w:spacing w:val="-12"/>
        </w:rPr>
        <w:t> </w:t>
      </w:r>
      <w:r>
        <w:rPr/>
        <w:t>habilidad</w:t>
      </w:r>
      <w:r>
        <w:rPr>
          <w:spacing w:val="-12"/>
        </w:rPr>
        <w:t> </w:t>
      </w:r>
      <w:r>
        <w:rPr/>
        <w:t>del VEEV de replicarse extracerebralmente y extenderse al cerebro.</w:t>
      </w:r>
      <w:r>
        <w:rPr>
          <w:spacing w:val="-18"/>
        </w:rPr>
        <w:t> </w:t>
      </w:r>
      <w:r>
        <w:rPr>
          <w:position w:val="8"/>
          <w:sz w:val="16"/>
        </w:rPr>
        <w:t>(33)</w:t>
      </w:r>
    </w:p>
    <w:p>
      <w:pPr>
        <w:pStyle w:val="BodyText"/>
        <w:spacing w:line="360" w:lineRule="auto" w:before="1"/>
        <w:ind w:left="102" w:right="119"/>
        <w:jc w:val="both"/>
      </w:pPr>
      <w:r>
        <w:rPr/>
        <w:t>En humanos, la EEV afecta a todos los grupos etarios, tanto a hombres como a mujeres, sin embargo los niños son más propensos a desarrollar encefalitis fatal y sufrir de secuelas neurológicas permanentes. En mujeres embarazadas, el VEEV puede infectar al feto y causar efectos de nacimiento o abortos espontáneos y</w:t>
      </w:r>
    </w:p>
    <w:p>
      <w:pPr>
        <w:spacing w:after="0" w:line="360" w:lineRule="auto"/>
        <w:jc w:val="both"/>
        <w:sectPr>
          <w:footerReference w:type="default" r:id="rId41"/>
          <w:pgSz w:w="12240" w:h="15840"/>
          <w:pgMar w:footer="1113" w:header="0" w:top="1360" w:bottom="1300" w:left="1600" w:right="1580"/>
          <w:pgNumType w:start="34"/>
        </w:sectPr>
      </w:pPr>
    </w:p>
    <w:p>
      <w:pPr>
        <w:pStyle w:val="BodyText"/>
        <w:spacing w:line="357" w:lineRule="auto" w:before="54"/>
        <w:ind w:left="102" w:right="99"/>
        <w:jc w:val="both"/>
        <w:rPr>
          <w:sz w:val="16"/>
        </w:rPr>
      </w:pPr>
      <w:r>
        <w:rPr/>
        <w:t>mortinatos. El periodo de incubación en humanos es de 2 a 5 días después de la infeccion. </w:t>
      </w:r>
      <w:r>
        <w:rPr>
          <w:position w:val="8"/>
          <w:sz w:val="16"/>
        </w:rPr>
        <w:t>(109)</w:t>
      </w:r>
    </w:p>
    <w:p>
      <w:pPr>
        <w:pStyle w:val="BodyText"/>
        <w:spacing w:line="360" w:lineRule="auto" w:before="1"/>
        <w:ind w:left="102" w:right="98" w:firstLine="67"/>
        <w:jc w:val="both"/>
        <w:rPr>
          <w:sz w:val="16"/>
        </w:rPr>
      </w:pPr>
      <w:r>
        <w:rPr/>
        <w:t>La mayoría de las infecciones son aparentes con signos abruptos y síntomas incluyendo</w:t>
      </w:r>
      <w:r>
        <w:rPr>
          <w:spacing w:val="-18"/>
        </w:rPr>
        <w:t> </w:t>
      </w:r>
      <w:r>
        <w:rPr/>
        <w:t>malestar,</w:t>
      </w:r>
      <w:r>
        <w:rPr>
          <w:spacing w:val="-21"/>
        </w:rPr>
        <w:t> </w:t>
      </w:r>
      <w:r>
        <w:rPr/>
        <w:t>fiebre,</w:t>
      </w:r>
      <w:r>
        <w:rPr>
          <w:spacing w:val="-18"/>
        </w:rPr>
        <w:t> </w:t>
      </w:r>
      <w:r>
        <w:rPr/>
        <w:t>escalofríos</w:t>
      </w:r>
      <w:r>
        <w:rPr>
          <w:spacing w:val="-19"/>
        </w:rPr>
        <w:t> </w:t>
      </w:r>
      <w:r>
        <w:rPr/>
        <w:t>y</w:t>
      </w:r>
      <w:r>
        <w:rPr>
          <w:spacing w:val="-19"/>
        </w:rPr>
        <w:t> </w:t>
      </w:r>
      <w:r>
        <w:rPr/>
        <w:t>severo</w:t>
      </w:r>
      <w:r>
        <w:rPr>
          <w:spacing w:val="-16"/>
        </w:rPr>
        <w:t> </w:t>
      </w:r>
      <w:r>
        <w:rPr/>
        <w:t>dolor</w:t>
      </w:r>
      <w:r>
        <w:rPr>
          <w:spacing w:val="-17"/>
        </w:rPr>
        <w:t> </w:t>
      </w:r>
      <w:r>
        <w:rPr/>
        <w:t>retro-orbital</w:t>
      </w:r>
      <w:r>
        <w:rPr>
          <w:spacing w:val="-19"/>
        </w:rPr>
        <w:t> </w:t>
      </w:r>
      <w:r>
        <w:rPr/>
        <w:t>o</w:t>
      </w:r>
      <w:r>
        <w:rPr>
          <w:spacing w:val="-18"/>
        </w:rPr>
        <w:t> </w:t>
      </w:r>
      <w:r>
        <w:rPr/>
        <w:t>dolor</w:t>
      </w:r>
      <w:r>
        <w:rPr>
          <w:spacing w:val="-19"/>
        </w:rPr>
        <w:t> </w:t>
      </w:r>
      <w:r>
        <w:rPr/>
        <w:t>de</w:t>
      </w:r>
      <w:r>
        <w:rPr>
          <w:spacing w:val="-16"/>
        </w:rPr>
        <w:t> </w:t>
      </w:r>
      <w:r>
        <w:rPr/>
        <w:t>cabeza occipital. La mialgia ocurre en la región lumbar de la espalda y los muslos. Los signos de la infección del VEEV incluyen leucopenia, taquicardia y fiebre, y comúnmente están acompañados por nauseas, vómito y diarrea. Los signos </w:t>
      </w:r>
      <w:r>
        <w:rPr>
          <w:spacing w:val="-2"/>
        </w:rPr>
        <w:t>que </w:t>
      </w:r>
      <w:r>
        <w:rPr/>
        <w:t>involucran el sistema nervioso central incluyen convulsiones, confusión, mareo y fotofobia. La enfermedad aguda a menudo desaparece alrededor del día 4 al 6 después del inicio, pero es común que los individuos infectados se sientan débiles por varias semanas. La enfermedad ocasionalmente puede ser bifásica con recurrencia</w:t>
      </w:r>
      <w:r>
        <w:rPr>
          <w:spacing w:val="-9"/>
        </w:rPr>
        <w:t> </w:t>
      </w:r>
      <w:r>
        <w:rPr/>
        <w:t>de</w:t>
      </w:r>
      <w:r>
        <w:rPr>
          <w:spacing w:val="-8"/>
        </w:rPr>
        <w:t> </w:t>
      </w:r>
      <w:r>
        <w:rPr/>
        <w:t>4</w:t>
      </w:r>
      <w:r>
        <w:rPr>
          <w:spacing w:val="-8"/>
        </w:rPr>
        <w:t> </w:t>
      </w:r>
      <w:r>
        <w:rPr/>
        <w:t>a</w:t>
      </w:r>
      <w:r>
        <w:rPr>
          <w:spacing w:val="-11"/>
        </w:rPr>
        <w:t> </w:t>
      </w:r>
      <w:r>
        <w:rPr/>
        <w:t>8</w:t>
      </w:r>
      <w:r>
        <w:rPr>
          <w:spacing w:val="-8"/>
        </w:rPr>
        <w:t> </w:t>
      </w:r>
      <w:r>
        <w:rPr/>
        <w:t>después</w:t>
      </w:r>
      <w:r>
        <w:rPr>
          <w:spacing w:val="-12"/>
        </w:rPr>
        <w:t> </w:t>
      </w:r>
      <w:r>
        <w:rPr/>
        <w:t>del</w:t>
      </w:r>
      <w:r>
        <w:rPr>
          <w:spacing w:val="-10"/>
        </w:rPr>
        <w:t> </w:t>
      </w:r>
      <w:r>
        <w:rPr/>
        <w:t>inicio.</w:t>
      </w:r>
      <w:r>
        <w:rPr>
          <w:spacing w:val="-8"/>
        </w:rPr>
        <w:t> </w:t>
      </w:r>
      <w:r>
        <w:rPr/>
        <w:t>Las</w:t>
      </w:r>
      <w:r>
        <w:rPr>
          <w:spacing w:val="-9"/>
        </w:rPr>
        <w:t> </w:t>
      </w:r>
      <w:r>
        <w:rPr/>
        <w:t>infecciones</w:t>
      </w:r>
      <w:r>
        <w:rPr>
          <w:spacing w:val="-4"/>
        </w:rPr>
        <w:t> </w:t>
      </w:r>
      <w:r>
        <w:rPr/>
        <w:t>letales</w:t>
      </w:r>
      <w:r>
        <w:rPr>
          <w:spacing w:val="-11"/>
        </w:rPr>
        <w:t> </w:t>
      </w:r>
      <w:r>
        <w:rPr/>
        <w:t>en</w:t>
      </w:r>
      <w:r>
        <w:rPr>
          <w:spacing w:val="-8"/>
        </w:rPr>
        <w:t> </w:t>
      </w:r>
      <w:r>
        <w:rPr/>
        <w:t>humanos</w:t>
      </w:r>
      <w:r>
        <w:rPr>
          <w:spacing w:val="-9"/>
        </w:rPr>
        <w:t> </w:t>
      </w:r>
      <w:r>
        <w:rPr/>
        <w:t>ocurren en</w:t>
      </w:r>
      <w:r>
        <w:rPr>
          <w:spacing w:val="-13"/>
        </w:rPr>
        <w:t> </w:t>
      </w:r>
      <w:r>
        <w:rPr/>
        <w:t>menos</w:t>
      </w:r>
      <w:r>
        <w:rPr>
          <w:spacing w:val="-15"/>
        </w:rPr>
        <w:t> </w:t>
      </w:r>
      <w:r>
        <w:rPr/>
        <w:t>de</w:t>
      </w:r>
      <w:r>
        <w:rPr>
          <w:spacing w:val="-13"/>
        </w:rPr>
        <w:t> </w:t>
      </w:r>
      <w:r>
        <w:rPr/>
        <w:t>1%</w:t>
      </w:r>
      <w:r>
        <w:rPr>
          <w:spacing w:val="-14"/>
        </w:rPr>
        <w:t> </w:t>
      </w:r>
      <w:r>
        <w:rPr/>
        <w:t>de</w:t>
      </w:r>
      <w:r>
        <w:rPr>
          <w:spacing w:val="-13"/>
        </w:rPr>
        <w:t> </w:t>
      </w:r>
      <w:r>
        <w:rPr/>
        <w:t>los</w:t>
      </w:r>
      <w:r>
        <w:rPr>
          <w:spacing w:val="-15"/>
        </w:rPr>
        <w:t> </w:t>
      </w:r>
      <w:r>
        <w:rPr/>
        <w:t>casos</w:t>
      </w:r>
      <w:r>
        <w:rPr>
          <w:spacing w:val="-14"/>
        </w:rPr>
        <w:t> </w:t>
      </w:r>
      <w:r>
        <w:rPr/>
        <w:t>y</w:t>
      </w:r>
      <w:r>
        <w:rPr>
          <w:spacing w:val="-15"/>
        </w:rPr>
        <w:t> </w:t>
      </w:r>
      <w:r>
        <w:rPr/>
        <w:t>están</w:t>
      </w:r>
      <w:r>
        <w:rPr>
          <w:spacing w:val="-13"/>
        </w:rPr>
        <w:t> </w:t>
      </w:r>
      <w:r>
        <w:rPr/>
        <w:t>acompañadas</w:t>
      </w:r>
      <w:r>
        <w:rPr>
          <w:spacing w:val="-14"/>
        </w:rPr>
        <w:t> </w:t>
      </w:r>
      <w:r>
        <w:rPr/>
        <w:t>con</w:t>
      </w:r>
      <w:r>
        <w:rPr>
          <w:spacing w:val="-13"/>
        </w:rPr>
        <w:t> </w:t>
      </w:r>
      <w:r>
        <w:rPr/>
        <w:t>congestión</w:t>
      </w:r>
      <w:r>
        <w:rPr>
          <w:spacing w:val="-15"/>
        </w:rPr>
        <w:t> </w:t>
      </w:r>
      <w:r>
        <w:rPr/>
        <w:t>difusa</w:t>
      </w:r>
      <w:r>
        <w:rPr>
          <w:spacing w:val="-13"/>
        </w:rPr>
        <w:t> </w:t>
      </w:r>
      <w:r>
        <w:rPr/>
        <w:t>y</w:t>
      </w:r>
      <w:r>
        <w:rPr>
          <w:spacing w:val="-15"/>
        </w:rPr>
        <w:t> </w:t>
      </w:r>
      <w:r>
        <w:rPr/>
        <w:t>edema con hemorragia en el cerebro, tracto gastrointestinal y pulmones. </w:t>
      </w:r>
      <w:r>
        <w:rPr>
          <w:position w:val="8"/>
          <w:sz w:val="16"/>
        </w:rPr>
        <w:t>(45,</w:t>
      </w:r>
      <w:r>
        <w:rPr>
          <w:spacing w:val="-25"/>
          <w:position w:val="8"/>
          <w:sz w:val="16"/>
        </w:rPr>
        <w:t> </w:t>
      </w:r>
      <w:r>
        <w:rPr>
          <w:position w:val="8"/>
          <w:sz w:val="16"/>
        </w:rPr>
        <w:t>109)</w:t>
      </w:r>
    </w:p>
    <w:p>
      <w:pPr>
        <w:pStyle w:val="BodyText"/>
        <w:spacing w:line="360" w:lineRule="auto"/>
        <w:ind w:left="102" w:right="104" w:firstLine="67"/>
        <w:jc w:val="both"/>
      </w:pPr>
      <w:r>
        <w:rPr/>
        <w:t>Algunos individuos desarrollan meningoencefalitis asociada con vasculitis necrotizante y cerebritis. Similar a lo que ocurre con los equinos y roedores de laboratorio, se presenta una importante reducción de linfocitos en los nódulos linfáticos, bazo y tracto gastrointestinal.</w:t>
      </w:r>
    </w:p>
    <w:p>
      <w:pPr>
        <w:pStyle w:val="BodyText"/>
        <w:spacing w:line="360" w:lineRule="auto" w:before="2"/>
        <w:ind w:left="102" w:right="99"/>
        <w:jc w:val="both"/>
      </w:pPr>
      <w:r>
        <w:rPr/>
        <w:t>Los reservorios naturales infectados si presenta viremia, pero no muestran signos o síntomas de enfermedad seguido de infecciones experimentales.</w:t>
      </w:r>
    </w:p>
    <w:p>
      <w:pPr>
        <w:pStyle w:val="BodyText"/>
        <w:spacing w:line="360" w:lineRule="auto" w:before="2"/>
        <w:ind w:left="102" w:right="104"/>
        <w:jc w:val="both"/>
        <w:rPr>
          <w:sz w:val="16"/>
        </w:rPr>
      </w:pPr>
      <w:r>
        <w:rPr/>
        <w:t>La infección experimental del VEEV en primates no humanos causa una enfermedad</w:t>
      </w:r>
      <w:r>
        <w:rPr>
          <w:spacing w:val="-16"/>
        </w:rPr>
        <w:t> </w:t>
      </w:r>
      <w:r>
        <w:rPr/>
        <w:t>febril</w:t>
      </w:r>
      <w:r>
        <w:rPr>
          <w:spacing w:val="-13"/>
        </w:rPr>
        <w:t> </w:t>
      </w:r>
      <w:r>
        <w:rPr/>
        <w:t>inespecífica</w:t>
      </w:r>
      <w:r>
        <w:rPr>
          <w:spacing w:val="-14"/>
        </w:rPr>
        <w:t> </w:t>
      </w:r>
      <w:r>
        <w:rPr/>
        <w:t>similar</w:t>
      </w:r>
      <w:r>
        <w:rPr>
          <w:spacing w:val="-16"/>
        </w:rPr>
        <w:t> </w:t>
      </w:r>
      <w:r>
        <w:rPr/>
        <w:t>a</w:t>
      </w:r>
      <w:r>
        <w:rPr>
          <w:spacing w:val="-13"/>
        </w:rPr>
        <w:t> </w:t>
      </w:r>
      <w:r>
        <w:rPr/>
        <w:t>la</w:t>
      </w:r>
      <w:r>
        <w:rPr>
          <w:spacing w:val="-13"/>
        </w:rPr>
        <w:t> </w:t>
      </w:r>
      <w:r>
        <w:rPr/>
        <w:t>que</w:t>
      </w:r>
      <w:r>
        <w:rPr>
          <w:spacing w:val="-13"/>
        </w:rPr>
        <w:t> </w:t>
      </w:r>
      <w:r>
        <w:rPr/>
        <w:t>se</w:t>
      </w:r>
      <w:r>
        <w:rPr>
          <w:spacing w:val="-14"/>
        </w:rPr>
        <w:t> </w:t>
      </w:r>
      <w:r>
        <w:rPr/>
        <w:t>observa</w:t>
      </w:r>
      <w:r>
        <w:rPr>
          <w:spacing w:val="-13"/>
        </w:rPr>
        <w:t> </w:t>
      </w:r>
      <w:r>
        <w:rPr/>
        <w:t>en</w:t>
      </w:r>
      <w:r>
        <w:rPr>
          <w:spacing w:val="-14"/>
        </w:rPr>
        <w:t> </w:t>
      </w:r>
      <w:r>
        <w:rPr/>
        <w:t>humanos.</w:t>
      </w:r>
      <w:r>
        <w:rPr>
          <w:spacing w:val="-14"/>
        </w:rPr>
        <w:t> </w:t>
      </w:r>
      <w:r>
        <w:rPr/>
        <w:t>Enfermedad fatal es observada en conejos domésticos, borregos, cabras y perros durante </w:t>
      </w:r>
      <w:r>
        <w:rPr>
          <w:position w:val="-7"/>
        </w:rPr>
        <w:t>epizootias. </w:t>
      </w:r>
      <w:r>
        <w:rPr>
          <w:sz w:val="16"/>
        </w:rPr>
        <w:t>(109, 110,</w:t>
      </w:r>
      <w:r>
        <w:rPr>
          <w:spacing w:val="-7"/>
          <w:sz w:val="16"/>
        </w:rPr>
        <w:t> </w:t>
      </w:r>
      <w:r>
        <w:rPr>
          <w:sz w:val="16"/>
        </w:rPr>
        <w:t>111)</w:t>
      </w:r>
    </w:p>
    <w:p>
      <w:pPr>
        <w:pStyle w:val="BodyText"/>
        <w:spacing w:line="357" w:lineRule="auto"/>
        <w:ind w:left="102" w:right="99"/>
        <w:jc w:val="both"/>
        <w:rPr>
          <w:sz w:val="16"/>
        </w:rPr>
      </w:pPr>
      <w:r>
        <w:rPr/>
        <w:t>Roedores de laboratorio como hámsters y ratones son extremadamente susceptibles a la infección con el VEEV con todos los subtipos y algunos subtipos causan enfermedad fatal. </w:t>
      </w:r>
      <w:r>
        <w:rPr>
          <w:position w:val="8"/>
          <w:sz w:val="16"/>
        </w:rPr>
        <w:t>(53)</w:t>
      </w:r>
    </w:p>
    <w:p>
      <w:pPr>
        <w:pStyle w:val="BodyText"/>
        <w:spacing w:line="357" w:lineRule="auto" w:before="4"/>
        <w:ind w:left="102" w:right="104"/>
        <w:jc w:val="both"/>
        <w:rPr>
          <w:sz w:val="16"/>
        </w:rPr>
      </w:pPr>
      <w:r>
        <w:rPr/>
        <w:t>Las cepas epizoóticas IAB y IC además de algunas cepas ID del VEEV son conocidas</w:t>
      </w:r>
      <w:r>
        <w:rPr>
          <w:spacing w:val="-5"/>
        </w:rPr>
        <w:t> </w:t>
      </w:r>
      <w:r>
        <w:rPr/>
        <w:t>por</w:t>
      </w:r>
      <w:r>
        <w:rPr>
          <w:spacing w:val="-6"/>
        </w:rPr>
        <w:t> </w:t>
      </w:r>
      <w:r>
        <w:rPr/>
        <w:t>ser</w:t>
      </w:r>
      <w:r>
        <w:rPr>
          <w:spacing w:val="-6"/>
        </w:rPr>
        <w:t> </w:t>
      </w:r>
      <w:r>
        <w:rPr/>
        <w:t>letales</w:t>
      </w:r>
      <w:r>
        <w:rPr>
          <w:spacing w:val="-5"/>
        </w:rPr>
        <w:t> </w:t>
      </w:r>
      <w:r>
        <w:rPr/>
        <w:t>para</w:t>
      </w:r>
      <w:r>
        <w:rPr>
          <w:spacing w:val="-5"/>
        </w:rPr>
        <w:t> </w:t>
      </w:r>
      <w:r>
        <w:rPr/>
        <w:t>los</w:t>
      </w:r>
      <w:r>
        <w:rPr>
          <w:spacing w:val="-5"/>
        </w:rPr>
        <w:t> </w:t>
      </w:r>
      <w:r>
        <w:rPr/>
        <w:t>cobayos,</w:t>
      </w:r>
      <w:r>
        <w:rPr>
          <w:spacing w:val="-5"/>
        </w:rPr>
        <w:t> </w:t>
      </w:r>
      <w:r>
        <w:rPr/>
        <w:t>pero</w:t>
      </w:r>
      <w:r>
        <w:rPr>
          <w:spacing w:val="-5"/>
        </w:rPr>
        <w:t> </w:t>
      </w:r>
      <w:r>
        <w:rPr/>
        <w:t>otros</w:t>
      </w:r>
      <w:r>
        <w:rPr>
          <w:spacing w:val="-5"/>
        </w:rPr>
        <w:t> </w:t>
      </w:r>
      <w:r>
        <w:rPr/>
        <w:t>subtipos</w:t>
      </w:r>
      <w:r>
        <w:rPr>
          <w:spacing w:val="-5"/>
        </w:rPr>
        <w:t> </w:t>
      </w:r>
      <w:r>
        <w:rPr/>
        <w:t>enzoóticos</w:t>
      </w:r>
      <w:r>
        <w:rPr>
          <w:spacing w:val="-5"/>
        </w:rPr>
        <w:t> </w:t>
      </w:r>
      <w:r>
        <w:rPr/>
        <w:t>que</w:t>
      </w:r>
      <w:r>
        <w:rPr>
          <w:spacing w:val="-7"/>
        </w:rPr>
        <w:t> </w:t>
      </w:r>
      <w:r>
        <w:rPr/>
        <w:t>han sido probados no provocaron la muerte.</w:t>
      </w:r>
      <w:r>
        <w:rPr>
          <w:spacing w:val="-11"/>
        </w:rPr>
        <w:t> </w:t>
      </w:r>
      <w:r>
        <w:rPr>
          <w:position w:val="8"/>
          <w:sz w:val="16"/>
        </w:rPr>
        <w:t>(94)</w:t>
      </w:r>
    </w:p>
    <w:p>
      <w:pPr>
        <w:spacing w:after="0" w:line="357" w:lineRule="auto"/>
        <w:jc w:val="both"/>
        <w:rPr>
          <w:sz w:val="16"/>
        </w:rPr>
        <w:sectPr>
          <w:pgSz w:w="12240" w:h="15840"/>
          <w:pgMar w:header="0" w:footer="1113" w:top="1360" w:bottom="1320" w:left="1600" w:right="1600"/>
        </w:sectPr>
      </w:pPr>
    </w:p>
    <w:p>
      <w:pPr>
        <w:pStyle w:val="BodyText"/>
        <w:spacing w:line="362" w:lineRule="auto" w:before="54"/>
        <w:ind w:left="102" w:right="118"/>
        <w:jc w:val="both"/>
      </w:pPr>
      <w:r>
        <w:rPr/>
        <w:t>La replicación y diseminación del VEEV cuando es inoculado en ratones resulta en fases linfotrópica y neurotrópica.</w:t>
      </w:r>
    </w:p>
    <w:p>
      <w:pPr>
        <w:pStyle w:val="BodyText"/>
        <w:rPr>
          <w:sz w:val="20"/>
        </w:rPr>
      </w:pPr>
    </w:p>
    <w:p>
      <w:pPr>
        <w:pStyle w:val="BodyText"/>
        <w:spacing w:before="9"/>
        <w:rPr>
          <w:sz w:val="12"/>
        </w:rPr>
      </w:pPr>
      <w:r>
        <w:rPr/>
        <w:drawing>
          <wp:anchor distT="0" distB="0" distL="0" distR="0" allowOverlap="1" layoutInCell="1" locked="0" behindDoc="0" simplePos="0" relativeHeight="1264">
            <wp:simplePos x="0" y="0"/>
            <wp:positionH relativeFrom="page">
              <wp:posOffset>1080516</wp:posOffset>
            </wp:positionH>
            <wp:positionV relativeFrom="paragraph">
              <wp:posOffset>118628</wp:posOffset>
            </wp:positionV>
            <wp:extent cx="4836655" cy="2980658"/>
            <wp:effectExtent l="0" t="0" r="0" b="0"/>
            <wp:wrapTopAndBottom/>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42" cstate="print"/>
                    <a:stretch>
                      <a:fillRect/>
                    </a:stretch>
                  </pic:blipFill>
                  <pic:spPr>
                    <a:xfrm>
                      <a:off x="0" y="0"/>
                      <a:ext cx="4836655" cy="2980658"/>
                    </a:xfrm>
                    <a:prstGeom prst="rect">
                      <a:avLst/>
                    </a:prstGeom>
                  </pic:spPr>
                </pic:pic>
              </a:graphicData>
            </a:graphic>
          </wp:anchor>
        </w:drawing>
      </w:r>
    </w:p>
    <w:p>
      <w:pPr>
        <w:spacing w:before="63"/>
        <w:ind w:left="102" w:right="115" w:firstLine="0"/>
        <w:jc w:val="both"/>
        <w:rPr>
          <w:sz w:val="22"/>
        </w:rPr>
      </w:pPr>
      <w:r>
        <w:rPr>
          <w:b/>
          <w:sz w:val="22"/>
        </w:rPr>
        <w:t>Figura</w:t>
      </w:r>
      <w:r>
        <w:rPr>
          <w:b/>
          <w:spacing w:val="40"/>
          <w:sz w:val="22"/>
        </w:rPr>
        <w:t> </w:t>
      </w:r>
      <w:r>
        <w:rPr>
          <w:b/>
          <w:sz w:val="22"/>
        </w:rPr>
        <w:t>11.</w:t>
      </w:r>
      <w:r>
        <w:rPr>
          <w:b/>
          <w:spacing w:val="-11"/>
          <w:sz w:val="22"/>
        </w:rPr>
        <w:t> </w:t>
      </w:r>
      <w:r>
        <w:rPr>
          <w:b/>
          <w:sz w:val="22"/>
        </w:rPr>
        <w:t>Patogénesis</w:t>
      </w:r>
      <w:r>
        <w:rPr>
          <w:b/>
          <w:spacing w:val="-13"/>
          <w:sz w:val="22"/>
        </w:rPr>
        <w:t> </w:t>
      </w:r>
      <w:r>
        <w:rPr>
          <w:b/>
          <w:sz w:val="22"/>
        </w:rPr>
        <w:t>del</w:t>
      </w:r>
      <w:r>
        <w:rPr>
          <w:b/>
          <w:spacing w:val="-11"/>
          <w:sz w:val="22"/>
        </w:rPr>
        <w:t> </w:t>
      </w:r>
      <w:r>
        <w:rPr>
          <w:b/>
          <w:sz w:val="22"/>
        </w:rPr>
        <w:t>VEEV</w:t>
      </w:r>
      <w:r>
        <w:rPr>
          <w:b/>
          <w:spacing w:val="-11"/>
          <w:sz w:val="22"/>
        </w:rPr>
        <w:t> </w:t>
      </w:r>
      <w:r>
        <w:rPr>
          <w:b/>
          <w:sz w:val="22"/>
        </w:rPr>
        <w:t>en</w:t>
      </w:r>
      <w:r>
        <w:rPr>
          <w:b/>
          <w:spacing w:val="-11"/>
          <w:sz w:val="22"/>
        </w:rPr>
        <w:t> </w:t>
      </w:r>
      <w:r>
        <w:rPr>
          <w:b/>
          <w:sz w:val="22"/>
        </w:rPr>
        <w:t>roedores</w:t>
      </w:r>
      <w:r>
        <w:rPr>
          <w:b/>
          <w:spacing w:val="-12"/>
          <w:sz w:val="22"/>
        </w:rPr>
        <w:t> </w:t>
      </w:r>
      <w:r>
        <w:rPr>
          <w:b/>
          <w:sz w:val="22"/>
        </w:rPr>
        <w:t>de</w:t>
      </w:r>
      <w:r>
        <w:rPr>
          <w:b/>
          <w:spacing w:val="-11"/>
          <w:sz w:val="22"/>
        </w:rPr>
        <w:t> </w:t>
      </w:r>
      <w:r>
        <w:rPr>
          <w:b/>
          <w:sz w:val="22"/>
        </w:rPr>
        <w:t>laboratorio</w:t>
      </w:r>
      <w:r>
        <w:rPr>
          <w:sz w:val="22"/>
        </w:rPr>
        <w:t>.</w:t>
      </w:r>
      <w:r>
        <w:rPr>
          <w:spacing w:val="-11"/>
          <w:sz w:val="22"/>
        </w:rPr>
        <w:t> </w:t>
      </w:r>
      <w:r>
        <w:rPr>
          <w:sz w:val="22"/>
        </w:rPr>
        <w:t>Seguido</w:t>
      </w:r>
      <w:r>
        <w:rPr>
          <w:spacing w:val="-13"/>
          <w:sz w:val="22"/>
        </w:rPr>
        <w:t> </w:t>
      </w:r>
      <w:r>
        <w:rPr>
          <w:sz w:val="22"/>
        </w:rPr>
        <w:t>de</w:t>
      </w:r>
      <w:r>
        <w:rPr>
          <w:spacing w:val="-10"/>
          <w:sz w:val="22"/>
        </w:rPr>
        <w:t> </w:t>
      </w:r>
      <w:r>
        <w:rPr>
          <w:sz w:val="22"/>
        </w:rPr>
        <w:t>la</w:t>
      </w:r>
      <w:r>
        <w:rPr>
          <w:spacing w:val="-10"/>
          <w:sz w:val="22"/>
        </w:rPr>
        <w:t> </w:t>
      </w:r>
      <w:r>
        <w:rPr>
          <w:sz w:val="22"/>
        </w:rPr>
        <w:t>inoculación subcutánea, el virus : 1) se replica en el nódulo linfático de 4-6 horas post infección (PI);</w:t>
      </w:r>
      <w:r>
        <w:rPr>
          <w:spacing w:val="-28"/>
          <w:sz w:val="22"/>
        </w:rPr>
        <w:t> </w:t>
      </w:r>
      <w:r>
        <w:rPr>
          <w:sz w:val="22"/>
        </w:rPr>
        <w:t>2) posteriormente</w:t>
      </w:r>
      <w:r>
        <w:rPr>
          <w:spacing w:val="-14"/>
          <w:sz w:val="22"/>
        </w:rPr>
        <w:t> </w:t>
      </w:r>
      <w:r>
        <w:rPr>
          <w:sz w:val="22"/>
        </w:rPr>
        <w:t>el</w:t>
      </w:r>
      <w:r>
        <w:rPr>
          <w:spacing w:val="-12"/>
          <w:sz w:val="22"/>
        </w:rPr>
        <w:t> </w:t>
      </w:r>
      <w:r>
        <w:rPr>
          <w:sz w:val="22"/>
        </w:rPr>
        <w:t>virus</w:t>
      </w:r>
      <w:r>
        <w:rPr>
          <w:spacing w:val="-14"/>
          <w:sz w:val="22"/>
        </w:rPr>
        <w:t> </w:t>
      </w:r>
      <w:r>
        <w:rPr>
          <w:sz w:val="22"/>
        </w:rPr>
        <w:t>se</w:t>
      </w:r>
      <w:r>
        <w:rPr>
          <w:spacing w:val="-11"/>
          <w:sz w:val="22"/>
        </w:rPr>
        <w:t> </w:t>
      </w:r>
      <w:r>
        <w:rPr>
          <w:sz w:val="22"/>
        </w:rPr>
        <w:t>disemina</w:t>
      </w:r>
      <w:r>
        <w:rPr>
          <w:spacing w:val="-14"/>
          <w:sz w:val="22"/>
        </w:rPr>
        <w:t> </w:t>
      </w:r>
      <w:r>
        <w:rPr>
          <w:sz w:val="22"/>
        </w:rPr>
        <w:t>a</w:t>
      </w:r>
      <w:r>
        <w:rPr>
          <w:spacing w:val="-16"/>
          <w:sz w:val="22"/>
        </w:rPr>
        <w:t> </w:t>
      </w:r>
      <w:r>
        <w:rPr>
          <w:sz w:val="22"/>
        </w:rPr>
        <w:t>través</w:t>
      </w:r>
      <w:r>
        <w:rPr>
          <w:spacing w:val="-11"/>
          <w:sz w:val="22"/>
        </w:rPr>
        <w:t> </w:t>
      </w:r>
      <w:r>
        <w:rPr>
          <w:sz w:val="22"/>
        </w:rPr>
        <w:t>del</w:t>
      </w:r>
      <w:r>
        <w:rPr>
          <w:spacing w:val="-17"/>
          <w:sz w:val="22"/>
        </w:rPr>
        <w:t> </w:t>
      </w:r>
      <w:r>
        <w:rPr>
          <w:sz w:val="22"/>
        </w:rPr>
        <w:t>tejido</w:t>
      </w:r>
      <w:r>
        <w:rPr>
          <w:spacing w:val="-11"/>
          <w:sz w:val="22"/>
        </w:rPr>
        <w:t> </w:t>
      </w:r>
      <w:r>
        <w:rPr>
          <w:sz w:val="22"/>
        </w:rPr>
        <w:t>linfoide,</w:t>
      </w:r>
      <w:r>
        <w:rPr>
          <w:spacing w:val="-12"/>
          <w:sz w:val="22"/>
        </w:rPr>
        <w:t> </w:t>
      </w:r>
      <w:r>
        <w:rPr>
          <w:sz w:val="22"/>
        </w:rPr>
        <w:t>la</w:t>
      </w:r>
      <w:r>
        <w:rPr>
          <w:spacing w:val="-14"/>
          <w:sz w:val="22"/>
        </w:rPr>
        <w:t> </w:t>
      </w:r>
      <w:r>
        <w:rPr>
          <w:sz w:val="22"/>
        </w:rPr>
        <w:t>viremia</w:t>
      </w:r>
      <w:r>
        <w:rPr>
          <w:spacing w:val="-12"/>
          <w:sz w:val="22"/>
        </w:rPr>
        <w:t> </w:t>
      </w:r>
      <w:r>
        <w:rPr>
          <w:sz w:val="22"/>
        </w:rPr>
        <w:t>ocurre</w:t>
      </w:r>
      <w:r>
        <w:rPr>
          <w:spacing w:val="-14"/>
          <w:sz w:val="22"/>
        </w:rPr>
        <w:t> </w:t>
      </w:r>
      <w:r>
        <w:rPr>
          <w:sz w:val="22"/>
        </w:rPr>
        <w:t>18-36</w:t>
      </w:r>
      <w:r>
        <w:rPr>
          <w:spacing w:val="-14"/>
          <w:sz w:val="22"/>
        </w:rPr>
        <w:t> </w:t>
      </w:r>
      <w:r>
        <w:rPr>
          <w:sz w:val="22"/>
        </w:rPr>
        <w:t>horas PI; 3) el virus se replica en varios tejidos y después 4) infecta el epitelio neural vía el bulbo olfatorio</w:t>
      </w:r>
      <w:r>
        <w:rPr>
          <w:spacing w:val="-7"/>
          <w:sz w:val="22"/>
        </w:rPr>
        <w:t> </w:t>
      </w:r>
      <w:r>
        <w:rPr>
          <w:sz w:val="22"/>
        </w:rPr>
        <w:t>48-72</w:t>
      </w:r>
      <w:r>
        <w:rPr>
          <w:spacing w:val="-8"/>
          <w:sz w:val="22"/>
        </w:rPr>
        <w:t> </w:t>
      </w:r>
      <w:r>
        <w:rPr>
          <w:sz w:val="22"/>
        </w:rPr>
        <w:t>horas</w:t>
      </w:r>
      <w:r>
        <w:rPr>
          <w:spacing w:val="-6"/>
          <w:sz w:val="22"/>
        </w:rPr>
        <w:t> </w:t>
      </w:r>
      <w:r>
        <w:rPr>
          <w:sz w:val="22"/>
        </w:rPr>
        <w:t>PI;</w:t>
      </w:r>
      <w:r>
        <w:rPr>
          <w:spacing w:val="-7"/>
          <w:sz w:val="22"/>
        </w:rPr>
        <w:t> </w:t>
      </w:r>
      <w:r>
        <w:rPr>
          <w:sz w:val="22"/>
        </w:rPr>
        <w:t>5)</w:t>
      </w:r>
      <w:r>
        <w:rPr>
          <w:spacing w:val="-6"/>
          <w:sz w:val="22"/>
        </w:rPr>
        <w:t> </w:t>
      </w:r>
      <w:r>
        <w:rPr>
          <w:sz w:val="22"/>
        </w:rPr>
        <w:t>una</w:t>
      </w:r>
      <w:r>
        <w:rPr>
          <w:spacing w:val="-6"/>
          <w:sz w:val="22"/>
        </w:rPr>
        <w:t> </w:t>
      </w:r>
      <w:r>
        <w:rPr>
          <w:sz w:val="22"/>
        </w:rPr>
        <w:t>vez</w:t>
      </w:r>
      <w:r>
        <w:rPr>
          <w:spacing w:val="-8"/>
          <w:sz w:val="22"/>
        </w:rPr>
        <w:t> </w:t>
      </w:r>
      <w:r>
        <w:rPr>
          <w:sz w:val="22"/>
        </w:rPr>
        <w:t>alcanzado</w:t>
      </w:r>
      <w:r>
        <w:rPr>
          <w:spacing w:val="-6"/>
          <w:sz w:val="22"/>
        </w:rPr>
        <w:t> </w:t>
      </w:r>
      <w:r>
        <w:rPr>
          <w:sz w:val="22"/>
        </w:rPr>
        <w:t>el</w:t>
      </w:r>
      <w:r>
        <w:rPr>
          <w:spacing w:val="-5"/>
          <w:sz w:val="22"/>
        </w:rPr>
        <w:t> </w:t>
      </w:r>
      <w:r>
        <w:rPr>
          <w:sz w:val="22"/>
        </w:rPr>
        <w:t>sistema</w:t>
      </w:r>
      <w:r>
        <w:rPr>
          <w:spacing w:val="-6"/>
          <w:sz w:val="22"/>
        </w:rPr>
        <w:t> </w:t>
      </w:r>
      <w:r>
        <w:rPr>
          <w:sz w:val="22"/>
        </w:rPr>
        <w:t>nervioso,</w:t>
      </w:r>
      <w:r>
        <w:rPr>
          <w:spacing w:val="-5"/>
          <w:sz w:val="22"/>
        </w:rPr>
        <w:t> </w:t>
      </w:r>
      <w:r>
        <w:rPr>
          <w:sz w:val="22"/>
        </w:rPr>
        <w:t>los</w:t>
      </w:r>
      <w:r>
        <w:rPr>
          <w:spacing w:val="-6"/>
          <w:sz w:val="22"/>
        </w:rPr>
        <w:t> </w:t>
      </w:r>
      <w:r>
        <w:rPr>
          <w:sz w:val="22"/>
        </w:rPr>
        <w:t>signos</w:t>
      </w:r>
      <w:r>
        <w:rPr>
          <w:spacing w:val="-6"/>
          <w:sz w:val="22"/>
        </w:rPr>
        <w:t> </w:t>
      </w:r>
      <w:r>
        <w:rPr>
          <w:sz w:val="22"/>
        </w:rPr>
        <w:t>de</w:t>
      </w:r>
      <w:r>
        <w:rPr>
          <w:spacing w:val="-7"/>
          <w:sz w:val="22"/>
        </w:rPr>
        <w:t> </w:t>
      </w:r>
      <w:r>
        <w:rPr>
          <w:sz w:val="22"/>
        </w:rPr>
        <w:t>encefalitis son aparentes lo que finalmente podría llevar a la</w:t>
      </w:r>
      <w:r>
        <w:rPr>
          <w:spacing w:val="-18"/>
          <w:sz w:val="22"/>
        </w:rPr>
        <w:t> </w:t>
      </w:r>
      <w:r>
        <w:rPr>
          <w:sz w:val="22"/>
        </w:rPr>
        <w:t>muerte.</w:t>
      </w:r>
    </w:p>
    <w:p>
      <w:pPr>
        <w:spacing w:before="0"/>
        <w:ind w:left="102" w:right="3709" w:firstLine="0"/>
        <w:jc w:val="left"/>
        <w:rPr>
          <w:sz w:val="22"/>
        </w:rPr>
      </w:pPr>
      <w:r>
        <w:rPr>
          <w:sz w:val="22"/>
        </w:rPr>
        <w:t>BALT= Tejido linfoide asociado a células sanguíneas. GALT= Tejido linfoide asociado al intestino.</w:t>
      </w:r>
    </w:p>
    <w:p>
      <w:pPr>
        <w:pStyle w:val="BodyText"/>
        <w:rPr>
          <w:sz w:val="22"/>
        </w:rPr>
      </w:pPr>
    </w:p>
    <w:p>
      <w:pPr>
        <w:pStyle w:val="BodyText"/>
        <w:spacing w:line="360" w:lineRule="auto" w:before="161"/>
        <w:ind w:left="102" w:right="117"/>
        <w:jc w:val="both"/>
        <w:rPr>
          <w:sz w:val="16"/>
        </w:rPr>
      </w:pPr>
      <w:r>
        <w:rPr/>
        <w:t>Esto simula lo que se observa e humanos y equinos, siendo los ratones un buen modelo. Sin embargo los ratones no son el modelo ideal, debido a su alta susceptibilidad a la enfermedad fatal, alcanzando una mortalidad a menudo del 100%.</w:t>
      </w:r>
      <w:r>
        <w:rPr>
          <w:spacing w:val="-8"/>
        </w:rPr>
        <w:t> </w:t>
      </w:r>
      <w:r>
        <w:rPr/>
        <w:t>Numerosos</w:t>
      </w:r>
      <w:r>
        <w:rPr>
          <w:spacing w:val="-9"/>
        </w:rPr>
        <w:t> </w:t>
      </w:r>
      <w:r>
        <w:rPr/>
        <w:t>estudios</w:t>
      </w:r>
      <w:r>
        <w:rPr>
          <w:spacing w:val="-6"/>
        </w:rPr>
        <w:t> </w:t>
      </w:r>
      <w:r>
        <w:rPr/>
        <w:t>sugieren</w:t>
      </w:r>
      <w:r>
        <w:rPr>
          <w:spacing w:val="-6"/>
        </w:rPr>
        <w:t> </w:t>
      </w:r>
      <w:r>
        <w:rPr/>
        <w:t>que</w:t>
      </w:r>
      <w:r>
        <w:rPr>
          <w:spacing w:val="-8"/>
        </w:rPr>
        <w:t> </w:t>
      </w:r>
      <w:r>
        <w:rPr/>
        <w:t>el</w:t>
      </w:r>
      <w:r>
        <w:rPr>
          <w:spacing w:val="-7"/>
        </w:rPr>
        <w:t> </w:t>
      </w:r>
      <w:r>
        <w:rPr/>
        <w:t>sitio</w:t>
      </w:r>
      <w:r>
        <w:rPr>
          <w:spacing w:val="-6"/>
        </w:rPr>
        <w:t> </w:t>
      </w:r>
      <w:r>
        <w:rPr/>
        <w:t>inicial</w:t>
      </w:r>
      <w:r>
        <w:rPr>
          <w:spacing w:val="-7"/>
        </w:rPr>
        <w:t> </w:t>
      </w:r>
      <w:r>
        <w:rPr/>
        <w:t>de</w:t>
      </w:r>
      <w:r>
        <w:rPr>
          <w:spacing w:val="-8"/>
        </w:rPr>
        <w:t> </w:t>
      </w:r>
      <w:r>
        <w:rPr/>
        <w:t>replicación</w:t>
      </w:r>
      <w:r>
        <w:rPr>
          <w:spacing w:val="-6"/>
        </w:rPr>
        <w:t> </w:t>
      </w:r>
      <w:r>
        <w:rPr/>
        <w:t>del</w:t>
      </w:r>
      <w:r>
        <w:rPr>
          <w:spacing w:val="-10"/>
        </w:rPr>
        <w:t> </w:t>
      </w:r>
      <w:r>
        <w:rPr/>
        <w:t>VEEV</w:t>
      </w:r>
      <w:r>
        <w:rPr>
          <w:spacing w:val="-6"/>
        </w:rPr>
        <w:t> </w:t>
      </w:r>
      <w:r>
        <w:rPr/>
        <w:t>son los nódulos linfáticos. Grieder et al. demostraron que después de la inoculación subcutánea del VEEV en la almohadilla plantar de un ratón, el nódulo linfático más cercano</w:t>
      </w:r>
      <w:r>
        <w:rPr>
          <w:spacing w:val="-17"/>
        </w:rPr>
        <w:t> </w:t>
      </w:r>
      <w:r>
        <w:rPr/>
        <w:t>era</w:t>
      </w:r>
      <w:r>
        <w:rPr>
          <w:spacing w:val="-15"/>
        </w:rPr>
        <w:t> </w:t>
      </w:r>
      <w:r>
        <w:rPr/>
        <w:t>el</w:t>
      </w:r>
      <w:r>
        <w:rPr>
          <w:spacing w:val="-15"/>
        </w:rPr>
        <w:t> </w:t>
      </w:r>
      <w:r>
        <w:rPr/>
        <w:t>que</w:t>
      </w:r>
      <w:r>
        <w:rPr>
          <w:spacing w:val="-16"/>
        </w:rPr>
        <w:t> </w:t>
      </w:r>
      <w:r>
        <w:rPr/>
        <w:t>contenía</w:t>
      </w:r>
      <w:r>
        <w:rPr>
          <w:spacing w:val="-14"/>
        </w:rPr>
        <w:t> </w:t>
      </w:r>
      <w:r>
        <w:rPr/>
        <w:t>la</w:t>
      </w:r>
      <w:r>
        <w:rPr>
          <w:spacing w:val="-17"/>
        </w:rPr>
        <w:t> </w:t>
      </w:r>
      <w:r>
        <w:rPr/>
        <w:t>mayor</w:t>
      </w:r>
      <w:r>
        <w:rPr>
          <w:spacing w:val="-16"/>
        </w:rPr>
        <w:t> </w:t>
      </w:r>
      <w:r>
        <w:rPr/>
        <w:t>cantidad</w:t>
      </w:r>
      <w:r>
        <w:rPr>
          <w:spacing w:val="-14"/>
        </w:rPr>
        <w:t> </w:t>
      </w:r>
      <w:r>
        <w:rPr/>
        <w:t>de</w:t>
      </w:r>
      <w:r>
        <w:rPr>
          <w:spacing w:val="-14"/>
        </w:rPr>
        <w:t> </w:t>
      </w:r>
      <w:r>
        <w:rPr/>
        <w:t>virus</w:t>
      </w:r>
      <w:r>
        <w:rPr>
          <w:spacing w:val="-15"/>
        </w:rPr>
        <w:t> </w:t>
      </w:r>
      <w:r>
        <w:rPr/>
        <w:t>comparado</w:t>
      </w:r>
      <w:r>
        <w:rPr>
          <w:spacing w:val="-14"/>
        </w:rPr>
        <w:t> </w:t>
      </w:r>
      <w:r>
        <w:rPr/>
        <w:t>con</w:t>
      </w:r>
      <w:r>
        <w:rPr>
          <w:spacing w:val="-14"/>
        </w:rPr>
        <w:t> </w:t>
      </w:r>
      <w:r>
        <w:rPr/>
        <w:t>otros</w:t>
      </w:r>
      <w:r>
        <w:rPr>
          <w:spacing w:val="-15"/>
        </w:rPr>
        <w:t> </w:t>
      </w:r>
      <w:r>
        <w:rPr/>
        <w:t>tejidos. El</w:t>
      </w:r>
      <w:r>
        <w:rPr>
          <w:spacing w:val="-19"/>
        </w:rPr>
        <w:t> </w:t>
      </w:r>
      <w:r>
        <w:rPr/>
        <w:t>uso</w:t>
      </w:r>
      <w:r>
        <w:rPr>
          <w:spacing w:val="-18"/>
        </w:rPr>
        <w:t> </w:t>
      </w:r>
      <w:r>
        <w:rPr/>
        <w:t>de</w:t>
      </w:r>
      <w:r>
        <w:rPr>
          <w:spacing w:val="31"/>
        </w:rPr>
        <w:t> </w:t>
      </w:r>
      <w:r>
        <w:rPr/>
        <w:t>replicones</w:t>
      </w:r>
      <w:r>
        <w:rPr>
          <w:spacing w:val="-19"/>
        </w:rPr>
        <w:t> </w:t>
      </w:r>
      <w:r>
        <w:rPr/>
        <w:t>que</w:t>
      </w:r>
      <w:r>
        <w:rPr>
          <w:spacing w:val="-18"/>
        </w:rPr>
        <w:t> </w:t>
      </w:r>
      <w:r>
        <w:rPr/>
        <w:t>contenían</w:t>
      </w:r>
      <w:r>
        <w:rPr>
          <w:spacing w:val="-20"/>
        </w:rPr>
        <w:t> </w:t>
      </w:r>
      <w:r>
        <w:rPr/>
        <w:t>proteína</w:t>
      </w:r>
      <w:r>
        <w:rPr>
          <w:spacing w:val="-20"/>
        </w:rPr>
        <w:t> </w:t>
      </w:r>
      <w:r>
        <w:rPr/>
        <w:t>fluorescente</w:t>
      </w:r>
      <w:r>
        <w:rPr>
          <w:spacing w:val="-18"/>
        </w:rPr>
        <w:t> </w:t>
      </w:r>
      <w:r>
        <w:rPr/>
        <w:t>verde</w:t>
      </w:r>
      <w:r>
        <w:rPr>
          <w:spacing w:val="-18"/>
        </w:rPr>
        <w:t> </w:t>
      </w:r>
      <w:r>
        <w:rPr/>
        <w:t>(GFP,</w:t>
      </w:r>
      <w:r>
        <w:rPr>
          <w:spacing w:val="-18"/>
        </w:rPr>
        <w:t> </w:t>
      </w:r>
      <w:r>
        <w:rPr/>
        <w:t>por</w:t>
      </w:r>
      <w:r>
        <w:rPr>
          <w:spacing w:val="-19"/>
        </w:rPr>
        <w:t> </w:t>
      </w:r>
      <w:r>
        <w:rPr/>
        <w:t>sus</w:t>
      </w:r>
      <w:r>
        <w:rPr>
          <w:spacing w:val="-19"/>
        </w:rPr>
        <w:t> </w:t>
      </w:r>
      <w:r>
        <w:rPr/>
        <w:t>siglas en inglés) identificaron las células de Langerhans como las primeras en ser infectadas por el virus.</w:t>
      </w:r>
      <w:r>
        <w:rPr>
          <w:spacing w:val="36"/>
        </w:rPr>
        <w:t> </w:t>
      </w:r>
      <w:r>
        <w:rPr>
          <w:position w:val="8"/>
          <w:sz w:val="16"/>
        </w:rPr>
        <w:t>(113,114)</w:t>
      </w:r>
    </w:p>
    <w:p>
      <w:pPr>
        <w:spacing w:after="0" w:line="360" w:lineRule="auto"/>
        <w:jc w:val="both"/>
        <w:rPr>
          <w:sz w:val="16"/>
        </w:rPr>
        <w:sectPr>
          <w:pgSz w:w="12240" w:h="15840"/>
          <w:pgMar w:header="0" w:footer="1113" w:top="1360" w:bottom="1300" w:left="1600" w:right="1580"/>
        </w:sectPr>
      </w:pPr>
    </w:p>
    <w:p>
      <w:pPr>
        <w:pStyle w:val="BodyText"/>
        <w:spacing w:line="357" w:lineRule="auto" w:before="54"/>
        <w:ind w:left="102" w:right="120"/>
        <w:jc w:val="both"/>
        <w:rPr>
          <w:sz w:val="16"/>
        </w:rPr>
      </w:pPr>
      <w:r>
        <w:rPr/>
        <w:t>En ambos casos tanto en roedores como en equinos, la infección por EEV lleva a una importante disminución mieloide en la medula ósea y una destrucción de linfocitos en los nódulos linfáticos y en el bazo. </w:t>
      </w:r>
      <w:r>
        <w:rPr>
          <w:position w:val="8"/>
          <w:sz w:val="16"/>
        </w:rPr>
        <w:t>(94, 115, 116)</w:t>
      </w:r>
    </w:p>
    <w:p>
      <w:pPr>
        <w:pStyle w:val="BodyText"/>
        <w:spacing w:line="360" w:lineRule="auto" w:before="4"/>
        <w:ind w:left="102" w:right="128" w:firstLine="67"/>
        <w:jc w:val="both"/>
      </w:pPr>
      <w:r>
        <w:rPr/>
        <w:t>En el modelo murino, el VEEV parece infectar el cerebro vía el bulbo olfatorio, a causa de a viremia.</w:t>
      </w:r>
    </w:p>
    <w:p>
      <w:pPr>
        <w:pStyle w:val="BodyText"/>
        <w:spacing w:line="360" w:lineRule="auto" w:before="5"/>
        <w:ind w:left="102" w:right="121"/>
        <w:jc w:val="both"/>
      </w:pPr>
      <w:r>
        <w:rPr/>
        <w:t>Las lesiones histopatológicas se pueden diferenciar en macroscópicas y microscópicas.</w:t>
      </w:r>
    </w:p>
    <w:p>
      <w:pPr>
        <w:pStyle w:val="BodyText"/>
        <w:spacing w:line="360" w:lineRule="auto" w:before="5"/>
        <w:ind w:left="102" w:right="117"/>
        <w:jc w:val="both"/>
      </w:pPr>
      <w:r>
        <w:rPr/>
        <w:t>Lesiones Macroscópicas: generalmente no se encuentran lesiones macroscópicas visibles en los casos de encefalitis, tan solo en algunos muy severos se pueden encontrar</w:t>
      </w:r>
      <w:r>
        <w:rPr>
          <w:spacing w:val="-11"/>
        </w:rPr>
        <w:t> </w:t>
      </w:r>
      <w:r>
        <w:rPr/>
        <w:t>áreas</w:t>
      </w:r>
      <w:r>
        <w:rPr>
          <w:spacing w:val="-14"/>
        </w:rPr>
        <w:t> </w:t>
      </w:r>
      <w:r>
        <w:rPr/>
        <w:t>de</w:t>
      </w:r>
      <w:r>
        <w:rPr>
          <w:spacing w:val="-13"/>
        </w:rPr>
        <w:t> </w:t>
      </w:r>
      <w:r>
        <w:rPr/>
        <w:t>necrosis</w:t>
      </w:r>
      <w:r>
        <w:rPr>
          <w:spacing w:val="-12"/>
        </w:rPr>
        <w:t> </w:t>
      </w:r>
      <w:r>
        <w:rPr/>
        <w:t>y</w:t>
      </w:r>
      <w:r>
        <w:rPr>
          <w:spacing w:val="-14"/>
        </w:rPr>
        <w:t> </w:t>
      </w:r>
      <w:r>
        <w:rPr/>
        <w:t>hemorragias.</w:t>
      </w:r>
      <w:r>
        <w:rPr>
          <w:spacing w:val="-11"/>
        </w:rPr>
        <w:t> </w:t>
      </w:r>
      <w:r>
        <w:rPr/>
        <w:t>Las</w:t>
      </w:r>
      <w:r>
        <w:rPr>
          <w:spacing w:val="-12"/>
        </w:rPr>
        <w:t> </w:t>
      </w:r>
      <w:r>
        <w:rPr/>
        <w:t>lesiones</w:t>
      </w:r>
      <w:r>
        <w:rPr>
          <w:spacing w:val="-12"/>
        </w:rPr>
        <w:t> </w:t>
      </w:r>
      <w:r>
        <w:rPr/>
        <w:t>reportadas</w:t>
      </w:r>
      <w:r>
        <w:rPr>
          <w:spacing w:val="-14"/>
        </w:rPr>
        <w:t> </w:t>
      </w:r>
      <w:r>
        <w:rPr/>
        <w:t>en</w:t>
      </w:r>
      <w:r>
        <w:rPr>
          <w:spacing w:val="-11"/>
        </w:rPr>
        <w:t> </w:t>
      </w:r>
      <w:r>
        <w:rPr/>
        <w:t>otros</w:t>
      </w:r>
      <w:r>
        <w:rPr>
          <w:spacing w:val="-14"/>
        </w:rPr>
        <w:t> </w:t>
      </w:r>
      <w:r>
        <w:rPr/>
        <w:t>tejidos son muy variables por lo que no tienen valor</w:t>
      </w:r>
      <w:r>
        <w:rPr>
          <w:spacing w:val="-22"/>
        </w:rPr>
        <w:t> </w:t>
      </w:r>
      <w:r>
        <w:rPr/>
        <w:t>diagnóstico</w:t>
      </w:r>
    </w:p>
    <w:p>
      <w:pPr>
        <w:pStyle w:val="BodyText"/>
        <w:spacing w:line="360" w:lineRule="auto" w:before="5"/>
        <w:ind w:left="102" w:right="116"/>
        <w:jc w:val="both"/>
      </w:pPr>
      <w:r>
        <w:rPr/>
        <w:t>Las lesiones microscópicas en equinos pueden ser sutiles y consisten en edema cerebral, gliosis focal y difusa, pero generalmente las lesiones son evidentes y se presenta vasculitis necrotizante severa, infiltración perivascular de linfocitos con algunos polimorfonucleares neutrófilos, esta infiltración de polimorfonucleares se presenta adicionalmente se observa vasculitis, hemorragias, meningoencefalitis difusa. Las lesiones más severas se localizan en la corteza cerebral, el tálamo y el cuerpo</w:t>
      </w:r>
      <w:r>
        <w:rPr>
          <w:spacing w:val="-10"/>
        </w:rPr>
        <w:t> </w:t>
      </w:r>
      <w:r>
        <w:rPr/>
        <w:t>estriado,</w:t>
      </w:r>
      <w:r>
        <w:rPr>
          <w:spacing w:val="-11"/>
        </w:rPr>
        <w:t> </w:t>
      </w:r>
      <w:r>
        <w:rPr/>
        <w:t>y</w:t>
      </w:r>
      <w:r>
        <w:rPr>
          <w:spacing w:val="-12"/>
        </w:rPr>
        <w:t> </w:t>
      </w:r>
      <w:r>
        <w:rPr/>
        <w:t>menos</w:t>
      </w:r>
      <w:r>
        <w:rPr>
          <w:spacing w:val="-9"/>
        </w:rPr>
        <w:t> </w:t>
      </w:r>
      <w:r>
        <w:rPr/>
        <w:t>intensas</w:t>
      </w:r>
      <w:r>
        <w:rPr>
          <w:spacing w:val="-12"/>
        </w:rPr>
        <w:t> </w:t>
      </w:r>
      <w:r>
        <w:rPr/>
        <w:t>en</w:t>
      </w:r>
      <w:r>
        <w:rPr>
          <w:spacing w:val="-11"/>
        </w:rPr>
        <w:t> </w:t>
      </w:r>
      <w:r>
        <w:rPr/>
        <w:t>las</w:t>
      </w:r>
      <w:r>
        <w:rPr>
          <w:spacing w:val="-11"/>
        </w:rPr>
        <w:t> </w:t>
      </w:r>
      <w:r>
        <w:rPr/>
        <w:t>regiones</w:t>
      </w:r>
      <w:r>
        <w:rPr>
          <w:spacing w:val="-12"/>
        </w:rPr>
        <w:t> </w:t>
      </w:r>
      <w:r>
        <w:rPr/>
        <w:t>caudales</w:t>
      </w:r>
      <w:r>
        <w:rPr>
          <w:spacing w:val="-12"/>
        </w:rPr>
        <w:t> </w:t>
      </w:r>
      <w:r>
        <w:rPr/>
        <w:t>del</w:t>
      </w:r>
      <w:r>
        <w:rPr>
          <w:spacing w:val="-12"/>
        </w:rPr>
        <w:t> </w:t>
      </w:r>
      <w:r>
        <w:rPr/>
        <w:t>SNC.</w:t>
      </w:r>
      <w:r>
        <w:rPr>
          <w:spacing w:val="-9"/>
        </w:rPr>
        <w:t> </w:t>
      </w:r>
      <w:r>
        <w:rPr/>
        <w:t>Reducción</w:t>
      </w:r>
      <w:r>
        <w:rPr>
          <w:spacing w:val="-10"/>
        </w:rPr>
        <w:t> </w:t>
      </w:r>
      <w:r>
        <w:rPr/>
        <w:t>de los elementos mieloides de la médula ósea y linfoides del bazo y de los ganglios linfáticos.</w:t>
      </w:r>
    </w:p>
    <w:p>
      <w:pPr>
        <w:pStyle w:val="BodyText"/>
        <w:spacing w:line="360" w:lineRule="auto" w:before="2"/>
        <w:ind w:left="102" w:right="118"/>
        <w:jc w:val="both"/>
        <w:rPr>
          <w:sz w:val="16"/>
        </w:rPr>
      </w:pPr>
      <w:r>
        <w:rPr/>
        <w:t>Estos hallazgos son útiles ante casos sospechosos, en aquellos países donde se carece de los servicios de diagnóstico, la mayoría de los países de Latinoamérica emplean el diagnóstico clínico acompañado por pruebas histopatológicas, para confirmar la presencia de la enfermedad </w:t>
      </w:r>
      <w:r>
        <w:rPr>
          <w:position w:val="8"/>
          <w:sz w:val="16"/>
        </w:rPr>
        <w:t>(61,121)</w:t>
      </w:r>
    </w:p>
    <w:p>
      <w:pPr>
        <w:pStyle w:val="BodyText"/>
        <w:spacing w:line="360" w:lineRule="auto"/>
        <w:ind w:left="102" w:right="116"/>
        <w:jc w:val="both"/>
      </w:pPr>
      <w:r>
        <w:rPr/>
        <w:t>En roedores de laboratorio las lesiones microscópicas generalmente causan una amplia</w:t>
      </w:r>
      <w:r>
        <w:rPr>
          <w:spacing w:val="-19"/>
        </w:rPr>
        <w:t> </w:t>
      </w:r>
      <w:r>
        <w:rPr/>
        <w:t>destrucción,</w:t>
      </w:r>
      <w:r>
        <w:rPr>
          <w:spacing w:val="-17"/>
        </w:rPr>
        <w:t> </w:t>
      </w:r>
      <w:r>
        <w:rPr/>
        <w:t>severa</w:t>
      </w:r>
      <w:r>
        <w:rPr>
          <w:spacing w:val="-17"/>
        </w:rPr>
        <w:t> </w:t>
      </w:r>
      <w:r>
        <w:rPr/>
        <w:t>y</w:t>
      </w:r>
      <w:r>
        <w:rPr>
          <w:spacing w:val="-20"/>
        </w:rPr>
        <w:t> </w:t>
      </w:r>
      <w:r>
        <w:rPr/>
        <w:t>letal</w:t>
      </w:r>
      <w:r>
        <w:rPr>
          <w:spacing w:val="-18"/>
        </w:rPr>
        <w:t> </w:t>
      </w:r>
      <w:r>
        <w:rPr/>
        <w:t>del</w:t>
      </w:r>
      <w:r>
        <w:rPr>
          <w:spacing w:val="-20"/>
        </w:rPr>
        <w:t> </w:t>
      </w:r>
      <w:r>
        <w:rPr/>
        <w:t>tejido</w:t>
      </w:r>
      <w:r>
        <w:rPr>
          <w:spacing w:val="-19"/>
        </w:rPr>
        <w:t> </w:t>
      </w:r>
      <w:r>
        <w:rPr/>
        <w:t>linfoide</w:t>
      </w:r>
      <w:r>
        <w:rPr>
          <w:spacing w:val="-19"/>
        </w:rPr>
        <w:t> </w:t>
      </w:r>
      <w:r>
        <w:rPr/>
        <w:t>central</w:t>
      </w:r>
      <w:r>
        <w:rPr>
          <w:spacing w:val="-18"/>
        </w:rPr>
        <w:t> </w:t>
      </w:r>
      <w:r>
        <w:rPr/>
        <w:t>y</w:t>
      </w:r>
      <w:r>
        <w:rPr>
          <w:spacing w:val="-20"/>
        </w:rPr>
        <w:t> </w:t>
      </w:r>
      <w:r>
        <w:rPr/>
        <w:t>periférico</w:t>
      </w:r>
      <w:r>
        <w:rPr>
          <w:spacing w:val="-17"/>
        </w:rPr>
        <w:t> </w:t>
      </w:r>
      <w:r>
        <w:rPr/>
        <w:t>(médula</w:t>
      </w:r>
      <w:r>
        <w:rPr>
          <w:spacing w:val="-13"/>
        </w:rPr>
        <w:t> </w:t>
      </w:r>
      <w:r>
        <w:rPr/>
        <w:t>ósea, bazo, timo, placas de Peyer, nódulos linfoides intestinales, ganglios</w:t>
      </w:r>
      <w:r>
        <w:rPr>
          <w:spacing w:val="-29"/>
        </w:rPr>
        <w:t> </w:t>
      </w:r>
      <w:r>
        <w:rPr/>
        <w:t>linfáticos</w:t>
      </w:r>
    </w:p>
    <w:p>
      <w:pPr>
        <w:pStyle w:val="BodyText"/>
        <w:spacing w:line="360" w:lineRule="auto" w:before="5"/>
        <w:ind w:left="102" w:right="118"/>
        <w:jc w:val="both"/>
      </w:pPr>
      <w:r>
        <w:rPr/>
        <w:t>y</w:t>
      </w:r>
      <w:r>
        <w:rPr>
          <w:spacing w:val="-12"/>
        </w:rPr>
        <w:t> </w:t>
      </w:r>
      <w:r>
        <w:rPr/>
        <w:t>tejido</w:t>
      </w:r>
      <w:r>
        <w:rPr>
          <w:spacing w:val="-8"/>
        </w:rPr>
        <w:t> </w:t>
      </w:r>
      <w:r>
        <w:rPr/>
        <w:t>linfoide</w:t>
      </w:r>
      <w:r>
        <w:rPr>
          <w:spacing w:val="-10"/>
        </w:rPr>
        <w:t> </w:t>
      </w:r>
      <w:r>
        <w:rPr/>
        <w:t>nasofaríngeo),</w:t>
      </w:r>
      <w:r>
        <w:rPr>
          <w:spacing w:val="-9"/>
        </w:rPr>
        <w:t> </w:t>
      </w:r>
      <w:r>
        <w:rPr/>
        <w:t>por</w:t>
      </w:r>
      <w:r>
        <w:rPr>
          <w:spacing w:val="-10"/>
        </w:rPr>
        <w:t> </w:t>
      </w:r>
      <w:r>
        <w:rPr/>
        <w:t>la</w:t>
      </w:r>
      <w:r>
        <w:rPr>
          <w:spacing w:val="-9"/>
        </w:rPr>
        <w:t> </w:t>
      </w:r>
      <w:r>
        <w:rPr/>
        <w:t>multiplicación</w:t>
      </w:r>
      <w:r>
        <w:rPr>
          <w:spacing w:val="-8"/>
        </w:rPr>
        <w:t> </w:t>
      </w:r>
      <w:r>
        <w:rPr/>
        <w:t>viral,</w:t>
      </w:r>
      <w:r>
        <w:rPr>
          <w:spacing w:val="-9"/>
        </w:rPr>
        <w:t> </w:t>
      </w:r>
      <w:r>
        <w:rPr/>
        <w:t>daño</w:t>
      </w:r>
      <w:r>
        <w:rPr>
          <w:spacing w:val="-8"/>
        </w:rPr>
        <w:t> </w:t>
      </w:r>
      <w:r>
        <w:rPr/>
        <w:t>pancreático</w:t>
      </w:r>
      <w:r>
        <w:rPr>
          <w:spacing w:val="-8"/>
        </w:rPr>
        <w:t> </w:t>
      </w:r>
      <w:r>
        <w:rPr/>
        <w:t>exocrino, especialmente en el hámster, infiltración neutrofílica moderada, degeneración neuronal, vasculitis necrotizante y destrucción de células de</w:t>
      </w:r>
      <w:r>
        <w:rPr>
          <w:spacing w:val="-23"/>
        </w:rPr>
        <w:t> </w:t>
      </w:r>
      <w:r>
        <w:rPr/>
        <w:t>Purkinje.</w:t>
      </w:r>
    </w:p>
    <w:p>
      <w:pPr>
        <w:spacing w:after="0" w:line="360" w:lineRule="auto"/>
        <w:jc w:val="both"/>
        <w:sectPr>
          <w:pgSz w:w="12240" w:h="15840"/>
          <w:pgMar w:header="0" w:footer="1113" w:top="1360" w:bottom="1300" w:left="1600" w:right="1580"/>
        </w:sectPr>
      </w:pPr>
    </w:p>
    <w:p>
      <w:pPr>
        <w:pStyle w:val="BodyText"/>
        <w:spacing w:line="360" w:lineRule="auto" w:before="54"/>
        <w:ind w:left="102" w:right="106"/>
      </w:pPr>
      <w:r>
        <w:rPr/>
        <w:t>En el humano las lesiones microscópicas más relevantes son: lesión linfoide discreta, dilatación vascular y congestión generalizada especialmente en el tracto gastrointestinal (melenas).</w:t>
      </w:r>
    </w:p>
    <w:p>
      <w:pPr>
        <w:pStyle w:val="ListParagraph"/>
        <w:numPr>
          <w:ilvl w:val="0"/>
          <w:numId w:val="8"/>
        </w:numPr>
        <w:tabs>
          <w:tab w:pos="253" w:val="left" w:leader="none"/>
        </w:tabs>
        <w:spacing w:line="240" w:lineRule="auto" w:before="5" w:after="0"/>
        <w:ind w:left="102" w:right="0" w:firstLine="0"/>
        <w:jc w:val="left"/>
        <w:rPr>
          <w:sz w:val="24"/>
        </w:rPr>
      </w:pPr>
      <w:r>
        <w:rPr>
          <w:sz w:val="24"/>
        </w:rPr>
        <w:t>Casos fatales con compromiso de</w:t>
      </w:r>
      <w:r>
        <w:rPr>
          <w:spacing w:val="-10"/>
          <w:sz w:val="24"/>
        </w:rPr>
        <w:t> </w:t>
      </w:r>
      <w:r>
        <w:rPr>
          <w:sz w:val="24"/>
        </w:rPr>
        <w:t>SNC:</w:t>
      </w:r>
    </w:p>
    <w:p>
      <w:pPr>
        <w:pStyle w:val="ListParagraph"/>
        <w:numPr>
          <w:ilvl w:val="0"/>
          <w:numId w:val="9"/>
        </w:numPr>
        <w:tabs>
          <w:tab w:pos="316" w:val="left" w:leader="none"/>
        </w:tabs>
        <w:spacing w:line="360" w:lineRule="auto" w:before="137" w:after="0"/>
        <w:ind w:left="102" w:right="124" w:firstLine="0"/>
        <w:jc w:val="left"/>
        <w:rPr>
          <w:sz w:val="24"/>
        </w:rPr>
      </w:pPr>
      <w:r>
        <w:rPr>
          <w:sz w:val="24"/>
        </w:rPr>
        <w:t>Cerebro edematoso, con áreas hemorrágicas microscópicas en la sustancia blanca.</w:t>
      </w:r>
    </w:p>
    <w:p>
      <w:pPr>
        <w:pStyle w:val="ListParagraph"/>
        <w:numPr>
          <w:ilvl w:val="0"/>
          <w:numId w:val="9"/>
        </w:numPr>
        <w:tabs>
          <w:tab w:pos="249" w:val="left" w:leader="none"/>
        </w:tabs>
        <w:spacing w:line="360" w:lineRule="auto" w:before="2" w:after="0"/>
        <w:ind w:left="102" w:right="489" w:firstLine="0"/>
        <w:jc w:val="left"/>
        <w:rPr>
          <w:sz w:val="24"/>
        </w:rPr>
      </w:pPr>
      <w:r>
        <w:rPr>
          <w:sz w:val="24"/>
        </w:rPr>
        <w:t>Encefalitis discreta con cariorexis en los linfocitos del infiltrado y en las</w:t>
      </w:r>
      <w:r>
        <w:rPr>
          <w:spacing w:val="-22"/>
          <w:sz w:val="24"/>
        </w:rPr>
        <w:t> </w:t>
      </w:r>
      <w:r>
        <w:rPr>
          <w:sz w:val="24"/>
        </w:rPr>
        <w:t>células gliales.</w:t>
      </w:r>
    </w:p>
    <w:p>
      <w:pPr>
        <w:pStyle w:val="BodyText"/>
      </w:pPr>
    </w:p>
    <w:p>
      <w:pPr>
        <w:pStyle w:val="Heading4"/>
        <w:numPr>
          <w:ilvl w:val="0"/>
          <w:numId w:val="10"/>
        </w:numPr>
        <w:tabs>
          <w:tab w:pos="371" w:val="left" w:leader="none"/>
        </w:tabs>
        <w:spacing w:line="240" w:lineRule="auto" w:before="142" w:after="0"/>
        <w:ind w:left="370" w:right="0" w:hanging="268"/>
        <w:jc w:val="left"/>
      </w:pPr>
      <w:r>
        <w:rPr/>
        <w:t>11.</w:t>
      </w:r>
      <w:r>
        <w:rPr>
          <w:spacing w:val="-7"/>
        </w:rPr>
        <w:t> </w:t>
      </w:r>
      <w:r>
        <w:rPr/>
        <w:t>Diagnóstico</w:t>
      </w:r>
    </w:p>
    <w:p>
      <w:pPr>
        <w:pStyle w:val="BodyText"/>
        <w:spacing w:line="360" w:lineRule="auto" w:before="137"/>
        <w:ind w:left="102" w:right="124"/>
        <w:jc w:val="both"/>
      </w:pPr>
      <w:r>
        <w:rPr/>
        <w:t>Debido a que los signos y síntomas que presenta la EEV son muy similares otras enfermedades, es necesario establecer un diagnóstico diferencial. Las enfermedades de las cuales se debe diferenciar son:</w:t>
      </w:r>
    </w:p>
    <w:p>
      <w:pPr>
        <w:pStyle w:val="BodyText"/>
        <w:spacing w:before="5"/>
        <w:ind w:left="102" w:right="106"/>
      </w:pPr>
      <w:r>
        <w:rPr/>
        <w:t>Equinos:</w:t>
      </w:r>
    </w:p>
    <w:p>
      <w:pPr>
        <w:pStyle w:val="BodyText"/>
        <w:spacing w:line="360" w:lineRule="auto" w:before="137"/>
        <w:ind w:left="102" w:right="106"/>
      </w:pPr>
      <w:r>
        <w:rPr/>
        <w:t>•Rabia, encefalitis por arbovirus (encefalitis japonesa, EEE, EEO, encefalitis del Nilo, encefalitis de San Luis y encefalitis del Valle de Murray, entre otras), rinoneumonitis viral equina, anemia infecciosa equina, pseudo rabia, peste equina africana, virus maindrain, enfermedad de borna</w:t>
      </w:r>
    </w:p>
    <w:p>
      <w:pPr>
        <w:pStyle w:val="BodyText"/>
        <w:spacing w:line="360" w:lineRule="auto" w:before="2"/>
        <w:ind w:left="102" w:right="21"/>
      </w:pPr>
      <w:r>
        <w:rPr/>
        <w:t>•Tétanos, botulismo, intoxicación con metales pesados, encefalopatía hepatogénica por plantas tóxicas</w:t>
      </w:r>
    </w:p>
    <w:p>
      <w:pPr>
        <w:pStyle w:val="BodyText"/>
        <w:spacing w:before="2"/>
        <w:ind w:left="102" w:right="106"/>
      </w:pPr>
      <w:r>
        <w:rPr/>
        <w:t>•Mielopatía equina</w:t>
      </w:r>
    </w:p>
    <w:p>
      <w:pPr>
        <w:pStyle w:val="BodyText"/>
        <w:tabs>
          <w:tab w:pos="1974" w:val="left" w:leader="none"/>
          <w:tab w:pos="3440" w:val="left" w:leader="none"/>
          <w:tab w:pos="4012" w:val="left" w:leader="none"/>
          <w:tab w:pos="5497" w:val="left" w:leader="none"/>
          <w:tab w:pos="6927" w:val="left" w:leader="none"/>
          <w:tab w:pos="8821" w:val="left" w:leader="none"/>
        </w:tabs>
        <w:spacing w:line="360" w:lineRule="auto" w:before="139"/>
        <w:ind w:left="102" w:right="116"/>
      </w:pPr>
      <w:r>
        <w:rPr/>
        <w:t>•Enfermedades</w:t>
        <w:tab/>
        <w:t>parasitarias</w:t>
        <w:tab/>
        <w:t>por</w:t>
        <w:tab/>
        <w:t>nematodos,</w:t>
        <w:tab/>
        <w:t>babesiosis,</w:t>
        <w:tab/>
        <w:t>tripanosomiasis</w:t>
        <w:tab/>
        <w:t>y toxoplasmosis.</w:t>
      </w:r>
    </w:p>
    <w:p>
      <w:pPr>
        <w:pStyle w:val="BodyText"/>
      </w:pPr>
    </w:p>
    <w:p>
      <w:pPr>
        <w:pStyle w:val="BodyText"/>
        <w:spacing w:before="142"/>
        <w:ind w:left="102" w:right="106"/>
      </w:pPr>
      <w:r>
        <w:rPr/>
        <w:t>Humanos:</w:t>
      </w:r>
    </w:p>
    <w:p>
      <w:pPr>
        <w:pStyle w:val="BodyText"/>
        <w:spacing w:line="360" w:lineRule="auto" w:before="140"/>
        <w:ind w:left="102" w:right="106"/>
      </w:pPr>
      <w:r>
        <w:rPr/>
        <w:t>•Gripe</w:t>
      </w:r>
      <w:r>
        <w:rPr>
          <w:spacing w:val="-15"/>
        </w:rPr>
        <w:t> </w:t>
      </w:r>
      <w:r>
        <w:rPr/>
        <w:t>(influenza),</w:t>
      </w:r>
      <w:r>
        <w:rPr>
          <w:spacing w:val="-16"/>
        </w:rPr>
        <w:t> </w:t>
      </w:r>
      <w:r>
        <w:rPr/>
        <w:t>arbovirosis</w:t>
      </w:r>
      <w:r>
        <w:rPr>
          <w:spacing w:val="-16"/>
        </w:rPr>
        <w:t> </w:t>
      </w:r>
      <w:r>
        <w:rPr/>
        <w:t>(dengue</w:t>
      </w:r>
      <w:r>
        <w:rPr>
          <w:spacing w:val="-17"/>
        </w:rPr>
        <w:t> </w:t>
      </w:r>
      <w:r>
        <w:rPr/>
        <w:t>clásico,</w:t>
      </w:r>
      <w:r>
        <w:rPr>
          <w:spacing w:val="-15"/>
        </w:rPr>
        <w:t> </w:t>
      </w:r>
      <w:r>
        <w:rPr/>
        <w:t>dengue</w:t>
      </w:r>
      <w:r>
        <w:rPr>
          <w:spacing w:val="-17"/>
        </w:rPr>
        <w:t> </w:t>
      </w:r>
      <w:r>
        <w:rPr/>
        <w:t>hemorrágico,</w:t>
      </w:r>
      <w:r>
        <w:rPr>
          <w:spacing w:val="-18"/>
        </w:rPr>
        <w:t> </w:t>
      </w:r>
      <w:r>
        <w:rPr/>
        <w:t>fiebre</w:t>
      </w:r>
      <w:r>
        <w:rPr>
          <w:spacing w:val="-15"/>
        </w:rPr>
        <w:t> </w:t>
      </w:r>
      <w:r>
        <w:rPr/>
        <w:t>amarilla, encefalitis de San Luís, encefalitis de</w:t>
      </w:r>
      <w:r>
        <w:rPr>
          <w:spacing w:val="-19"/>
        </w:rPr>
        <w:t> </w:t>
      </w:r>
      <w:r>
        <w:rPr/>
        <w:t>California);</w:t>
      </w:r>
    </w:p>
    <w:p>
      <w:pPr>
        <w:pStyle w:val="BodyText"/>
        <w:spacing w:before="5"/>
        <w:ind w:left="102" w:right="106"/>
      </w:pPr>
      <w:r>
        <w:rPr/>
        <w:t>•Leptospirosis, enfermedad diarreica aguda (EDA);</w:t>
      </w:r>
    </w:p>
    <w:p>
      <w:pPr>
        <w:pStyle w:val="BodyText"/>
        <w:spacing w:line="360" w:lineRule="auto" w:before="137"/>
        <w:ind w:left="102" w:right="106"/>
      </w:pPr>
      <w:r>
        <w:rPr/>
        <w:t>•Síndrome febril, síndrome febril convulsivo, encefalitis, meningitis, convulsiones y cefalea.</w:t>
      </w:r>
    </w:p>
    <w:p>
      <w:pPr>
        <w:spacing w:after="0" w:line="360" w:lineRule="auto"/>
        <w:sectPr>
          <w:pgSz w:w="12240" w:h="15840"/>
          <w:pgMar w:header="0" w:footer="1113" w:top="1360" w:bottom="1300" w:left="1600" w:right="1580"/>
        </w:sectPr>
      </w:pPr>
    </w:p>
    <w:p>
      <w:pPr>
        <w:pStyle w:val="BodyText"/>
        <w:spacing w:before="7"/>
        <w:rPr>
          <w:sz w:val="22"/>
        </w:rPr>
      </w:pPr>
    </w:p>
    <w:p>
      <w:pPr>
        <w:pStyle w:val="BodyText"/>
        <w:spacing w:line="357" w:lineRule="auto" w:before="69"/>
        <w:ind w:left="102" w:right="132"/>
        <w:rPr>
          <w:sz w:val="16"/>
        </w:rPr>
      </w:pPr>
      <w:r>
        <w:rPr/>
        <w:t>Por ser una zoonosis, se debe disponer de metodologías que permitan un diagnóstico rápido, sencillo y preciso, para lograr el control efectivo de la enfermedad en los équidos y evitar su diseminación a la población humana. </w:t>
      </w:r>
      <w:r>
        <w:rPr>
          <w:position w:val="8"/>
          <w:sz w:val="16"/>
        </w:rPr>
        <w:t>(122) </w:t>
      </w:r>
      <w:r>
        <w:rPr/>
        <w:t>En condiciones de campo llegar a un diagnóstico definitivo es complejo, el conocimiento de las áreas epizoóticas y enzoóticas, de la sintomatología y los procedimientos diagnósticos, permiten orientar el criterio médico hacia estas entidades,</w:t>
      </w:r>
      <w:r>
        <w:rPr>
          <w:spacing w:val="-21"/>
        </w:rPr>
        <w:t> </w:t>
      </w:r>
      <w:r>
        <w:rPr/>
        <w:t>es</w:t>
      </w:r>
      <w:r>
        <w:rPr>
          <w:spacing w:val="-19"/>
        </w:rPr>
        <w:t> </w:t>
      </w:r>
      <w:r>
        <w:rPr/>
        <w:t>necesario</w:t>
      </w:r>
      <w:r>
        <w:rPr>
          <w:spacing w:val="-16"/>
        </w:rPr>
        <w:t> </w:t>
      </w:r>
      <w:r>
        <w:rPr/>
        <w:t>y</w:t>
      </w:r>
      <w:r>
        <w:rPr>
          <w:spacing w:val="-21"/>
        </w:rPr>
        <w:t> </w:t>
      </w:r>
      <w:r>
        <w:rPr/>
        <w:t>fundamental</w:t>
      </w:r>
      <w:r>
        <w:rPr>
          <w:spacing w:val="-19"/>
        </w:rPr>
        <w:t> </w:t>
      </w:r>
      <w:r>
        <w:rPr/>
        <w:t>el</w:t>
      </w:r>
      <w:r>
        <w:rPr>
          <w:spacing w:val="-19"/>
        </w:rPr>
        <w:t> </w:t>
      </w:r>
      <w:r>
        <w:rPr/>
        <w:t>apoyo</w:t>
      </w:r>
      <w:r>
        <w:rPr>
          <w:spacing w:val="-18"/>
        </w:rPr>
        <w:t> </w:t>
      </w:r>
      <w:r>
        <w:rPr/>
        <w:t>del</w:t>
      </w:r>
      <w:r>
        <w:rPr>
          <w:spacing w:val="-19"/>
        </w:rPr>
        <w:t> </w:t>
      </w:r>
      <w:r>
        <w:rPr/>
        <w:t>laboratorio</w:t>
      </w:r>
      <w:r>
        <w:rPr>
          <w:spacing w:val="-15"/>
        </w:rPr>
        <w:t> </w:t>
      </w:r>
      <w:r>
        <w:rPr/>
        <w:t>para</w:t>
      </w:r>
      <w:r>
        <w:rPr>
          <w:spacing w:val="-21"/>
        </w:rPr>
        <w:t> </w:t>
      </w:r>
      <w:r>
        <w:rPr/>
        <w:t>su</w:t>
      </w:r>
      <w:r>
        <w:rPr>
          <w:spacing w:val="-18"/>
        </w:rPr>
        <w:t> </w:t>
      </w:r>
      <w:r>
        <w:rPr/>
        <w:t>confirmación</w:t>
      </w:r>
      <w:r>
        <w:rPr>
          <w:position w:val="8"/>
          <w:sz w:val="16"/>
        </w:rPr>
        <w:t>.</w:t>
      </w:r>
    </w:p>
    <w:p>
      <w:pPr>
        <w:spacing w:line="182" w:lineRule="exact" w:before="0"/>
        <w:ind w:left="102" w:right="106" w:firstLine="0"/>
        <w:jc w:val="left"/>
        <w:rPr>
          <w:sz w:val="16"/>
        </w:rPr>
      </w:pPr>
      <w:r>
        <w:rPr>
          <w:sz w:val="16"/>
        </w:rPr>
        <w:t>(60, 123, 124)</w:t>
      </w:r>
    </w:p>
    <w:p>
      <w:pPr>
        <w:pStyle w:val="BodyText"/>
        <w:rPr>
          <w:sz w:val="16"/>
        </w:rPr>
      </w:pPr>
    </w:p>
    <w:p>
      <w:pPr>
        <w:pStyle w:val="BodyText"/>
        <w:rPr>
          <w:sz w:val="16"/>
        </w:rPr>
      </w:pPr>
    </w:p>
    <w:p>
      <w:pPr>
        <w:pStyle w:val="BodyText"/>
        <w:rPr>
          <w:sz w:val="16"/>
        </w:rPr>
      </w:pPr>
    </w:p>
    <w:p>
      <w:pPr>
        <w:pStyle w:val="Heading4"/>
        <w:spacing w:before="97"/>
        <w:ind w:right="106"/>
      </w:pPr>
      <w:r>
        <w:rPr/>
        <w:t>II.11.1 Diagnóstico de laboratorio</w:t>
      </w:r>
    </w:p>
    <w:p>
      <w:pPr>
        <w:pStyle w:val="BodyText"/>
        <w:rPr>
          <w:b/>
        </w:rPr>
      </w:pPr>
    </w:p>
    <w:p>
      <w:pPr>
        <w:pStyle w:val="BodyText"/>
        <w:rPr>
          <w:b/>
        </w:rPr>
      </w:pPr>
    </w:p>
    <w:p>
      <w:pPr>
        <w:pStyle w:val="BodyText"/>
        <w:spacing w:line="360" w:lineRule="auto"/>
        <w:ind w:left="102" w:right="21"/>
        <w:rPr>
          <w:sz w:val="16"/>
        </w:rPr>
      </w:pPr>
      <w:r>
        <w:rPr/>
        <w:t>La confirmación del diagnóstico definitivo, se realiza mediante procedimientos de laboratorio (aislamiento e identificación viral, detección del antígeno o de IgG e IgM específicas) las muestras empleadas son sangre completa, suero, líquido cefalorraquídeo (LCR) o tejidos; las cuales se deben enviar congeladas (- 70º en hielo seco) si el tiempo de transporte es mayor a 24 horas, o refrigeradas (suero para detección de inmunoglobulinas) si el tiempo es menor a éste. Adicionalmente se deben remitir tejidos como encéfalo, páncreas y bazo en formalina “buferada” al 10% para histopatología </w:t>
      </w:r>
      <w:r>
        <w:rPr>
          <w:position w:val="8"/>
          <w:sz w:val="16"/>
        </w:rPr>
        <w:t>(60, 61, 125)</w:t>
      </w:r>
    </w:p>
    <w:p>
      <w:pPr>
        <w:pStyle w:val="BodyText"/>
        <w:spacing w:line="360" w:lineRule="auto"/>
        <w:ind w:left="102" w:right="239"/>
      </w:pPr>
      <w:r>
        <w:rPr>
          <w:color w:val="221F1F"/>
        </w:rPr>
        <w:t>De los humanos afectados se deben obtener muestras de suero y LCR durante la fase aguda (1 a 7 días después de la aparición de los signos) y en la fase de convalecencia (14 días después de iniciados los signos)</w:t>
      </w:r>
    </w:p>
    <w:p>
      <w:pPr>
        <w:pStyle w:val="BodyText"/>
      </w:pPr>
    </w:p>
    <w:p>
      <w:pPr>
        <w:pStyle w:val="Heading4"/>
        <w:spacing w:before="142"/>
        <w:ind w:right="106"/>
      </w:pPr>
      <w:r>
        <w:rPr/>
        <w:t>II.11.1.1 Detección de Anticuerpos Específicos</w:t>
      </w:r>
    </w:p>
    <w:p>
      <w:pPr>
        <w:pStyle w:val="BodyText"/>
        <w:rPr>
          <w:b/>
        </w:rPr>
      </w:pPr>
    </w:p>
    <w:p>
      <w:pPr>
        <w:pStyle w:val="BodyText"/>
        <w:rPr>
          <w:b/>
        </w:rPr>
      </w:pPr>
    </w:p>
    <w:p>
      <w:pPr>
        <w:pStyle w:val="BodyText"/>
        <w:spacing w:line="360" w:lineRule="auto"/>
        <w:ind w:left="102" w:right="117"/>
        <w:jc w:val="both"/>
      </w:pPr>
      <w:r>
        <w:rPr/>
        <w:t>Las pruebas serológicas empleadas para ampliar la posibilidad de diagnóstico y observar la dinámica de la seroconversión, requieren de una buena historia clínica y de muestras pareadas provenientes de équidos asintomáticos en contacto con otros</w:t>
      </w:r>
      <w:r>
        <w:rPr>
          <w:spacing w:val="-7"/>
        </w:rPr>
        <w:t> </w:t>
      </w:r>
      <w:r>
        <w:rPr/>
        <w:t>en</w:t>
      </w:r>
      <w:r>
        <w:rPr>
          <w:spacing w:val="-6"/>
        </w:rPr>
        <w:t> </w:t>
      </w:r>
      <w:r>
        <w:rPr/>
        <w:t>estado</w:t>
      </w:r>
      <w:r>
        <w:rPr>
          <w:spacing w:val="-7"/>
        </w:rPr>
        <w:t> </w:t>
      </w:r>
      <w:r>
        <w:rPr/>
        <w:t>febril,</w:t>
      </w:r>
      <w:r>
        <w:rPr>
          <w:spacing w:val="-9"/>
        </w:rPr>
        <w:t> </w:t>
      </w:r>
      <w:r>
        <w:rPr/>
        <w:t>no</w:t>
      </w:r>
      <w:r>
        <w:rPr>
          <w:spacing w:val="-6"/>
        </w:rPr>
        <w:t> </w:t>
      </w:r>
      <w:r>
        <w:rPr/>
        <w:t>vacunados</w:t>
      </w:r>
      <w:r>
        <w:rPr>
          <w:spacing w:val="-7"/>
        </w:rPr>
        <w:t> </w:t>
      </w:r>
      <w:r>
        <w:rPr/>
        <w:t>contra</w:t>
      </w:r>
      <w:r>
        <w:rPr>
          <w:spacing w:val="-6"/>
        </w:rPr>
        <w:t> </w:t>
      </w:r>
      <w:r>
        <w:rPr/>
        <w:t>la</w:t>
      </w:r>
      <w:r>
        <w:rPr>
          <w:spacing w:val="-6"/>
        </w:rPr>
        <w:t> </w:t>
      </w:r>
      <w:r>
        <w:rPr/>
        <w:t>EEV,</w:t>
      </w:r>
      <w:r>
        <w:rPr>
          <w:spacing w:val="-6"/>
        </w:rPr>
        <w:t> </w:t>
      </w:r>
      <w:r>
        <w:rPr/>
        <w:t>o</w:t>
      </w:r>
      <w:r>
        <w:rPr>
          <w:spacing w:val="-6"/>
        </w:rPr>
        <w:t> </w:t>
      </w:r>
      <w:r>
        <w:rPr/>
        <w:t>que</w:t>
      </w:r>
      <w:r>
        <w:rPr>
          <w:spacing w:val="-6"/>
        </w:rPr>
        <w:t> </w:t>
      </w:r>
      <w:r>
        <w:rPr/>
        <w:t>registren</w:t>
      </w:r>
      <w:r>
        <w:rPr>
          <w:spacing w:val="-2"/>
        </w:rPr>
        <w:t> </w:t>
      </w:r>
      <w:r>
        <w:rPr/>
        <w:t>una</w:t>
      </w:r>
      <w:r>
        <w:rPr>
          <w:spacing w:val="-6"/>
        </w:rPr>
        <w:t> </w:t>
      </w:r>
      <w:r>
        <w:rPr/>
        <w:t>vacunación mayor a 90 días de aplicación; en un lapso de 5 a 10 días, se toman la</w:t>
      </w:r>
      <w:r>
        <w:rPr>
          <w:spacing w:val="-24"/>
        </w:rPr>
        <w:t> </w:t>
      </w:r>
      <w:r>
        <w:rPr/>
        <w:t>muestras</w:t>
      </w:r>
    </w:p>
    <w:p>
      <w:pPr>
        <w:spacing w:after="0" w:line="360" w:lineRule="auto"/>
        <w:jc w:val="both"/>
        <w:sectPr>
          <w:pgSz w:w="12240" w:h="15840"/>
          <w:pgMar w:header="0" w:footer="1113" w:top="1500" w:bottom="1300" w:left="1600" w:right="1580"/>
        </w:sectPr>
      </w:pPr>
    </w:p>
    <w:p>
      <w:pPr>
        <w:pStyle w:val="BodyText"/>
        <w:spacing w:line="360" w:lineRule="auto" w:before="54"/>
        <w:ind w:left="102" w:right="116"/>
        <w:jc w:val="both"/>
        <w:rPr>
          <w:sz w:val="16"/>
        </w:rPr>
      </w:pPr>
      <w:r>
        <w:rPr/>
        <w:t>pareadas que corresponderán al estado asintomático y al estado de convalecencia o próximo a la muerte de los équidos. Los sueros sanguíneos humanos para pruebas serológicas, deben ser “pareados” y se deben tomar durante el estado agudo o primera semana de la enfermedad. </w:t>
      </w:r>
      <w:r>
        <w:rPr>
          <w:position w:val="8"/>
          <w:sz w:val="16"/>
        </w:rPr>
        <w:t>(60, 61,126)</w:t>
      </w:r>
    </w:p>
    <w:p>
      <w:pPr>
        <w:pStyle w:val="BodyText"/>
        <w:spacing w:before="10"/>
        <w:rPr>
          <w:sz w:val="23"/>
        </w:rPr>
      </w:pPr>
    </w:p>
    <w:p>
      <w:pPr>
        <w:pStyle w:val="BodyText"/>
        <w:spacing w:line="360" w:lineRule="auto"/>
        <w:ind w:left="102" w:right="116"/>
        <w:jc w:val="both"/>
        <w:rPr>
          <w:sz w:val="16"/>
        </w:rPr>
      </w:pPr>
      <w:r>
        <w:rPr/>
        <w:t>Los</w:t>
      </w:r>
      <w:r>
        <w:rPr>
          <w:spacing w:val="-10"/>
        </w:rPr>
        <w:t> </w:t>
      </w:r>
      <w:r>
        <w:rPr/>
        <w:t>antígenos</w:t>
      </w:r>
      <w:r>
        <w:rPr>
          <w:spacing w:val="-10"/>
        </w:rPr>
        <w:t> </w:t>
      </w:r>
      <w:r>
        <w:rPr/>
        <w:t>virales</w:t>
      </w:r>
      <w:r>
        <w:rPr>
          <w:spacing w:val="-7"/>
        </w:rPr>
        <w:t> </w:t>
      </w:r>
      <w:r>
        <w:rPr/>
        <w:t>se</w:t>
      </w:r>
      <w:r>
        <w:rPr>
          <w:spacing w:val="-7"/>
        </w:rPr>
        <w:t> </w:t>
      </w:r>
      <w:r>
        <w:rPr/>
        <w:t>detectan</w:t>
      </w:r>
      <w:r>
        <w:rPr>
          <w:spacing w:val="-9"/>
        </w:rPr>
        <w:t> </w:t>
      </w:r>
      <w:r>
        <w:rPr/>
        <w:t>durante</w:t>
      </w:r>
      <w:r>
        <w:rPr>
          <w:spacing w:val="-7"/>
        </w:rPr>
        <w:t> </w:t>
      </w:r>
      <w:r>
        <w:rPr/>
        <w:t>los</w:t>
      </w:r>
      <w:r>
        <w:rPr>
          <w:spacing w:val="-12"/>
        </w:rPr>
        <w:t> </w:t>
      </w:r>
      <w:r>
        <w:rPr/>
        <w:t>primeros</w:t>
      </w:r>
      <w:r>
        <w:rPr>
          <w:spacing w:val="-10"/>
        </w:rPr>
        <w:t> </w:t>
      </w:r>
      <w:r>
        <w:rPr/>
        <w:t>7</w:t>
      </w:r>
      <w:r>
        <w:rPr>
          <w:spacing w:val="-9"/>
        </w:rPr>
        <w:t> </w:t>
      </w:r>
      <w:r>
        <w:rPr/>
        <w:t>días</w:t>
      </w:r>
      <w:r>
        <w:rPr>
          <w:spacing w:val="-8"/>
        </w:rPr>
        <w:t> </w:t>
      </w:r>
      <w:r>
        <w:rPr/>
        <w:t>(antes</w:t>
      </w:r>
      <w:r>
        <w:rPr>
          <w:spacing w:val="-13"/>
        </w:rPr>
        <w:t> </w:t>
      </w:r>
      <w:r>
        <w:rPr/>
        <w:t>de</w:t>
      </w:r>
      <w:r>
        <w:rPr>
          <w:spacing w:val="-7"/>
        </w:rPr>
        <w:t> </w:t>
      </w:r>
      <w:r>
        <w:rPr/>
        <w:t>la</w:t>
      </w:r>
      <w:r>
        <w:rPr>
          <w:spacing w:val="-7"/>
        </w:rPr>
        <w:t> </w:t>
      </w:r>
      <w:r>
        <w:rPr/>
        <w:t>aparición de los signos), los anticuerpos se evidencian pasada la fase de viremia (a partir</w:t>
      </w:r>
      <w:r>
        <w:rPr>
          <w:spacing w:val="-34"/>
        </w:rPr>
        <w:t> </w:t>
      </w:r>
      <w:r>
        <w:rPr/>
        <w:t>del séptimo</w:t>
      </w:r>
      <w:r>
        <w:rPr>
          <w:spacing w:val="-8"/>
        </w:rPr>
        <w:t> </w:t>
      </w:r>
      <w:r>
        <w:rPr/>
        <w:t>día</w:t>
      </w:r>
      <w:r>
        <w:rPr>
          <w:spacing w:val="-6"/>
        </w:rPr>
        <w:t> </w:t>
      </w:r>
      <w:r>
        <w:rPr/>
        <w:t>de</w:t>
      </w:r>
      <w:r>
        <w:rPr>
          <w:spacing w:val="-6"/>
        </w:rPr>
        <w:t> </w:t>
      </w:r>
      <w:r>
        <w:rPr/>
        <w:t>infección).</w:t>
      </w:r>
      <w:r>
        <w:rPr>
          <w:spacing w:val="-7"/>
        </w:rPr>
        <w:t> </w:t>
      </w:r>
      <w:r>
        <w:rPr/>
        <w:t>La</w:t>
      </w:r>
      <w:r>
        <w:rPr>
          <w:spacing w:val="-6"/>
        </w:rPr>
        <w:t> </w:t>
      </w:r>
      <w:r>
        <w:rPr/>
        <w:t>IgM</w:t>
      </w:r>
      <w:r>
        <w:rPr>
          <w:spacing w:val="-7"/>
        </w:rPr>
        <w:t> </w:t>
      </w:r>
      <w:r>
        <w:rPr/>
        <w:t>aparece</w:t>
      </w:r>
      <w:r>
        <w:rPr>
          <w:spacing w:val="-8"/>
        </w:rPr>
        <w:t> </w:t>
      </w:r>
      <w:r>
        <w:rPr/>
        <w:t>3</w:t>
      </w:r>
      <w:r>
        <w:rPr>
          <w:spacing w:val="-8"/>
        </w:rPr>
        <w:t> </w:t>
      </w:r>
      <w:r>
        <w:rPr/>
        <w:t>días</w:t>
      </w:r>
      <w:r>
        <w:rPr>
          <w:spacing w:val="-7"/>
        </w:rPr>
        <w:t> </w:t>
      </w:r>
      <w:r>
        <w:rPr/>
        <w:t>después</w:t>
      </w:r>
      <w:r>
        <w:rPr>
          <w:spacing w:val="-9"/>
        </w:rPr>
        <w:t> </w:t>
      </w:r>
      <w:r>
        <w:rPr/>
        <w:t>de</w:t>
      </w:r>
      <w:r>
        <w:rPr>
          <w:spacing w:val="-8"/>
        </w:rPr>
        <w:t> </w:t>
      </w:r>
      <w:r>
        <w:rPr/>
        <w:t>los</w:t>
      </w:r>
      <w:r>
        <w:rPr>
          <w:spacing w:val="-9"/>
        </w:rPr>
        <w:t> </w:t>
      </w:r>
      <w:r>
        <w:rPr/>
        <w:t>primeros</w:t>
      </w:r>
      <w:r>
        <w:rPr>
          <w:spacing w:val="-7"/>
        </w:rPr>
        <w:t> </w:t>
      </w:r>
      <w:r>
        <w:rPr/>
        <w:t>síntomas y permanece detectable entre 70 y 90 días, indicando infección o vacunación reciente; la IgG se detecta desde el sexto día post infección natural, vacunación, o cuando desaparecen la IgM y puede durar elevada por meses o años, indicando infecciones antiguas. La presencia de IgG en el neonato, indica la transferencia pasiva por ingestión de calostro. </w:t>
      </w:r>
      <w:r>
        <w:rPr>
          <w:position w:val="8"/>
          <w:sz w:val="16"/>
        </w:rPr>
        <w:t>(60, 61, 119, 120,</w:t>
      </w:r>
      <w:r>
        <w:rPr>
          <w:spacing w:val="-17"/>
          <w:position w:val="8"/>
          <w:sz w:val="16"/>
        </w:rPr>
        <w:t> </w:t>
      </w:r>
      <w:r>
        <w:rPr>
          <w:position w:val="8"/>
          <w:sz w:val="16"/>
        </w:rPr>
        <w:t>126)</w:t>
      </w:r>
    </w:p>
    <w:p>
      <w:pPr>
        <w:pStyle w:val="BodyText"/>
        <w:spacing w:line="360" w:lineRule="auto"/>
        <w:ind w:left="102" w:right="120"/>
        <w:jc w:val="both"/>
      </w:pPr>
      <w:r>
        <w:rPr/>
        <w:t>Como ayuda diagnóstica se emplea la detección de anticuerpos contra EEV en especies diferentes a la équida (bovina y canina) para determinar la presencia de esta entidad en un área determinada. Los procedimientos serológicos usualmente empleados son los siguientes:</w:t>
      </w:r>
    </w:p>
    <w:p>
      <w:pPr>
        <w:pStyle w:val="ListParagraph"/>
        <w:numPr>
          <w:ilvl w:val="0"/>
          <w:numId w:val="8"/>
        </w:numPr>
        <w:tabs>
          <w:tab w:pos="254" w:val="left" w:leader="none"/>
        </w:tabs>
        <w:spacing w:line="360" w:lineRule="auto" w:before="3" w:after="0"/>
        <w:ind w:left="102" w:right="117" w:firstLine="0"/>
        <w:jc w:val="both"/>
        <w:rPr>
          <w:sz w:val="16"/>
        </w:rPr>
      </w:pPr>
      <w:r>
        <w:rPr>
          <w:sz w:val="24"/>
        </w:rPr>
        <w:t>ELISA: para la detección de antígeno y la titulación de anticuerpos IgM (ELISA</w:t>
      </w:r>
      <w:r>
        <w:rPr>
          <w:spacing w:val="-35"/>
          <w:sz w:val="24"/>
        </w:rPr>
        <w:t> </w:t>
      </w:r>
      <w:r>
        <w:rPr>
          <w:sz w:val="24"/>
        </w:rPr>
        <w:t>de captura) indicando infección reciente; IgG (ELISA directa) como un indicador de vacunación o infección antigua, se realizan en sangre o LCR (confirma la infección en SNC y es un indicador para el pronóstico de la encefalitis</w:t>
      </w:r>
      <w:r>
        <w:rPr>
          <w:position w:val="8"/>
          <w:sz w:val="16"/>
        </w:rPr>
        <w:t>) (61, 120, 127, 128, 129,</w:t>
      </w:r>
      <w:r>
        <w:rPr>
          <w:spacing w:val="-29"/>
          <w:position w:val="8"/>
          <w:sz w:val="16"/>
        </w:rPr>
        <w:t> </w:t>
      </w:r>
      <w:r>
        <w:rPr>
          <w:position w:val="8"/>
          <w:sz w:val="16"/>
        </w:rPr>
        <w:t>130)</w:t>
      </w:r>
    </w:p>
    <w:p>
      <w:pPr>
        <w:pStyle w:val="ListParagraph"/>
        <w:numPr>
          <w:ilvl w:val="0"/>
          <w:numId w:val="8"/>
        </w:numPr>
        <w:tabs>
          <w:tab w:pos="254" w:val="left" w:leader="none"/>
        </w:tabs>
        <w:spacing w:line="357" w:lineRule="auto" w:before="0" w:after="0"/>
        <w:ind w:left="102" w:right="704" w:firstLine="0"/>
        <w:jc w:val="left"/>
        <w:rPr>
          <w:sz w:val="16"/>
        </w:rPr>
      </w:pPr>
      <w:r>
        <w:rPr>
          <w:sz w:val="24"/>
        </w:rPr>
        <w:t>Inhibición de la Hemoaglutinación (IH) se realiza en sueros pareados para demostrar una elevación específica de cuatro veces los títulos de</w:t>
      </w:r>
      <w:r>
        <w:rPr>
          <w:spacing w:val="-30"/>
          <w:sz w:val="24"/>
        </w:rPr>
        <w:t> </w:t>
      </w:r>
      <w:r>
        <w:rPr>
          <w:sz w:val="24"/>
        </w:rPr>
        <w:t>anticuerpos neutralizantes, entre la fase aguda y la convaleciente (seroconversión)</w:t>
      </w:r>
      <w:r>
        <w:rPr>
          <w:spacing w:val="-27"/>
          <w:sz w:val="24"/>
        </w:rPr>
        <w:t> </w:t>
      </w:r>
      <w:r>
        <w:rPr>
          <w:position w:val="8"/>
          <w:sz w:val="16"/>
        </w:rPr>
        <w:t>(131)</w:t>
      </w:r>
    </w:p>
    <w:p>
      <w:pPr>
        <w:pStyle w:val="BodyText"/>
        <w:spacing w:line="360" w:lineRule="auto" w:before="4"/>
        <w:ind w:left="102" w:right="117"/>
        <w:jc w:val="both"/>
        <w:rPr>
          <w:sz w:val="16"/>
        </w:rPr>
      </w:pPr>
      <w:r>
        <w:rPr/>
        <w:t>Los títulos de 1:20 en animales sin vacunar, se consideran positivos. Los anticuerpos</w:t>
      </w:r>
      <w:r>
        <w:rPr>
          <w:spacing w:val="-8"/>
        </w:rPr>
        <w:t> </w:t>
      </w:r>
      <w:r>
        <w:rPr/>
        <w:t>HI</w:t>
      </w:r>
      <w:r>
        <w:rPr>
          <w:spacing w:val="-7"/>
        </w:rPr>
        <w:t> </w:t>
      </w:r>
      <w:r>
        <w:rPr/>
        <w:t>aparecen</w:t>
      </w:r>
      <w:r>
        <w:rPr>
          <w:spacing w:val="-7"/>
        </w:rPr>
        <w:t> </w:t>
      </w:r>
      <w:r>
        <w:rPr/>
        <w:t>durante</w:t>
      </w:r>
      <w:r>
        <w:rPr>
          <w:spacing w:val="-7"/>
        </w:rPr>
        <w:t> </w:t>
      </w:r>
      <w:r>
        <w:rPr/>
        <w:t>la</w:t>
      </w:r>
      <w:r>
        <w:rPr>
          <w:spacing w:val="-7"/>
        </w:rPr>
        <w:t> </w:t>
      </w:r>
      <w:r>
        <w:rPr/>
        <w:t>primera</w:t>
      </w:r>
      <w:r>
        <w:rPr>
          <w:spacing w:val="-8"/>
        </w:rPr>
        <w:t> </w:t>
      </w:r>
      <w:r>
        <w:rPr/>
        <w:t>semana</w:t>
      </w:r>
      <w:r>
        <w:rPr>
          <w:spacing w:val="-9"/>
        </w:rPr>
        <w:t> </w:t>
      </w:r>
      <w:r>
        <w:rPr/>
        <w:t>de</w:t>
      </w:r>
      <w:r>
        <w:rPr>
          <w:spacing w:val="-7"/>
        </w:rPr>
        <w:t> </w:t>
      </w:r>
      <w:r>
        <w:rPr/>
        <w:t>la</w:t>
      </w:r>
      <w:r>
        <w:rPr>
          <w:spacing w:val="-10"/>
        </w:rPr>
        <w:t> </w:t>
      </w:r>
      <w:r>
        <w:rPr/>
        <w:t>enfermedad,</w:t>
      </w:r>
      <w:r>
        <w:rPr>
          <w:spacing w:val="-7"/>
        </w:rPr>
        <w:t> </w:t>
      </w:r>
      <w:r>
        <w:rPr/>
        <w:t>esta</w:t>
      </w:r>
      <w:r>
        <w:rPr>
          <w:spacing w:val="-7"/>
        </w:rPr>
        <w:t> </w:t>
      </w:r>
      <w:r>
        <w:rPr/>
        <w:t>prueba se emplea cuando se requiere conocer el estado de una población particular con respecto</w:t>
      </w:r>
      <w:r>
        <w:rPr>
          <w:spacing w:val="-9"/>
        </w:rPr>
        <w:t> </w:t>
      </w:r>
      <w:r>
        <w:rPr/>
        <w:t>a</w:t>
      </w:r>
      <w:r>
        <w:rPr>
          <w:spacing w:val="-9"/>
        </w:rPr>
        <w:t> </w:t>
      </w:r>
      <w:r>
        <w:rPr/>
        <w:t>la</w:t>
      </w:r>
      <w:r>
        <w:rPr>
          <w:spacing w:val="-10"/>
        </w:rPr>
        <w:t> </w:t>
      </w:r>
      <w:r>
        <w:rPr/>
        <w:t>enfermedad</w:t>
      </w:r>
      <w:r>
        <w:rPr>
          <w:spacing w:val="-7"/>
        </w:rPr>
        <w:t> </w:t>
      </w:r>
      <w:r>
        <w:rPr/>
        <w:t>(“tamizaje”);</w:t>
      </w:r>
      <w:r>
        <w:rPr>
          <w:spacing w:val="-7"/>
        </w:rPr>
        <w:t> </w:t>
      </w:r>
      <w:r>
        <w:rPr/>
        <w:t>en</w:t>
      </w:r>
      <w:r>
        <w:rPr>
          <w:spacing w:val="-9"/>
        </w:rPr>
        <w:t> </w:t>
      </w:r>
      <w:r>
        <w:rPr/>
        <w:t>ocasiones,</w:t>
      </w:r>
      <w:r>
        <w:rPr>
          <w:spacing w:val="-10"/>
        </w:rPr>
        <w:t> </w:t>
      </w:r>
      <w:r>
        <w:rPr/>
        <w:t>varios</w:t>
      </w:r>
      <w:r>
        <w:rPr>
          <w:spacing w:val="-4"/>
        </w:rPr>
        <w:t> </w:t>
      </w:r>
      <w:r>
        <w:rPr/>
        <w:t>virus</w:t>
      </w:r>
      <w:r>
        <w:rPr>
          <w:spacing w:val="-8"/>
        </w:rPr>
        <w:t> </w:t>
      </w:r>
      <w:r>
        <w:rPr/>
        <w:t>del</w:t>
      </w:r>
      <w:r>
        <w:rPr>
          <w:spacing w:val="-8"/>
        </w:rPr>
        <w:t> </w:t>
      </w:r>
      <w:r>
        <w:rPr/>
        <w:t>mismo</w:t>
      </w:r>
      <w:r>
        <w:rPr>
          <w:spacing w:val="-7"/>
        </w:rPr>
        <w:t> </w:t>
      </w:r>
      <w:r>
        <w:rPr/>
        <w:t>subtipo pueden resultar positivos a esta prueba. </w:t>
      </w:r>
      <w:r>
        <w:rPr>
          <w:position w:val="8"/>
          <w:sz w:val="16"/>
        </w:rPr>
        <w:t>(17, 61, 123,</w:t>
      </w:r>
      <w:r>
        <w:rPr>
          <w:spacing w:val="-21"/>
          <w:position w:val="8"/>
          <w:sz w:val="16"/>
        </w:rPr>
        <w:t> </w:t>
      </w:r>
      <w:r>
        <w:rPr>
          <w:position w:val="8"/>
          <w:sz w:val="16"/>
        </w:rPr>
        <w:t>130)</w:t>
      </w:r>
    </w:p>
    <w:p>
      <w:pPr>
        <w:pStyle w:val="ListParagraph"/>
        <w:numPr>
          <w:ilvl w:val="0"/>
          <w:numId w:val="8"/>
        </w:numPr>
        <w:tabs>
          <w:tab w:pos="254" w:val="left" w:leader="none"/>
        </w:tabs>
        <w:spacing w:line="360" w:lineRule="auto" w:before="0" w:after="0"/>
        <w:ind w:left="102" w:right="141" w:firstLine="0"/>
        <w:jc w:val="both"/>
        <w:rPr>
          <w:sz w:val="24"/>
        </w:rPr>
      </w:pPr>
      <w:r>
        <w:rPr>
          <w:sz w:val="24"/>
        </w:rPr>
        <w:t>Seroneutralización (SN) de las glicoproteinas E1 y E2 del virus de EEV en cultivo celular: los anticuerpos seroneutralizantes aparecen durante la primera semana</w:t>
      </w:r>
      <w:r>
        <w:rPr>
          <w:spacing w:val="-29"/>
          <w:sz w:val="24"/>
        </w:rPr>
        <w:t> </w:t>
      </w:r>
      <w:r>
        <w:rPr>
          <w:sz w:val="24"/>
        </w:rPr>
        <w:t>de</w:t>
      </w:r>
    </w:p>
    <w:p>
      <w:pPr>
        <w:spacing w:after="0" w:line="360" w:lineRule="auto"/>
        <w:jc w:val="both"/>
        <w:rPr>
          <w:sz w:val="24"/>
        </w:rPr>
        <w:sectPr>
          <w:footerReference w:type="default" r:id="rId43"/>
          <w:pgSz w:w="12240" w:h="15840"/>
          <w:pgMar w:footer="1118" w:header="0" w:top="1360" w:bottom="1300" w:left="1600" w:right="1580"/>
        </w:sectPr>
      </w:pPr>
    </w:p>
    <w:p>
      <w:pPr>
        <w:pStyle w:val="BodyText"/>
        <w:spacing w:line="357" w:lineRule="auto" w:before="54"/>
        <w:ind w:left="102" w:right="123"/>
        <w:jc w:val="both"/>
        <w:rPr>
          <w:sz w:val="16"/>
        </w:rPr>
      </w:pPr>
      <w:r>
        <w:rPr/>
        <w:t>la enfermedad; la elevación (cuatro veces) de los títulos de anticuerpos neutralizantes entre la fase aguda y la convaleciente, se considera como un resultado positivo. </w:t>
      </w:r>
      <w:r>
        <w:rPr>
          <w:position w:val="8"/>
          <w:sz w:val="16"/>
        </w:rPr>
        <w:t>(17, 60)</w:t>
      </w:r>
    </w:p>
    <w:p>
      <w:pPr>
        <w:pStyle w:val="BodyText"/>
        <w:spacing w:before="4"/>
      </w:pPr>
    </w:p>
    <w:p>
      <w:pPr>
        <w:pStyle w:val="ListParagraph"/>
        <w:numPr>
          <w:ilvl w:val="0"/>
          <w:numId w:val="8"/>
        </w:numPr>
        <w:tabs>
          <w:tab w:pos="254" w:val="left" w:leader="none"/>
        </w:tabs>
        <w:spacing w:line="240" w:lineRule="auto" w:before="0" w:after="0"/>
        <w:ind w:left="253" w:right="0" w:hanging="151"/>
        <w:jc w:val="both"/>
        <w:rPr>
          <w:sz w:val="24"/>
        </w:rPr>
      </w:pPr>
      <w:r>
        <w:rPr>
          <w:sz w:val="24"/>
        </w:rPr>
        <w:t>Seroneutralización por Reducción en Placas (PRNT por sus siglas en</w:t>
      </w:r>
      <w:r>
        <w:rPr>
          <w:spacing w:val="-14"/>
          <w:sz w:val="24"/>
        </w:rPr>
        <w:t> </w:t>
      </w:r>
      <w:r>
        <w:rPr>
          <w:sz w:val="24"/>
        </w:rPr>
        <w:t>inglés)</w:t>
      </w:r>
    </w:p>
    <w:p>
      <w:pPr>
        <w:pStyle w:val="BodyText"/>
        <w:spacing w:line="360" w:lineRule="auto" w:before="137"/>
        <w:ind w:left="102" w:right="115"/>
        <w:jc w:val="both"/>
        <w:rPr>
          <w:sz w:val="16"/>
        </w:rPr>
      </w:pPr>
      <w:r>
        <w:rPr>
          <w:color w:val="242424"/>
        </w:rPr>
        <w:t>La neutralización de la infección viral es el método más sensible y específico para determinar la presencia de anticuerpos específicos en el suero. En el caso de los arbovirus es serotipo-específica porque existe una gran cantidad de reacciones cruzadas cuando se emplean otras pruebas serológicas. Además correlaciona los niveles de protección del suero frente a la infección. </w:t>
      </w:r>
      <w:r>
        <w:rPr>
          <w:color w:val="242424"/>
          <w:position w:val="8"/>
          <w:sz w:val="16"/>
        </w:rPr>
        <w:t>(131)</w:t>
      </w:r>
    </w:p>
    <w:p>
      <w:pPr>
        <w:pStyle w:val="BodyText"/>
        <w:spacing w:line="360" w:lineRule="auto" w:before="1"/>
        <w:ind w:left="102" w:right="116"/>
        <w:jc w:val="both"/>
      </w:pPr>
      <w:r>
        <w:rPr>
          <w:color w:val="242424"/>
        </w:rPr>
        <w:t>Las células se cubren con un medio semisólido que restringe la propagación del virus</w:t>
      </w:r>
      <w:r>
        <w:rPr>
          <w:color w:val="242424"/>
          <w:spacing w:val="-10"/>
        </w:rPr>
        <w:t> </w:t>
      </w:r>
      <w:r>
        <w:rPr>
          <w:color w:val="242424"/>
        </w:rPr>
        <w:t>de</w:t>
      </w:r>
      <w:r>
        <w:rPr>
          <w:color w:val="242424"/>
          <w:spacing w:val="-9"/>
        </w:rPr>
        <w:t> </w:t>
      </w:r>
      <w:r>
        <w:rPr>
          <w:color w:val="242424"/>
        </w:rPr>
        <w:t>la</w:t>
      </w:r>
      <w:r>
        <w:rPr>
          <w:color w:val="242424"/>
          <w:spacing w:val="-10"/>
        </w:rPr>
        <w:t> </w:t>
      </w:r>
      <w:r>
        <w:rPr>
          <w:color w:val="242424"/>
        </w:rPr>
        <w:t>progenie.</w:t>
      </w:r>
      <w:r>
        <w:rPr>
          <w:color w:val="242424"/>
          <w:spacing w:val="-7"/>
        </w:rPr>
        <w:t> </w:t>
      </w:r>
      <w:r>
        <w:rPr>
          <w:color w:val="242424"/>
        </w:rPr>
        <w:t>Cada</w:t>
      </w:r>
      <w:r>
        <w:rPr>
          <w:color w:val="242424"/>
          <w:spacing w:val="-9"/>
        </w:rPr>
        <w:t> </w:t>
      </w:r>
      <w:r>
        <w:rPr>
          <w:color w:val="242424"/>
        </w:rPr>
        <w:t>virus</w:t>
      </w:r>
      <w:r>
        <w:rPr>
          <w:color w:val="242424"/>
          <w:spacing w:val="-10"/>
        </w:rPr>
        <w:t> </w:t>
      </w:r>
      <w:r>
        <w:rPr>
          <w:color w:val="242424"/>
        </w:rPr>
        <w:t>que</w:t>
      </w:r>
      <w:r>
        <w:rPr>
          <w:color w:val="242424"/>
          <w:spacing w:val="-9"/>
        </w:rPr>
        <w:t> </w:t>
      </w:r>
      <w:r>
        <w:rPr>
          <w:color w:val="242424"/>
        </w:rPr>
        <w:t>inicia</w:t>
      </w:r>
      <w:r>
        <w:rPr>
          <w:color w:val="242424"/>
          <w:spacing w:val="-10"/>
        </w:rPr>
        <w:t> </w:t>
      </w:r>
      <w:r>
        <w:rPr>
          <w:color w:val="242424"/>
        </w:rPr>
        <w:t>una</w:t>
      </w:r>
      <w:r>
        <w:rPr>
          <w:color w:val="242424"/>
          <w:spacing w:val="-9"/>
        </w:rPr>
        <w:t> </w:t>
      </w:r>
      <w:r>
        <w:rPr>
          <w:color w:val="242424"/>
        </w:rPr>
        <w:t>infección</w:t>
      </w:r>
      <w:r>
        <w:rPr>
          <w:color w:val="242424"/>
          <w:spacing w:val="-9"/>
        </w:rPr>
        <w:t> </w:t>
      </w:r>
      <w:r>
        <w:rPr>
          <w:color w:val="242424"/>
        </w:rPr>
        <w:t>productiva</w:t>
      </w:r>
      <w:r>
        <w:rPr>
          <w:color w:val="242424"/>
          <w:spacing w:val="-9"/>
        </w:rPr>
        <w:t> </w:t>
      </w:r>
      <w:r>
        <w:rPr>
          <w:color w:val="242424"/>
        </w:rPr>
        <w:t>produce</w:t>
      </w:r>
      <w:r>
        <w:rPr>
          <w:color w:val="242424"/>
          <w:spacing w:val="-9"/>
        </w:rPr>
        <w:t> </w:t>
      </w:r>
      <w:r>
        <w:rPr>
          <w:color w:val="242424"/>
        </w:rPr>
        <w:t>un</w:t>
      </w:r>
      <w:r>
        <w:rPr>
          <w:color w:val="242424"/>
          <w:spacing w:val="-12"/>
        </w:rPr>
        <w:t> </w:t>
      </w:r>
      <w:r>
        <w:rPr>
          <w:color w:val="242424"/>
        </w:rPr>
        <w:t>área localizada de la infección (una placa), que puede ser detectada en una variedad</w:t>
      </w:r>
      <w:r>
        <w:rPr>
          <w:color w:val="242424"/>
          <w:spacing w:val="-39"/>
        </w:rPr>
        <w:t> </w:t>
      </w:r>
      <w:r>
        <w:rPr>
          <w:color w:val="242424"/>
        </w:rPr>
        <w:t>de maneras. Las placas se cuentan y comparan con la concentración de partida de virus</w:t>
      </w:r>
      <w:r>
        <w:rPr>
          <w:color w:val="242424"/>
          <w:spacing w:val="-8"/>
        </w:rPr>
        <w:t> </w:t>
      </w:r>
      <w:r>
        <w:rPr>
          <w:color w:val="242424"/>
        </w:rPr>
        <w:t>para</w:t>
      </w:r>
      <w:r>
        <w:rPr>
          <w:color w:val="242424"/>
          <w:spacing w:val="-10"/>
        </w:rPr>
        <w:t> </w:t>
      </w:r>
      <w:r>
        <w:rPr>
          <w:color w:val="242424"/>
        </w:rPr>
        <w:t>determinar</w:t>
      </w:r>
      <w:r>
        <w:rPr>
          <w:color w:val="242424"/>
          <w:spacing w:val="-11"/>
        </w:rPr>
        <w:t> </w:t>
      </w:r>
      <w:r>
        <w:rPr>
          <w:color w:val="242424"/>
        </w:rPr>
        <w:t>el</w:t>
      </w:r>
      <w:r>
        <w:rPr>
          <w:color w:val="242424"/>
          <w:spacing w:val="-8"/>
        </w:rPr>
        <w:t> </w:t>
      </w:r>
      <w:r>
        <w:rPr>
          <w:color w:val="242424"/>
        </w:rPr>
        <w:t>porcentaje</w:t>
      </w:r>
      <w:r>
        <w:rPr>
          <w:color w:val="242424"/>
          <w:spacing w:val="-10"/>
        </w:rPr>
        <w:t> </w:t>
      </w:r>
      <w:r>
        <w:rPr>
          <w:color w:val="242424"/>
        </w:rPr>
        <w:t>de</w:t>
      </w:r>
      <w:r>
        <w:rPr>
          <w:color w:val="242424"/>
          <w:spacing w:val="-7"/>
        </w:rPr>
        <w:t> </w:t>
      </w:r>
      <w:r>
        <w:rPr>
          <w:color w:val="242424"/>
        </w:rPr>
        <w:t>reducción</w:t>
      </w:r>
      <w:r>
        <w:rPr>
          <w:color w:val="242424"/>
          <w:spacing w:val="-9"/>
        </w:rPr>
        <w:t> </w:t>
      </w:r>
      <w:r>
        <w:rPr>
          <w:color w:val="242424"/>
        </w:rPr>
        <w:t>en</w:t>
      </w:r>
      <w:r>
        <w:rPr>
          <w:color w:val="242424"/>
          <w:spacing w:val="-4"/>
        </w:rPr>
        <w:t> </w:t>
      </w:r>
      <w:r>
        <w:rPr>
          <w:color w:val="242424"/>
        </w:rPr>
        <w:t>infectividad</w:t>
      </w:r>
      <w:r>
        <w:rPr>
          <w:color w:val="242424"/>
          <w:spacing w:val="-7"/>
        </w:rPr>
        <w:t> </w:t>
      </w:r>
      <w:r>
        <w:rPr>
          <w:color w:val="242424"/>
        </w:rPr>
        <w:t>total</w:t>
      </w:r>
      <w:r>
        <w:rPr>
          <w:color w:val="242424"/>
          <w:spacing w:val="-11"/>
        </w:rPr>
        <w:t> </w:t>
      </w:r>
      <w:r>
        <w:rPr>
          <w:color w:val="242424"/>
        </w:rPr>
        <w:t>del</w:t>
      </w:r>
      <w:r>
        <w:rPr>
          <w:color w:val="242424"/>
          <w:spacing w:val="-8"/>
        </w:rPr>
        <w:t> </w:t>
      </w:r>
      <w:r>
        <w:rPr>
          <w:color w:val="242424"/>
        </w:rPr>
        <w:t>virus.</w:t>
      </w:r>
      <w:r>
        <w:rPr>
          <w:color w:val="242424"/>
          <w:spacing w:val="-7"/>
        </w:rPr>
        <w:t> </w:t>
      </w:r>
      <w:r>
        <w:rPr>
          <w:color w:val="242424"/>
        </w:rPr>
        <w:t>En</w:t>
      </w:r>
      <w:r>
        <w:rPr>
          <w:color w:val="242424"/>
          <w:spacing w:val="-9"/>
        </w:rPr>
        <w:t> </w:t>
      </w:r>
      <w:r>
        <w:rPr>
          <w:color w:val="242424"/>
        </w:rPr>
        <w:t>el PRNT, la muestra de suero de prueba es por lo general es sometida a diluciones seriadas antes de ser mezclada con una cantidad estandarizada de</w:t>
      </w:r>
      <w:r>
        <w:rPr>
          <w:color w:val="242424"/>
          <w:spacing w:val="-31"/>
        </w:rPr>
        <w:t> </w:t>
      </w:r>
      <w:r>
        <w:rPr>
          <w:color w:val="242424"/>
        </w:rPr>
        <w:t>virus.</w:t>
      </w:r>
    </w:p>
    <w:p>
      <w:pPr>
        <w:pStyle w:val="BodyText"/>
        <w:spacing w:line="360" w:lineRule="auto" w:before="3"/>
        <w:ind w:left="102" w:right="116"/>
        <w:jc w:val="both"/>
        <w:rPr>
          <w:sz w:val="16"/>
        </w:rPr>
      </w:pPr>
      <w:r>
        <w:rPr>
          <w:color w:val="242424"/>
        </w:rPr>
        <w:t>La</w:t>
      </w:r>
      <w:r>
        <w:rPr>
          <w:color w:val="242424"/>
          <w:spacing w:val="-5"/>
        </w:rPr>
        <w:t> </w:t>
      </w:r>
      <w:r>
        <w:rPr>
          <w:color w:val="242424"/>
        </w:rPr>
        <w:t>concentración</w:t>
      </w:r>
      <w:r>
        <w:rPr>
          <w:color w:val="242424"/>
          <w:spacing w:val="-5"/>
        </w:rPr>
        <w:t> </w:t>
      </w:r>
      <w:r>
        <w:rPr>
          <w:color w:val="242424"/>
        </w:rPr>
        <w:t>de</w:t>
      </w:r>
      <w:r>
        <w:rPr>
          <w:color w:val="242424"/>
          <w:spacing w:val="-5"/>
        </w:rPr>
        <w:t> </w:t>
      </w:r>
      <w:r>
        <w:rPr>
          <w:color w:val="242424"/>
        </w:rPr>
        <w:t>virus</w:t>
      </w:r>
      <w:r>
        <w:rPr>
          <w:color w:val="242424"/>
          <w:spacing w:val="-5"/>
        </w:rPr>
        <w:t> </w:t>
      </w:r>
      <w:r>
        <w:rPr>
          <w:color w:val="242424"/>
        </w:rPr>
        <w:t>se</w:t>
      </w:r>
      <w:r>
        <w:rPr>
          <w:color w:val="242424"/>
          <w:spacing w:val="-7"/>
        </w:rPr>
        <w:t> </w:t>
      </w:r>
      <w:r>
        <w:rPr>
          <w:color w:val="242424"/>
        </w:rPr>
        <w:t>mantiene</w:t>
      </w:r>
      <w:r>
        <w:rPr>
          <w:color w:val="242424"/>
          <w:spacing w:val="-5"/>
        </w:rPr>
        <w:t> </w:t>
      </w:r>
      <w:r>
        <w:rPr>
          <w:color w:val="242424"/>
        </w:rPr>
        <w:t>constante</w:t>
      </w:r>
      <w:r>
        <w:rPr>
          <w:color w:val="242424"/>
          <w:spacing w:val="-6"/>
        </w:rPr>
        <w:t> </w:t>
      </w:r>
      <w:r>
        <w:rPr>
          <w:color w:val="242424"/>
        </w:rPr>
        <w:t>de</w:t>
      </w:r>
      <w:r>
        <w:rPr>
          <w:color w:val="242424"/>
          <w:spacing w:val="-7"/>
        </w:rPr>
        <w:t> </w:t>
      </w:r>
      <w:r>
        <w:rPr>
          <w:color w:val="242424"/>
        </w:rPr>
        <w:t>manera</w:t>
      </w:r>
      <w:r>
        <w:rPr>
          <w:color w:val="242424"/>
          <w:spacing w:val="-5"/>
        </w:rPr>
        <w:t> </w:t>
      </w:r>
      <w:r>
        <w:rPr>
          <w:color w:val="242424"/>
        </w:rPr>
        <w:t>que,</w:t>
      </w:r>
      <w:r>
        <w:rPr>
          <w:color w:val="242424"/>
          <w:spacing w:val="-5"/>
        </w:rPr>
        <w:t> </w:t>
      </w:r>
      <w:r>
        <w:rPr>
          <w:color w:val="242424"/>
        </w:rPr>
        <w:t>cuando</w:t>
      </w:r>
      <w:r>
        <w:rPr>
          <w:color w:val="242424"/>
          <w:spacing w:val="-5"/>
        </w:rPr>
        <w:t> </w:t>
      </w:r>
      <w:r>
        <w:rPr>
          <w:color w:val="242424"/>
        </w:rPr>
        <w:t>se</w:t>
      </w:r>
      <w:r>
        <w:rPr>
          <w:color w:val="242424"/>
          <w:spacing w:val="-5"/>
        </w:rPr>
        <w:t> </w:t>
      </w:r>
      <w:r>
        <w:rPr>
          <w:color w:val="242424"/>
        </w:rPr>
        <w:t>añade a células susceptibles y cubiertas con medios semisólidos, placas individuales se pueden discernir y contar. De esta manera, los títulos de punto final PRNT se pueden calcular para cada muestra de suero en cualquier porcentaje de reducción de la actividad del virus seleccionado. Una desventaja de la PRNT es que es un trabajo intensivo y tardado, por lo tanto no es muy viable para diagnostico a gran escala en caso de un brote. </w:t>
      </w:r>
      <w:r>
        <w:rPr>
          <w:color w:val="242424"/>
          <w:position w:val="8"/>
          <w:sz w:val="16"/>
        </w:rPr>
        <w:t>(17, 61,</w:t>
      </w:r>
      <w:r>
        <w:rPr>
          <w:color w:val="242424"/>
          <w:spacing w:val="-12"/>
          <w:position w:val="8"/>
          <w:sz w:val="16"/>
        </w:rPr>
        <w:t> </w:t>
      </w:r>
      <w:r>
        <w:rPr>
          <w:color w:val="242424"/>
          <w:position w:val="8"/>
          <w:sz w:val="16"/>
        </w:rPr>
        <w:t>132)</w:t>
      </w:r>
    </w:p>
    <w:p>
      <w:pPr>
        <w:pStyle w:val="ListParagraph"/>
        <w:numPr>
          <w:ilvl w:val="0"/>
          <w:numId w:val="8"/>
        </w:numPr>
        <w:tabs>
          <w:tab w:pos="254" w:val="left" w:leader="none"/>
        </w:tabs>
        <w:spacing w:line="357" w:lineRule="auto" w:before="1" w:after="0"/>
        <w:ind w:left="102" w:right="420" w:firstLine="0"/>
        <w:jc w:val="left"/>
        <w:rPr>
          <w:sz w:val="16"/>
        </w:rPr>
      </w:pPr>
      <w:r>
        <w:rPr>
          <w:sz w:val="24"/>
        </w:rPr>
        <w:t>Fijación del Complemento (FC): los anticuerpos FC aparecen en la segunda semana de enfermedad, indicando infección reciente, también puede identificar IgG, los títulos obtenidos, son más bajos que los señalados por HI; se</w:t>
      </w:r>
      <w:r>
        <w:rPr>
          <w:spacing w:val="-23"/>
          <w:sz w:val="24"/>
        </w:rPr>
        <w:t> </w:t>
      </w:r>
      <w:r>
        <w:rPr>
          <w:sz w:val="24"/>
        </w:rPr>
        <w:t>considera como una de las pruebas más específicas  </w:t>
      </w:r>
      <w:r>
        <w:rPr>
          <w:position w:val="8"/>
          <w:sz w:val="16"/>
        </w:rPr>
        <w:t>(17,</w:t>
      </w:r>
      <w:r>
        <w:rPr>
          <w:spacing w:val="-15"/>
          <w:position w:val="8"/>
          <w:sz w:val="16"/>
        </w:rPr>
        <w:t> </w:t>
      </w:r>
      <w:r>
        <w:rPr>
          <w:position w:val="8"/>
          <w:sz w:val="16"/>
        </w:rPr>
        <w:t>61)</w:t>
      </w:r>
    </w:p>
    <w:p>
      <w:pPr>
        <w:pStyle w:val="BodyText"/>
        <w:rPr>
          <w:sz w:val="26"/>
        </w:rPr>
      </w:pPr>
    </w:p>
    <w:p>
      <w:pPr>
        <w:spacing w:before="205"/>
        <w:ind w:left="330" w:right="346" w:firstLine="0"/>
        <w:jc w:val="center"/>
        <w:rPr>
          <w:rFonts w:ascii="Calibri"/>
          <w:b/>
          <w:sz w:val="22"/>
        </w:rPr>
      </w:pPr>
      <w:r>
        <w:rPr>
          <w:rFonts w:ascii="Calibri"/>
          <w:b/>
          <w:sz w:val="22"/>
        </w:rPr>
        <w:t>41</w:t>
      </w:r>
    </w:p>
    <w:p>
      <w:pPr>
        <w:spacing w:after="0"/>
        <w:jc w:val="center"/>
        <w:rPr>
          <w:rFonts w:ascii="Calibri"/>
          <w:sz w:val="22"/>
        </w:rPr>
        <w:sectPr>
          <w:footerReference w:type="default" r:id="rId44"/>
          <w:pgSz w:w="12240" w:h="15840"/>
          <w:pgMar w:footer="0" w:header="0" w:top="1360" w:bottom="280" w:left="1600" w:right="1580"/>
        </w:sectPr>
      </w:pPr>
    </w:p>
    <w:p>
      <w:pPr>
        <w:pStyle w:val="Heading4"/>
        <w:numPr>
          <w:ilvl w:val="4"/>
          <w:numId w:val="11"/>
        </w:numPr>
        <w:tabs>
          <w:tab w:pos="1322" w:val="left" w:leader="none"/>
        </w:tabs>
        <w:spacing w:line="240" w:lineRule="auto" w:before="54" w:after="0"/>
        <w:ind w:left="1321" w:right="0" w:hanging="1219"/>
        <w:jc w:val="both"/>
      </w:pPr>
      <w:r>
        <w:rPr/>
        <w:t>Aislamiento e Identificación</w:t>
      </w:r>
      <w:r>
        <w:rPr>
          <w:spacing w:val="-13"/>
        </w:rPr>
        <w:t> </w:t>
      </w:r>
      <w:r>
        <w:rPr/>
        <w:t>Viral</w:t>
      </w:r>
    </w:p>
    <w:p>
      <w:pPr>
        <w:pStyle w:val="BodyText"/>
        <w:spacing w:line="357" w:lineRule="auto" w:before="139"/>
        <w:ind w:left="102" w:right="106"/>
        <w:rPr>
          <w:sz w:val="16"/>
        </w:rPr>
      </w:pPr>
      <w:r>
        <w:rPr/>
        <w:t>El aislamiento viral se realiza entre los 5 y los 7 días después de la infección, las muestras</w:t>
      </w:r>
      <w:r>
        <w:rPr>
          <w:spacing w:val="-12"/>
        </w:rPr>
        <w:t> </w:t>
      </w:r>
      <w:r>
        <w:rPr/>
        <w:t>se</w:t>
      </w:r>
      <w:r>
        <w:rPr>
          <w:spacing w:val="-13"/>
        </w:rPr>
        <w:t> </w:t>
      </w:r>
      <w:r>
        <w:rPr/>
        <w:t>deben</w:t>
      </w:r>
      <w:r>
        <w:rPr>
          <w:spacing w:val="-11"/>
        </w:rPr>
        <w:t> </w:t>
      </w:r>
      <w:r>
        <w:rPr/>
        <w:t>tomar</w:t>
      </w:r>
      <w:r>
        <w:rPr>
          <w:spacing w:val="-12"/>
        </w:rPr>
        <w:t> </w:t>
      </w:r>
      <w:r>
        <w:rPr/>
        <w:t>durante</w:t>
      </w:r>
      <w:r>
        <w:rPr>
          <w:spacing w:val="-11"/>
        </w:rPr>
        <w:t> </w:t>
      </w:r>
      <w:r>
        <w:rPr/>
        <w:t>la</w:t>
      </w:r>
      <w:r>
        <w:rPr>
          <w:spacing w:val="-16"/>
        </w:rPr>
        <w:t> </w:t>
      </w:r>
      <w:r>
        <w:rPr/>
        <w:t>fase</w:t>
      </w:r>
      <w:r>
        <w:rPr>
          <w:spacing w:val="-11"/>
        </w:rPr>
        <w:t> </w:t>
      </w:r>
      <w:r>
        <w:rPr/>
        <w:t>de</w:t>
      </w:r>
      <w:r>
        <w:rPr>
          <w:spacing w:val="-13"/>
        </w:rPr>
        <w:t> </w:t>
      </w:r>
      <w:r>
        <w:rPr/>
        <w:t>viremia</w:t>
      </w:r>
      <w:r>
        <w:rPr>
          <w:spacing w:val="-11"/>
        </w:rPr>
        <w:t> </w:t>
      </w:r>
      <w:r>
        <w:rPr/>
        <w:t>(primeros</w:t>
      </w:r>
      <w:r>
        <w:rPr>
          <w:spacing w:val="-11"/>
        </w:rPr>
        <w:t> </w:t>
      </w:r>
      <w:r>
        <w:rPr/>
        <w:t>5</w:t>
      </w:r>
      <w:r>
        <w:rPr>
          <w:spacing w:val="-13"/>
        </w:rPr>
        <w:t> </w:t>
      </w:r>
      <w:r>
        <w:rPr/>
        <w:t>días</w:t>
      </w:r>
      <w:r>
        <w:rPr>
          <w:spacing w:val="-12"/>
        </w:rPr>
        <w:t> </w:t>
      </w:r>
      <w:r>
        <w:rPr/>
        <w:t>post</w:t>
      </w:r>
      <w:r>
        <w:rPr>
          <w:spacing w:val="-11"/>
        </w:rPr>
        <w:t> </w:t>
      </w:r>
      <w:r>
        <w:rPr/>
        <w:t>infección) ya que ésta termina antes de la aparición de los primeros signos, el procedimiento se</w:t>
      </w:r>
      <w:r>
        <w:rPr>
          <w:spacing w:val="-16"/>
        </w:rPr>
        <w:t> </w:t>
      </w:r>
      <w:r>
        <w:rPr/>
        <w:t>realiza</w:t>
      </w:r>
      <w:r>
        <w:rPr>
          <w:spacing w:val="-17"/>
        </w:rPr>
        <w:t> </w:t>
      </w:r>
      <w:r>
        <w:rPr/>
        <w:t>en</w:t>
      </w:r>
      <w:r>
        <w:rPr>
          <w:spacing w:val="-17"/>
        </w:rPr>
        <w:t> </w:t>
      </w:r>
      <w:r>
        <w:rPr/>
        <w:t>laboratorios</w:t>
      </w:r>
      <w:r>
        <w:rPr>
          <w:spacing w:val="-17"/>
        </w:rPr>
        <w:t> </w:t>
      </w:r>
      <w:r>
        <w:rPr/>
        <w:t>con</w:t>
      </w:r>
      <w:r>
        <w:rPr>
          <w:spacing w:val="-17"/>
        </w:rPr>
        <w:t> </w:t>
      </w:r>
      <w:r>
        <w:rPr/>
        <w:t>instalaciones</w:t>
      </w:r>
      <w:r>
        <w:rPr>
          <w:spacing w:val="-20"/>
        </w:rPr>
        <w:t> </w:t>
      </w:r>
      <w:r>
        <w:rPr/>
        <w:t>de</w:t>
      </w:r>
      <w:r>
        <w:rPr>
          <w:spacing w:val="-19"/>
        </w:rPr>
        <w:t> </w:t>
      </w:r>
      <w:r>
        <w:rPr/>
        <w:t>contención</w:t>
      </w:r>
      <w:r>
        <w:rPr>
          <w:spacing w:val="-19"/>
        </w:rPr>
        <w:t> </w:t>
      </w:r>
      <w:r>
        <w:rPr/>
        <w:t>biológica,</w:t>
      </w:r>
      <w:r>
        <w:rPr>
          <w:spacing w:val="-19"/>
        </w:rPr>
        <w:t> </w:t>
      </w:r>
      <w:r>
        <w:rPr/>
        <w:t>el</w:t>
      </w:r>
      <w:r>
        <w:rPr>
          <w:spacing w:val="-18"/>
        </w:rPr>
        <w:t> </w:t>
      </w:r>
      <w:r>
        <w:rPr/>
        <w:t>manejo</w:t>
      </w:r>
      <w:r>
        <w:rPr>
          <w:spacing w:val="-17"/>
        </w:rPr>
        <w:t> </w:t>
      </w:r>
      <w:r>
        <w:rPr/>
        <w:t>inicial de</w:t>
      </w:r>
      <w:r>
        <w:rPr>
          <w:spacing w:val="-3"/>
        </w:rPr>
        <w:t> </w:t>
      </w:r>
      <w:r>
        <w:rPr/>
        <w:t>las</w:t>
      </w:r>
      <w:r>
        <w:rPr>
          <w:spacing w:val="-6"/>
        </w:rPr>
        <w:t> </w:t>
      </w:r>
      <w:r>
        <w:rPr/>
        <w:t>muestras</w:t>
      </w:r>
      <w:r>
        <w:rPr>
          <w:spacing w:val="-7"/>
        </w:rPr>
        <w:t> </w:t>
      </w:r>
      <w:r>
        <w:rPr/>
        <w:t>se</w:t>
      </w:r>
      <w:r>
        <w:rPr>
          <w:spacing w:val="-6"/>
        </w:rPr>
        <w:t> </w:t>
      </w:r>
      <w:r>
        <w:rPr/>
        <w:t>efectúa</w:t>
      </w:r>
      <w:r>
        <w:rPr>
          <w:spacing w:val="-6"/>
        </w:rPr>
        <w:t> </w:t>
      </w:r>
      <w:r>
        <w:rPr/>
        <w:t>en</w:t>
      </w:r>
      <w:r>
        <w:rPr>
          <w:spacing w:val="-6"/>
        </w:rPr>
        <w:t> </w:t>
      </w:r>
      <w:r>
        <w:rPr/>
        <w:t>laboratorios</w:t>
      </w:r>
      <w:r>
        <w:rPr>
          <w:spacing w:val="-7"/>
        </w:rPr>
        <w:t> </w:t>
      </w:r>
      <w:r>
        <w:rPr/>
        <w:t>BSL2</w:t>
      </w:r>
      <w:r>
        <w:rPr>
          <w:spacing w:val="-4"/>
        </w:rPr>
        <w:t> </w:t>
      </w:r>
      <w:r>
        <w:rPr/>
        <w:t>y</w:t>
      </w:r>
      <w:r>
        <w:rPr>
          <w:spacing w:val="-7"/>
        </w:rPr>
        <w:t> </w:t>
      </w:r>
      <w:r>
        <w:rPr/>
        <w:t>el</w:t>
      </w:r>
      <w:r>
        <w:rPr>
          <w:spacing w:val="-7"/>
        </w:rPr>
        <w:t> </w:t>
      </w:r>
      <w:r>
        <w:rPr/>
        <w:t>procesamiento</w:t>
      </w:r>
      <w:r>
        <w:rPr>
          <w:spacing w:val="-4"/>
        </w:rPr>
        <w:t> </w:t>
      </w:r>
      <w:r>
        <w:rPr/>
        <w:t>en</w:t>
      </w:r>
      <w:r>
        <w:rPr>
          <w:spacing w:val="-4"/>
        </w:rPr>
        <w:t> </w:t>
      </w:r>
      <w:r>
        <w:rPr/>
        <w:t>BSL3</w:t>
      </w:r>
      <w:r>
        <w:rPr>
          <w:position w:val="8"/>
          <w:sz w:val="16"/>
        </w:rPr>
        <w:t>.</w:t>
      </w:r>
      <w:r>
        <w:rPr>
          <w:spacing w:val="-2"/>
          <w:position w:val="8"/>
          <w:sz w:val="16"/>
        </w:rPr>
        <w:t> </w:t>
      </w:r>
      <w:r>
        <w:rPr>
          <w:position w:val="8"/>
          <w:sz w:val="16"/>
        </w:rPr>
        <w:t>(55,</w:t>
      </w:r>
      <w:r>
        <w:rPr>
          <w:spacing w:val="-2"/>
          <w:position w:val="8"/>
          <w:sz w:val="16"/>
        </w:rPr>
        <w:t> </w:t>
      </w:r>
      <w:r>
        <w:rPr>
          <w:position w:val="8"/>
          <w:sz w:val="16"/>
        </w:rPr>
        <w:t>61, </w:t>
      </w:r>
      <w:r>
        <w:rPr>
          <w:sz w:val="16"/>
        </w:rPr>
        <w:t>120)</w:t>
      </w:r>
    </w:p>
    <w:p>
      <w:pPr>
        <w:pStyle w:val="BodyText"/>
        <w:spacing w:before="9"/>
        <w:rPr>
          <w:sz w:val="12"/>
        </w:rPr>
      </w:pPr>
    </w:p>
    <w:p>
      <w:pPr>
        <w:pStyle w:val="BodyText"/>
        <w:spacing w:line="360" w:lineRule="auto" w:before="1"/>
        <w:ind w:left="102" w:right="115"/>
        <w:jc w:val="both"/>
        <w:rPr>
          <w:sz w:val="16"/>
        </w:rPr>
      </w:pPr>
      <w:r>
        <w:rPr/>
        <w:t>Las muestras empleadas son: suero sanguíneo de animales asintomáticos en contacto con otros en estado febril marcado, que se encuentren en</w:t>
      </w:r>
      <w:r>
        <w:rPr>
          <w:spacing w:val="-46"/>
        </w:rPr>
        <w:t> </w:t>
      </w:r>
      <w:r>
        <w:rPr/>
        <w:t>lugares vecinos o</w:t>
      </w:r>
      <w:r>
        <w:rPr>
          <w:spacing w:val="-9"/>
        </w:rPr>
        <w:t> </w:t>
      </w:r>
      <w:r>
        <w:rPr/>
        <w:t>estén</w:t>
      </w:r>
      <w:r>
        <w:rPr>
          <w:spacing w:val="-11"/>
        </w:rPr>
        <w:t> </w:t>
      </w:r>
      <w:r>
        <w:rPr/>
        <w:t>en</w:t>
      </w:r>
      <w:r>
        <w:rPr>
          <w:spacing w:val="-11"/>
        </w:rPr>
        <w:t> </w:t>
      </w:r>
      <w:r>
        <w:rPr/>
        <w:t>contacto</w:t>
      </w:r>
      <w:r>
        <w:rPr>
          <w:spacing w:val="-7"/>
        </w:rPr>
        <w:t> </w:t>
      </w:r>
      <w:r>
        <w:rPr/>
        <w:t>estrecho</w:t>
      </w:r>
      <w:r>
        <w:rPr>
          <w:spacing w:val="-9"/>
        </w:rPr>
        <w:t> </w:t>
      </w:r>
      <w:r>
        <w:rPr/>
        <w:t>con</w:t>
      </w:r>
      <w:r>
        <w:rPr>
          <w:spacing w:val="-9"/>
        </w:rPr>
        <w:t> </w:t>
      </w:r>
      <w:r>
        <w:rPr/>
        <w:t>los</w:t>
      </w:r>
      <w:r>
        <w:rPr>
          <w:spacing w:val="-9"/>
        </w:rPr>
        <w:t> </w:t>
      </w:r>
      <w:r>
        <w:rPr/>
        <w:t>casos</w:t>
      </w:r>
      <w:r>
        <w:rPr>
          <w:spacing w:val="-9"/>
        </w:rPr>
        <w:t> </w:t>
      </w:r>
      <w:r>
        <w:rPr/>
        <w:t>clínicos.</w:t>
      </w:r>
      <w:r>
        <w:rPr>
          <w:spacing w:val="-11"/>
        </w:rPr>
        <w:t> </w:t>
      </w:r>
      <w:r>
        <w:rPr/>
        <w:t>Tejidos</w:t>
      </w:r>
      <w:r>
        <w:rPr>
          <w:spacing w:val="-12"/>
        </w:rPr>
        <w:t> </w:t>
      </w:r>
      <w:r>
        <w:rPr/>
        <w:t>en</w:t>
      </w:r>
      <w:r>
        <w:rPr>
          <w:spacing w:val="-11"/>
        </w:rPr>
        <w:t> </w:t>
      </w:r>
      <w:r>
        <w:rPr/>
        <w:t>porciones</w:t>
      </w:r>
      <w:r>
        <w:rPr>
          <w:spacing w:val="-12"/>
        </w:rPr>
        <w:t> </w:t>
      </w:r>
      <w:r>
        <w:rPr/>
        <w:t>de</w:t>
      </w:r>
      <w:r>
        <w:rPr>
          <w:spacing w:val="-11"/>
        </w:rPr>
        <w:t> </w:t>
      </w:r>
      <w:r>
        <w:rPr/>
        <w:t>2</w:t>
      </w:r>
      <w:r>
        <w:rPr>
          <w:spacing w:val="-9"/>
        </w:rPr>
        <w:t> </w:t>
      </w:r>
      <w:r>
        <w:rPr/>
        <w:t>g.</w:t>
      </w:r>
      <w:r>
        <w:rPr>
          <w:spacing w:val="-11"/>
        </w:rPr>
        <w:t> </w:t>
      </w:r>
      <w:r>
        <w:rPr/>
        <w:t>de encéfalo,</w:t>
      </w:r>
      <w:r>
        <w:rPr>
          <w:spacing w:val="-6"/>
        </w:rPr>
        <w:t> </w:t>
      </w:r>
      <w:r>
        <w:rPr/>
        <w:t>páncreas</w:t>
      </w:r>
      <w:r>
        <w:rPr>
          <w:spacing w:val="-7"/>
        </w:rPr>
        <w:t> </w:t>
      </w:r>
      <w:r>
        <w:rPr/>
        <w:t>y</w:t>
      </w:r>
      <w:r>
        <w:rPr>
          <w:spacing w:val="-7"/>
        </w:rPr>
        <w:t> </w:t>
      </w:r>
      <w:r>
        <w:rPr/>
        <w:t>bazo</w:t>
      </w:r>
      <w:r>
        <w:rPr>
          <w:spacing w:val="-2"/>
        </w:rPr>
        <w:t> </w:t>
      </w:r>
      <w:r>
        <w:rPr/>
        <w:t>procedentes</w:t>
      </w:r>
      <w:r>
        <w:rPr>
          <w:spacing w:val="-7"/>
        </w:rPr>
        <w:t> </w:t>
      </w:r>
      <w:r>
        <w:rPr/>
        <w:t>de</w:t>
      </w:r>
      <w:r>
        <w:rPr>
          <w:spacing w:val="-6"/>
        </w:rPr>
        <w:t> </w:t>
      </w:r>
      <w:r>
        <w:rPr/>
        <w:t>équidos</w:t>
      </w:r>
      <w:r>
        <w:rPr>
          <w:spacing w:val="-7"/>
        </w:rPr>
        <w:t> </w:t>
      </w:r>
      <w:r>
        <w:rPr/>
        <w:t>muertos</w:t>
      </w:r>
      <w:r>
        <w:rPr>
          <w:spacing w:val="-7"/>
        </w:rPr>
        <w:t> </w:t>
      </w:r>
      <w:r>
        <w:rPr/>
        <w:t>en</w:t>
      </w:r>
      <w:r>
        <w:rPr>
          <w:spacing w:val="-6"/>
        </w:rPr>
        <w:t> </w:t>
      </w:r>
      <w:r>
        <w:rPr/>
        <w:t>la</w:t>
      </w:r>
      <w:r>
        <w:rPr>
          <w:spacing w:val="-9"/>
        </w:rPr>
        <w:t> </w:t>
      </w:r>
      <w:r>
        <w:rPr/>
        <w:t>fase</w:t>
      </w:r>
      <w:r>
        <w:rPr>
          <w:spacing w:val="-5"/>
        </w:rPr>
        <w:t> </w:t>
      </w:r>
      <w:r>
        <w:rPr/>
        <w:t>sobreaguda, al inicio de la presentación de los signos nerviosos, o de un animal sacrificado durante el período febril. </w:t>
      </w:r>
      <w:r>
        <w:rPr>
          <w:position w:val="8"/>
          <w:sz w:val="16"/>
        </w:rPr>
        <w:t>(55,</w:t>
      </w:r>
      <w:r>
        <w:rPr>
          <w:spacing w:val="-12"/>
          <w:position w:val="8"/>
          <w:sz w:val="16"/>
        </w:rPr>
        <w:t> </w:t>
      </w:r>
      <w:r>
        <w:rPr>
          <w:position w:val="8"/>
          <w:sz w:val="16"/>
        </w:rPr>
        <w:t>133)</w:t>
      </w:r>
    </w:p>
    <w:p>
      <w:pPr>
        <w:pStyle w:val="BodyText"/>
        <w:spacing w:before="1"/>
      </w:pPr>
    </w:p>
    <w:p>
      <w:pPr>
        <w:pStyle w:val="BodyText"/>
        <w:spacing w:line="357" w:lineRule="auto"/>
        <w:ind w:left="102" w:right="117"/>
        <w:jc w:val="both"/>
        <w:rPr>
          <w:sz w:val="16"/>
        </w:rPr>
      </w:pPr>
      <w:r>
        <w:rPr/>
        <w:t>En</w:t>
      </w:r>
      <w:r>
        <w:rPr>
          <w:spacing w:val="-11"/>
        </w:rPr>
        <w:t> </w:t>
      </w:r>
      <w:r>
        <w:rPr/>
        <w:t>el</w:t>
      </w:r>
      <w:r>
        <w:rPr>
          <w:spacing w:val="-12"/>
        </w:rPr>
        <w:t> </w:t>
      </w:r>
      <w:r>
        <w:rPr/>
        <w:t>hombre,</w:t>
      </w:r>
      <w:r>
        <w:rPr>
          <w:spacing w:val="-13"/>
        </w:rPr>
        <w:t> </w:t>
      </w:r>
      <w:r>
        <w:rPr/>
        <w:t>el</w:t>
      </w:r>
      <w:r>
        <w:rPr>
          <w:spacing w:val="-12"/>
        </w:rPr>
        <w:t> </w:t>
      </w:r>
      <w:r>
        <w:rPr/>
        <w:t>aislamiento</w:t>
      </w:r>
      <w:r>
        <w:rPr>
          <w:spacing w:val="-11"/>
        </w:rPr>
        <w:t> </w:t>
      </w:r>
      <w:r>
        <w:rPr/>
        <w:t>viral</w:t>
      </w:r>
      <w:r>
        <w:rPr>
          <w:spacing w:val="-12"/>
        </w:rPr>
        <w:t> </w:t>
      </w:r>
      <w:r>
        <w:rPr/>
        <w:t>se</w:t>
      </w:r>
      <w:r>
        <w:rPr>
          <w:spacing w:val="-11"/>
        </w:rPr>
        <w:t> </w:t>
      </w:r>
      <w:r>
        <w:rPr/>
        <w:t>realiza</w:t>
      </w:r>
      <w:r>
        <w:rPr>
          <w:spacing w:val="-11"/>
        </w:rPr>
        <w:t> </w:t>
      </w:r>
      <w:r>
        <w:rPr/>
        <w:t>a</w:t>
      </w:r>
      <w:r>
        <w:rPr>
          <w:spacing w:val="-11"/>
        </w:rPr>
        <w:t> </w:t>
      </w:r>
      <w:r>
        <w:rPr/>
        <w:t>partir</w:t>
      </w:r>
      <w:r>
        <w:rPr>
          <w:spacing w:val="-12"/>
        </w:rPr>
        <w:t> </w:t>
      </w:r>
      <w:r>
        <w:rPr/>
        <w:t>de</w:t>
      </w:r>
      <w:r>
        <w:rPr>
          <w:spacing w:val="-11"/>
        </w:rPr>
        <w:t> </w:t>
      </w:r>
      <w:r>
        <w:rPr/>
        <w:t>suero</w:t>
      </w:r>
      <w:r>
        <w:rPr>
          <w:spacing w:val="-14"/>
        </w:rPr>
        <w:t> </w:t>
      </w:r>
      <w:r>
        <w:rPr/>
        <w:t>sanguíneo</w:t>
      </w:r>
      <w:r>
        <w:rPr>
          <w:spacing w:val="-11"/>
        </w:rPr>
        <w:t> </w:t>
      </w:r>
      <w:r>
        <w:rPr/>
        <w:t>y</w:t>
      </w:r>
      <w:r>
        <w:rPr>
          <w:spacing w:val="-14"/>
        </w:rPr>
        <w:t> </w:t>
      </w:r>
      <w:r>
        <w:rPr/>
        <w:t>del</w:t>
      </w:r>
      <w:r>
        <w:rPr>
          <w:spacing w:val="-12"/>
        </w:rPr>
        <w:t> </w:t>
      </w:r>
      <w:r>
        <w:rPr/>
        <w:t>lavado o de hisopos nasofaríngeos, tomados durante la </w:t>
      </w:r>
      <w:r>
        <w:rPr>
          <w:spacing w:val="2"/>
        </w:rPr>
        <w:t>fase </w:t>
      </w:r>
      <w:r>
        <w:rPr/>
        <w:t>virémica (primeras 72 horas) o en los primeros días de presentación de los síntomas de la enfermedad.</w:t>
      </w:r>
      <w:r>
        <w:rPr>
          <w:spacing w:val="-23"/>
        </w:rPr>
        <w:t> </w:t>
      </w:r>
      <w:r>
        <w:rPr>
          <w:position w:val="8"/>
          <w:sz w:val="16"/>
        </w:rPr>
        <w:t>(134)</w:t>
      </w:r>
    </w:p>
    <w:p>
      <w:pPr>
        <w:pStyle w:val="BodyText"/>
        <w:spacing w:line="360" w:lineRule="auto" w:before="2"/>
        <w:ind w:left="102" w:right="117"/>
        <w:jc w:val="both"/>
        <w:rPr>
          <w:sz w:val="16"/>
        </w:rPr>
      </w:pPr>
      <w:r>
        <w:rPr/>
        <w:t>Las muestras para aislamiento se deben enviar congeladas inmediatamente después de la toma, y el arribo al laboratorio no debe ser mayor de 24 horas. Se enviarán congeladas (-70C) con hielo seco o gelatina, ya que las fallas en este procedimiento,</w:t>
      </w:r>
      <w:r>
        <w:rPr>
          <w:spacing w:val="-11"/>
        </w:rPr>
        <w:t> </w:t>
      </w:r>
      <w:r>
        <w:rPr/>
        <w:t>constituyen</w:t>
      </w:r>
      <w:r>
        <w:rPr>
          <w:spacing w:val="-9"/>
        </w:rPr>
        <w:t> </w:t>
      </w:r>
      <w:r>
        <w:rPr/>
        <w:t>un</w:t>
      </w:r>
      <w:r>
        <w:rPr>
          <w:spacing w:val="-12"/>
        </w:rPr>
        <w:t> </w:t>
      </w:r>
      <w:r>
        <w:rPr/>
        <w:t>obstáculo</w:t>
      </w:r>
      <w:r>
        <w:rPr>
          <w:spacing w:val="-12"/>
        </w:rPr>
        <w:t> </w:t>
      </w:r>
      <w:r>
        <w:rPr/>
        <w:t>para</w:t>
      </w:r>
      <w:r>
        <w:rPr>
          <w:spacing w:val="-9"/>
        </w:rPr>
        <w:t> </w:t>
      </w:r>
      <w:r>
        <w:rPr/>
        <w:t>el</w:t>
      </w:r>
      <w:r>
        <w:rPr>
          <w:spacing w:val="-13"/>
        </w:rPr>
        <w:t> </w:t>
      </w:r>
      <w:r>
        <w:rPr/>
        <w:t>aislamiento</w:t>
      </w:r>
      <w:r>
        <w:rPr>
          <w:spacing w:val="-12"/>
        </w:rPr>
        <w:t> </w:t>
      </w:r>
      <w:r>
        <w:rPr/>
        <w:t>del</w:t>
      </w:r>
      <w:r>
        <w:rPr>
          <w:spacing w:val="-13"/>
        </w:rPr>
        <w:t> </w:t>
      </w:r>
      <w:r>
        <w:rPr/>
        <w:t>agente,</w:t>
      </w:r>
      <w:r>
        <w:rPr>
          <w:spacing w:val="-10"/>
        </w:rPr>
        <w:t> </w:t>
      </w:r>
      <w:r>
        <w:rPr/>
        <w:t>debido</w:t>
      </w:r>
      <w:r>
        <w:rPr>
          <w:spacing w:val="-12"/>
        </w:rPr>
        <w:t> </w:t>
      </w:r>
      <w:r>
        <w:rPr/>
        <w:t>a</w:t>
      </w:r>
      <w:r>
        <w:rPr>
          <w:spacing w:val="-9"/>
        </w:rPr>
        <w:t> </w:t>
      </w:r>
      <w:r>
        <w:rPr/>
        <w:t>su fragilidad ante cambios de temperatura</w:t>
      </w:r>
      <w:r>
        <w:rPr>
          <w:spacing w:val="54"/>
        </w:rPr>
        <w:t> </w:t>
      </w:r>
      <w:r>
        <w:rPr>
          <w:position w:val="8"/>
          <w:sz w:val="16"/>
        </w:rPr>
        <w:t>(55)</w:t>
      </w:r>
    </w:p>
    <w:p>
      <w:pPr>
        <w:pStyle w:val="BodyText"/>
        <w:rPr>
          <w:sz w:val="36"/>
        </w:rPr>
      </w:pPr>
    </w:p>
    <w:p>
      <w:pPr>
        <w:pStyle w:val="Heading4"/>
        <w:numPr>
          <w:ilvl w:val="4"/>
          <w:numId w:val="11"/>
        </w:numPr>
        <w:tabs>
          <w:tab w:pos="1238" w:val="left" w:leader="none"/>
        </w:tabs>
        <w:spacing w:line="240" w:lineRule="auto" w:before="0" w:after="0"/>
        <w:ind w:left="1237" w:right="0" w:hanging="1135"/>
        <w:jc w:val="both"/>
      </w:pPr>
      <w:r>
        <w:rPr/>
        <w:t>Identificación</w:t>
      </w:r>
      <w:r>
        <w:rPr>
          <w:spacing w:val="-5"/>
        </w:rPr>
        <w:t> </w:t>
      </w:r>
      <w:r>
        <w:rPr/>
        <w:t>viral</w:t>
      </w:r>
    </w:p>
    <w:p>
      <w:pPr>
        <w:pStyle w:val="BodyText"/>
        <w:spacing w:line="360" w:lineRule="auto" w:before="139"/>
        <w:ind w:left="102" w:right="106"/>
      </w:pPr>
      <w:r>
        <w:rPr/>
        <w:t>El</w:t>
      </w:r>
      <w:r>
        <w:rPr>
          <w:spacing w:val="-14"/>
        </w:rPr>
        <w:t> </w:t>
      </w:r>
      <w:r>
        <w:rPr/>
        <w:t>aislamiento</w:t>
      </w:r>
      <w:r>
        <w:rPr>
          <w:spacing w:val="-14"/>
        </w:rPr>
        <w:t> </w:t>
      </w:r>
      <w:r>
        <w:rPr/>
        <w:t>se</w:t>
      </w:r>
      <w:r>
        <w:rPr>
          <w:spacing w:val="-13"/>
        </w:rPr>
        <w:t> </w:t>
      </w:r>
      <w:r>
        <w:rPr/>
        <w:t>realiza</w:t>
      </w:r>
      <w:r>
        <w:rPr>
          <w:spacing w:val="-13"/>
        </w:rPr>
        <w:t> </w:t>
      </w:r>
      <w:r>
        <w:rPr/>
        <w:t>a</w:t>
      </w:r>
      <w:r>
        <w:rPr>
          <w:spacing w:val="-16"/>
        </w:rPr>
        <w:t> </w:t>
      </w:r>
      <w:r>
        <w:rPr/>
        <w:t>partir</w:t>
      </w:r>
      <w:r>
        <w:rPr>
          <w:spacing w:val="-15"/>
        </w:rPr>
        <w:t> </w:t>
      </w:r>
      <w:r>
        <w:rPr/>
        <w:t>de</w:t>
      </w:r>
      <w:r>
        <w:rPr>
          <w:spacing w:val="-16"/>
        </w:rPr>
        <w:t> </w:t>
      </w:r>
      <w:r>
        <w:rPr/>
        <w:t>tejidos,</w:t>
      </w:r>
      <w:r>
        <w:rPr>
          <w:spacing w:val="-13"/>
        </w:rPr>
        <w:t> </w:t>
      </w:r>
      <w:r>
        <w:rPr/>
        <w:t>sangre</w:t>
      </w:r>
      <w:r>
        <w:rPr>
          <w:spacing w:val="-14"/>
        </w:rPr>
        <w:t> </w:t>
      </w:r>
      <w:r>
        <w:rPr/>
        <w:t>o</w:t>
      </w:r>
      <w:r>
        <w:rPr>
          <w:spacing w:val="-13"/>
        </w:rPr>
        <w:t> </w:t>
      </w:r>
      <w:r>
        <w:rPr/>
        <w:t>LCR,</w:t>
      </w:r>
      <w:r>
        <w:rPr>
          <w:spacing w:val="-13"/>
        </w:rPr>
        <w:t> </w:t>
      </w:r>
      <w:r>
        <w:rPr/>
        <w:t>después</w:t>
      </w:r>
      <w:r>
        <w:rPr>
          <w:spacing w:val="-14"/>
        </w:rPr>
        <w:t> </w:t>
      </w:r>
      <w:r>
        <w:rPr/>
        <w:t>de</w:t>
      </w:r>
      <w:r>
        <w:rPr>
          <w:spacing w:val="-13"/>
        </w:rPr>
        <w:t> </w:t>
      </w:r>
      <w:r>
        <w:rPr/>
        <w:t>la</w:t>
      </w:r>
      <w:r>
        <w:rPr>
          <w:spacing w:val="-13"/>
        </w:rPr>
        <w:t> </w:t>
      </w:r>
      <w:r>
        <w:rPr/>
        <w:t>inoculación intracraneal en ratones lactantes, hámster ó en diferentes sistemas de cultivos en líneas celulares (fibroblastos de embrión de pollo, BHK 21, células VERO y líneas de mosquitos como la C6/36 de Aedes albopictus y la AP-61 de Aedes pseudoscutellaris). El virus también se puede aislar de tejido como encéfalo, médula</w:t>
      </w:r>
      <w:r>
        <w:rPr>
          <w:spacing w:val="-5"/>
        </w:rPr>
        <w:t> </w:t>
      </w:r>
      <w:r>
        <w:rPr/>
        <w:t>espinal,</w:t>
      </w:r>
      <w:r>
        <w:rPr>
          <w:spacing w:val="-8"/>
        </w:rPr>
        <w:t> </w:t>
      </w:r>
      <w:r>
        <w:rPr/>
        <w:t>hígado,</w:t>
      </w:r>
      <w:r>
        <w:rPr>
          <w:spacing w:val="-5"/>
        </w:rPr>
        <w:t> </w:t>
      </w:r>
      <w:r>
        <w:rPr/>
        <w:t>bazo,</w:t>
      </w:r>
      <w:r>
        <w:rPr>
          <w:spacing w:val="-5"/>
        </w:rPr>
        <w:t> </w:t>
      </w:r>
      <w:r>
        <w:rPr/>
        <w:t>páncreas</w:t>
      </w:r>
      <w:r>
        <w:rPr>
          <w:spacing w:val="-5"/>
        </w:rPr>
        <w:t> </w:t>
      </w:r>
      <w:r>
        <w:rPr/>
        <w:t>y</w:t>
      </w:r>
      <w:r>
        <w:rPr>
          <w:spacing w:val="-8"/>
        </w:rPr>
        <w:t> </w:t>
      </w:r>
      <w:r>
        <w:rPr/>
        <w:t>nódulos</w:t>
      </w:r>
      <w:r>
        <w:rPr>
          <w:spacing w:val="-5"/>
        </w:rPr>
        <w:t> </w:t>
      </w:r>
      <w:r>
        <w:rPr/>
        <w:t>linfáticos,</w:t>
      </w:r>
      <w:r>
        <w:rPr>
          <w:spacing w:val="-5"/>
        </w:rPr>
        <w:t> </w:t>
      </w:r>
      <w:r>
        <w:rPr/>
        <w:t>o</w:t>
      </w:r>
      <w:r>
        <w:rPr>
          <w:spacing w:val="-5"/>
        </w:rPr>
        <w:t> </w:t>
      </w:r>
      <w:r>
        <w:rPr/>
        <w:t>sangre</w:t>
      </w:r>
      <w:r>
        <w:rPr>
          <w:spacing w:val="-5"/>
        </w:rPr>
        <w:t> </w:t>
      </w:r>
      <w:r>
        <w:rPr/>
        <w:t>completa,</w:t>
      </w:r>
      <w:r>
        <w:rPr>
          <w:spacing w:val="-5"/>
        </w:rPr>
        <w:t> </w:t>
      </w:r>
      <w:r>
        <w:rPr/>
        <w:t>de animales muertos o agonizantes (con menor posibilidad de éxito en el</w:t>
      </w:r>
      <w:r>
        <w:rPr>
          <w:spacing w:val="22"/>
        </w:rPr>
        <w:t> </w:t>
      </w:r>
      <w:r>
        <w:rPr/>
        <w:t>aislamiento.</w:t>
      </w:r>
    </w:p>
    <w:p>
      <w:pPr>
        <w:spacing w:before="1"/>
        <w:ind w:left="102" w:right="0" w:firstLine="0"/>
        <w:jc w:val="both"/>
        <w:rPr>
          <w:sz w:val="16"/>
        </w:rPr>
      </w:pPr>
      <w:r>
        <w:rPr>
          <w:sz w:val="16"/>
        </w:rPr>
        <w:t>(55, 120, 131)</w:t>
      </w:r>
    </w:p>
    <w:p>
      <w:pPr>
        <w:spacing w:after="0"/>
        <w:jc w:val="both"/>
        <w:rPr>
          <w:sz w:val="16"/>
        </w:rPr>
        <w:sectPr>
          <w:footerReference w:type="default" r:id="rId45"/>
          <w:pgSz w:w="12240" w:h="15840"/>
          <w:pgMar w:footer="1116" w:header="0" w:top="1360" w:bottom="1300" w:left="1600" w:right="1580"/>
          <w:pgNumType w:start="42"/>
        </w:sectPr>
      </w:pPr>
    </w:p>
    <w:p>
      <w:pPr>
        <w:pStyle w:val="BodyText"/>
        <w:spacing w:line="360" w:lineRule="auto" w:before="54"/>
        <w:ind w:left="102" w:right="123"/>
        <w:jc w:val="both"/>
      </w:pPr>
      <w:r>
        <w:rPr/>
        <w:t>La tipificación e identificación viral se realiza mediante diversos procedimientos como la Inhibición de la Hemoaglutinación (HI) la FC, la captura de antígenos por ELISA.</w:t>
      </w:r>
    </w:p>
    <w:p>
      <w:pPr>
        <w:pStyle w:val="ListParagraph"/>
        <w:numPr>
          <w:ilvl w:val="0"/>
          <w:numId w:val="8"/>
        </w:numPr>
        <w:tabs>
          <w:tab w:pos="254" w:val="left" w:leader="none"/>
        </w:tabs>
        <w:spacing w:line="360" w:lineRule="auto" w:before="5" w:after="0"/>
        <w:ind w:left="102" w:right="999" w:firstLine="0"/>
        <w:jc w:val="left"/>
        <w:rPr>
          <w:sz w:val="24"/>
        </w:rPr>
      </w:pPr>
      <w:r>
        <w:rPr>
          <w:sz w:val="24"/>
        </w:rPr>
        <w:t>Neutralización en el sistema de reducción de placas, utilizando sueros de referencia</w:t>
      </w:r>
    </w:p>
    <w:p>
      <w:pPr>
        <w:pStyle w:val="ListParagraph"/>
        <w:numPr>
          <w:ilvl w:val="0"/>
          <w:numId w:val="8"/>
        </w:numPr>
        <w:tabs>
          <w:tab w:pos="254" w:val="left" w:leader="none"/>
        </w:tabs>
        <w:spacing w:line="240" w:lineRule="auto" w:before="5" w:after="0"/>
        <w:ind w:left="253" w:right="0" w:hanging="151"/>
        <w:jc w:val="left"/>
        <w:rPr>
          <w:sz w:val="24"/>
        </w:rPr>
      </w:pPr>
      <w:r>
        <w:rPr>
          <w:sz w:val="24"/>
        </w:rPr>
        <w:t>Inmunofluorescencia (IF) Directa con anticuerpos monoclonales</w:t>
      </w:r>
      <w:r>
        <w:rPr>
          <w:b/>
          <w:sz w:val="24"/>
        </w:rPr>
        <w:t>:</w:t>
      </w:r>
      <w:r>
        <w:rPr>
          <w:b/>
          <w:spacing w:val="-18"/>
          <w:sz w:val="24"/>
        </w:rPr>
        <w:t> </w:t>
      </w:r>
      <w:r>
        <w:rPr>
          <w:sz w:val="24"/>
        </w:rPr>
        <w:t>facilita</w:t>
      </w:r>
    </w:p>
    <w:p>
      <w:pPr>
        <w:pStyle w:val="BodyText"/>
        <w:spacing w:line="360" w:lineRule="auto" w:before="137"/>
        <w:ind w:left="102" w:right="106"/>
        <w:rPr>
          <w:sz w:val="16"/>
        </w:rPr>
      </w:pPr>
      <w:r>
        <w:rPr/>
        <w:t>la identificación viral en subtipos y variedades antigénicas, empleando anticuerpos específicos contra virus de varios serogrupos, virus sospechosos como agentes causales de la enfermedad y virus endémicos en el área de procedencia de la muestra. </w:t>
      </w:r>
      <w:r>
        <w:rPr>
          <w:position w:val="8"/>
          <w:sz w:val="16"/>
        </w:rPr>
        <w:t>(56, 61)</w:t>
      </w:r>
    </w:p>
    <w:p>
      <w:pPr>
        <w:pStyle w:val="ListParagraph"/>
        <w:numPr>
          <w:ilvl w:val="0"/>
          <w:numId w:val="8"/>
        </w:numPr>
        <w:tabs>
          <w:tab w:pos="254" w:val="left" w:leader="none"/>
        </w:tabs>
        <w:spacing w:line="360" w:lineRule="auto" w:before="0" w:after="0"/>
        <w:ind w:left="102" w:right="119" w:firstLine="0"/>
        <w:jc w:val="left"/>
        <w:rPr>
          <w:sz w:val="24"/>
        </w:rPr>
      </w:pPr>
      <w:r>
        <w:rPr>
          <w:sz w:val="24"/>
        </w:rPr>
        <w:t>Inmunofluorescencia Indirecta: prueba de diagnóstico rápido, que permite la identificación del antígeno en muestras de cerebro de ratones lactantes inoculados con diferentes cepas de EEV, EEE y en muestras de cerebro de équidos sospechosos</w:t>
      </w:r>
    </w:p>
    <w:p>
      <w:pPr>
        <w:pStyle w:val="ListParagraph"/>
        <w:numPr>
          <w:ilvl w:val="0"/>
          <w:numId w:val="8"/>
        </w:numPr>
        <w:tabs>
          <w:tab w:pos="254" w:val="left" w:leader="none"/>
        </w:tabs>
        <w:spacing w:line="357" w:lineRule="auto" w:before="2" w:after="0"/>
        <w:ind w:left="102" w:right="247" w:firstLine="0"/>
        <w:jc w:val="left"/>
        <w:rPr>
          <w:sz w:val="16"/>
        </w:rPr>
      </w:pPr>
      <w:r>
        <w:rPr>
          <w:sz w:val="24"/>
        </w:rPr>
        <w:t>Reacción en Cadena de la Polimerasa (PCR): para la caracterización genética de aislamientos, seguido de secuencia genética para caracterizar las variantes</w:t>
      </w:r>
      <w:r>
        <w:rPr>
          <w:spacing w:val="-26"/>
          <w:sz w:val="24"/>
        </w:rPr>
        <w:t> </w:t>
      </w:r>
      <w:r>
        <w:rPr>
          <w:sz w:val="24"/>
        </w:rPr>
        <w:t>de los aislamientos víricos </w:t>
      </w:r>
      <w:r>
        <w:rPr>
          <w:position w:val="8"/>
          <w:sz w:val="16"/>
        </w:rPr>
        <w:t>(56, 74,</w:t>
      </w:r>
      <w:r>
        <w:rPr>
          <w:spacing w:val="-10"/>
          <w:position w:val="8"/>
          <w:sz w:val="16"/>
        </w:rPr>
        <w:t> </w:t>
      </w:r>
      <w:r>
        <w:rPr>
          <w:position w:val="8"/>
          <w:sz w:val="16"/>
        </w:rPr>
        <w:t>135)</w:t>
      </w:r>
    </w:p>
    <w:p>
      <w:pPr>
        <w:pStyle w:val="ListParagraph"/>
        <w:numPr>
          <w:ilvl w:val="0"/>
          <w:numId w:val="8"/>
        </w:numPr>
        <w:tabs>
          <w:tab w:pos="254" w:val="left" w:leader="none"/>
        </w:tabs>
        <w:spacing w:line="360" w:lineRule="auto" w:before="4" w:after="0"/>
        <w:ind w:left="102" w:right="696" w:firstLine="0"/>
        <w:jc w:val="left"/>
        <w:rPr>
          <w:sz w:val="24"/>
        </w:rPr>
      </w:pPr>
      <w:r>
        <w:rPr>
          <w:sz w:val="24"/>
        </w:rPr>
        <w:t>Secuencia Genética: se emplea en la caracterización de las variantes de</w:t>
      </w:r>
      <w:r>
        <w:rPr>
          <w:spacing w:val="-25"/>
          <w:sz w:val="24"/>
        </w:rPr>
        <w:t> </w:t>
      </w:r>
      <w:r>
        <w:rPr>
          <w:sz w:val="24"/>
        </w:rPr>
        <w:t>los aislamientos</w:t>
      </w:r>
      <w:r>
        <w:rPr>
          <w:spacing w:val="-6"/>
          <w:sz w:val="24"/>
        </w:rPr>
        <w:t> </w:t>
      </w:r>
      <w:r>
        <w:rPr>
          <w:sz w:val="24"/>
        </w:rPr>
        <w:t>virales.</w:t>
      </w:r>
    </w:p>
    <w:p>
      <w:pPr>
        <w:pStyle w:val="BodyText"/>
      </w:pPr>
    </w:p>
    <w:p>
      <w:pPr>
        <w:pStyle w:val="Heading4"/>
        <w:spacing w:before="142"/>
        <w:ind w:right="106"/>
      </w:pPr>
      <w:r>
        <w:rPr/>
        <w:t>II.12. Prevención y control</w:t>
      </w:r>
    </w:p>
    <w:p>
      <w:pPr>
        <w:pStyle w:val="BodyText"/>
        <w:spacing w:line="360" w:lineRule="auto" w:before="139"/>
        <w:ind w:left="102" w:right="106"/>
        <w:rPr>
          <w:sz w:val="16"/>
        </w:rPr>
      </w:pPr>
      <w:r>
        <w:rPr/>
        <w:t>La OPS / OMS, recomienda planes de prevención y control de enfermedades de transmisión vectorial, basados en los siguientes aspectos: establecimiento de un programa integral de prevención y control que incluya: vigencia de una norma o base legal, planes de capacitación para el personal de salud, programa de divulgación y de educación sanitaria, control de calidad de vacunas, seguimiento y evaluación de las actividades de vacunación, atención oportuna </w:t>
      </w:r>
      <w:r>
        <w:rPr>
          <w:spacing w:val="4"/>
        </w:rPr>
        <w:t>de </w:t>
      </w:r>
      <w:r>
        <w:rPr/>
        <w:t>focos y su control, montaje y mantenimiento de un sistema de información y vigilancia epidemiológica con diagnóstico de laboratorio, control de la movilización de animales</w:t>
      </w:r>
      <w:r>
        <w:rPr>
          <w:spacing w:val="-19"/>
        </w:rPr>
        <w:t> </w:t>
      </w:r>
      <w:r>
        <w:rPr/>
        <w:t>domésticos</w:t>
      </w:r>
      <w:r>
        <w:rPr>
          <w:spacing w:val="-19"/>
        </w:rPr>
        <w:t> </w:t>
      </w:r>
      <w:r>
        <w:rPr/>
        <w:t>susceptibles,</w:t>
      </w:r>
      <w:r>
        <w:rPr>
          <w:spacing w:val="-16"/>
        </w:rPr>
        <w:t> </w:t>
      </w:r>
      <w:r>
        <w:rPr/>
        <w:t>coordinación</w:t>
      </w:r>
      <w:r>
        <w:rPr>
          <w:spacing w:val="-19"/>
        </w:rPr>
        <w:t> </w:t>
      </w:r>
      <w:r>
        <w:rPr/>
        <w:t>intersectorial,</w:t>
      </w:r>
      <w:r>
        <w:rPr>
          <w:spacing w:val="-19"/>
        </w:rPr>
        <w:t> </w:t>
      </w:r>
      <w:r>
        <w:rPr/>
        <w:t>investigación,</w:t>
      </w:r>
      <w:r>
        <w:rPr>
          <w:spacing w:val="-19"/>
        </w:rPr>
        <w:t> </w:t>
      </w:r>
      <w:r>
        <w:rPr/>
        <w:t>control de vectores, y participación comunitaria.</w:t>
      </w:r>
      <w:r>
        <w:rPr>
          <w:spacing w:val="-12"/>
        </w:rPr>
        <w:t> </w:t>
      </w:r>
      <w:r>
        <w:rPr>
          <w:position w:val="8"/>
          <w:sz w:val="16"/>
        </w:rPr>
        <w:t>(120)</w:t>
      </w:r>
    </w:p>
    <w:p>
      <w:pPr>
        <w:spacing w:after="0" w:line="360" w:lineRule="auto"/>
        <w:rPr>
          <w:sz w:val="16"/>
        </w:rPr>
        <w:sectPr>
          <w:pgSz w:w="12240" w:h="15840"/>
          <w:pgMar w:header="0" w:footer="1116" w:top="1360" w:bottom="1300" w:left="1600" w:right="1580"/>
        </w:sectPr>
      </w:pPr>
    </w:p>
    <w:p>
      <w:pPr>
        <w:pStyle w:val="BodyText"/>
        <w:rPr>
          <w:sz w:val="20"/>
        </w:rPr>
      </w:pPr>
    </w:p>
    <w:p>
      <w:pPr>
        <w:pStyle w:val="BodyText"/>
        <w:rPr>
          <w:sz w:val="20"/>
        </w:rPr>
      </w:pPr>
    </w:p>
    <w:p>
      <w:pPr>
        <w:pStyle w:val="BodyText"/>
        <w:spacing w:before="8"/>
      </w:pPr>
    </w:p>
    <w:p>
      <w:pPr>
        <w:pStyle w:val="BodyText"/>
        <w:ind w:left="101"/>
        <w:rPr>
          <w:sz w:val="20"/>
        </w:rPr>
      </w:pPr>
      <w:r>
        <w:rPr>
          <w:sz w:val="20"/>
        </w:rPr>
        <w:pict>
          <v:group style="width:352.8pt;height:355.7pt;mso-position-horizontal-relative:char;mso-position-vertical-relative:line" coordorigin="0,0" coordsize="7056,7114">
            <v:shape style="position:absolute;left:0;top:0;width:7056;height:7114" type="#_x0000_t75" stroked="false">
              <v:imagedata r:id="rId46" o:title=""/>
            </v:shape>
            <v:rect style="position:absolute;left:818;top:53;width:1034;height:226" filled="true" fillcolor="#ffffff" stroked="false">
              <v:fill type="solid"/>
            </v:rect>
            <v:rect style="position:absolute;left:818;top:53;width:1034;height:226" filled="false" stroked="true" strokeweight=".96pt" strokecolor="#ffffff"/>
          </v:group>
        </w:pict>
      </w:r>
      <w:r>
        <w:rPr>
          <w:sz w:val="20"/>
        </w:rPr>
      </w:r>
    </w:p>
    <w:p>
      <w:pPr>
        <w:spacing w:before="108"/>
        <w:ind w:left="102" w:right="106" w:firstLine="0"/>
        <w:jc w:val="left"/>
        <w:rPr>
          <w:sz w:val="22"/>
        </w:rPr>
      </w:pPr>
      <w:r>
        <w:rPr>
          <w:b/>
          <w:sz w:val="22"/>
        </w:rPr>
        <w:t>Tabla</w:t>
      </w:r>
      <w:r>
        <w:rPr>
          <w:b/>
          <w:spacing w:val="-16"/>
          <w:sz w:val="22"/>
        </w:rPr>
        <w:t> </w:t>
      </w:r>
      <w:r>
        <w:rPr>
          <w:b/>
          <w:sz w:val="22"/>
        </w:rPr>
        <w:t>3.</w:t>
      </w:r>
      <w:r>
        <w:rPr>
          <w:b/>
          <w:spacing w:val="-15"/>
          <w:sz w:val="22"/>
        </w:rPr>
        <w:t> </w:t>
      </w:r>
      <w:r>
        <w:rPr>
          <w:sz w:val="22"/>
        </w:rPr>
        <w:t>Categorías</w:t>
      </w:r>
      <w:r>
        <w:rPr>
          <w:spacing w:val="-16"/>
          <w:sz w:val="22"/>
        </w:rPr>
        <w:t> </w:t>
      </w:r>
      <w:r>
        <w:rPr>
          <w:sz w:val="22"/>
        </w:rPr>
        <w:t>de</w:t>
      </w:r>
      <w:r>
        <w:rPr>
          <w:spacing w:val="-16"/>
          <w:sz w:val="22"/>
        </w:rPr>
        <w:t> </w:t>
      </w:r>
      <w:r>
        <w:rPr>
          <w:sz w:val="22"/>
        </w:rPr>
        <w:t>riesgo</w:t>
      </w:r>
      <w:r>
        <w:rPr>
          <w:spacing w:val="-16"/>
          <w:sz w:val="22"/>
        </w:rPr>
        <w:t> </w:t>
      </w:r>
      <w:r>
        <w:rPr>
          <w:sz w:val="22"/>
        </w:rPr>
        <w:t>para</w:t>
      </w:r>
      <w:r>
        <w:rPr>
          <w:spacing w:val="-16"/>
          <w:sz w:val="22"/>
        </w:rPr>
        <w:t> </w:t>
      </w:r>
      <w:r>
        <w:rPr>
          <w:sz w:val="22"/>
        </w:rPr>
        <w:t>los</w:t>
      </w:r>
      <w:r>
        <w:rPr>
          <w:spacing w:val="-16"/>
          <w:sz w:val="22"/>
        </w:rPr>
        <w:t> </w:t>
      </w:r>
      <w:r>
        <w:rPr>
          <w:sz w:val="22"/>
        </w:rPr>
        <w:t>brotes</w:t>
      </w:r>
      <w:r>
        <w:rPr>
          <w:spacing w:val="-16"/>
          <w:sz w:val="22"/>
        </w:rPr>
        <w:t> </w:t>
      </w:r>
      <w:r>
        <w:rPr>
          <w:sz w:val="22"/>
        </w:rPr>
        <w:t>de</w:t>
      </w:r>
      <w:r>
        <w:rPr>
          <w:spacing w:val="-16"/>
          <w:sz w:val="22"/>
        </w:rPr>
        <w:t> </w:t>
      </w:r>
      <w:r>
        <w:rPr>
          <w:sz w:val="22"/>
        </w:rPr>
        <w:t>EEV,</w:t>
      </w:r>
      <w:r>
        <w:rPr>
          <w:spacing w:val="-15"/>
          <w:sz w:val="22"/>
        </w:rPr>
        <w:t> </w:t>
      </w:r>
      <w:r>
        <w:rPr>
          <w:sz w:val="22"/>
        </w:rPr>
        <w:t>definición</w:t>
      </w:r>
      <w:r>
        <w:rPr>
          <w:spacing w:val="30"/>
          <w:sz w:val="22"/>
        </w:rPr>
        <w:t> </w:t>
      </w:r>
      <w:r>
        <w:rPr>
          <w:sz w:val="22"/>
        </w:rPr>
        <w:t>y</w:t>
      </w:r>
      <w:r>
        <w:rPr>
          <w:spacing w:val="-18"/>
          <w:sz w:val="22"/>
        </w:rPr>
        <w:t> </w:t>
      </w:r>
      <w:r>
        <w:rPr>
          <w:sz w:val="22"/>
        </w:rPr>
        <w:t>respuesta</w:t>
      </w:r>
      <w:r>
        <w:rPr>
          <w:spacing w:val="-16"/>
          <w:sz w:val="22"/>
        </w:rPr>
        <w:t> </w:t>
      </w:r>
      <w:r>
        <w:rPr>
          <w:sz w:val="22"/>
        </w:rPr>
        <w:t>recomendada.</w:t>
      </w:r>
    </w:p>
    <w:p>
      <w:pPr>
        <w:pStyle w:val="BodyText"/>
        <w:rPr>
          <w:sz w:val="22"/>
        </w:rPr>
      </w:pPr>
    </w:p>
    <w:p>
      <w:pPr>
        <w:pStyle w:val="BodyText"/>
        <w:spacing w:before="3"/>
        <w:rPr>
          <w:sz w:val="25"/>
        </w:rPr>
      </w:pPr>
    </w:p>
    <w:p>
      <w:pPr>
        <w:pStyle w:val="Heading4"/>
        <w:spacing w:before="1"/>
        <w:ind w:right="106"/>
      </w:pPr>
      <w:r>
        <w:rPr/>
        <w:t>II.12.1</w:t>
      </w:r>
      <w:r>
        <w:rPr>
          <w:spacing w:val="64"/>
        </w:rPr>
        <w:t> </w:t>
      </w:r>
      <w:r>
        <w:rPr/>
        <w:t>Inmunización</w:t>
      </w:r>
    </w:p>
    <w:p>
      <w:pPr>
        <w:pStyle w:val="BodyText"/>
        <w:spacing w:line="360" w:lineRule="auto" w:before="137"/>
        <w:ind w:left="102" w:right="106"/>
        <w:rPr>
          <w:sz w:val="16"/>
        </w:rPr>
      </w:pPr>
      <w:r>
        <w:rPr/>
        <w:t>Para efectuar un adecuado control de las epizootias, se deben tomar medidas específicas, las cuales se acompañan de una infraestructura de vigilancia y control de los biológicos utilizados y planes continuos de inmunización a toda la población de</w:t>
      </w:r>
      <w:r>
        <w:rPr>
          <w:spacing w:val="-15"/>
        </w:rPr>
        <w:t> </w:t>
      </w:r>
      <w:r>
        <w:rPr/>
        <w:t>équidos</w:t>
      </w:r>
      <w:r>
        <w:rPr>
          <w:spacing w:val="-16"/>
        </w:rPr>
        <w:t> </w:t>
      </w:r>
      <w:r>
        <w:rPr/>
        <w:t>susceptibles;</w:t>
      </w:r>
      <w:r>
        <w:rPr>
          <w:spacing w:val="-13"/>
        </w:rPr>
        <w:t> </w:t>
      </w:r>
      <w:r>
        <w:rPr/>
        <w:t>esta</w:t>
      </w:r>
      <w:r>
        <w:rPr>
          <w:spacing w:val="-16"/>
        </w:rPr>
        <w:t> </w:t>
      </w:r>
      <w:r>
        <w:rPr/>
        <w:t>es</w:t>
      </w:r>
      <w:r>
        <w:rPr>
          <w:spacing w:val="-14"/>
        </w:rPr>
        <w:t> </w:t>
      </w:r>
      <w:r>
        <w:rPr/>
        <w:t>la</w:t>
      </w:r>
      <w:r>
        <w:rPr>
          <w:spacing w:val="-18"/>
        </w:rPr>
        <w:t> </w:t>
      </w:r>
      <w:r>
        <w:rPr/>
        <w:t>mejor</w:t>
      </w:r>
      <w:r>
        <w:rPr>
          <w:spacing w:val="-17"/>
        </w:rPr>
        <w:t> </w:t>
      </w:r>
      <w:r>
        <w:rPr/>
        <w:t>estrategia</w:t>
      </w:r>
      <w:r>
        <w:rPr>
          <w:spacing w:val="-13"/>
        </w:rPr>
        <w:t> </w:t>
      </w:r>
      <w:r>
        <w:rPr/>
        <w:t>de</w:t>
      </w:r>
      <w:r>
        <w:rPr>
          <w:spacing w:val="-16"/>
        </w:rPr>
        <w:t> </w:t>
      </w:r>
      <w:r>
        <w:rPr/>
        <w:t>prevención</w:t>
      </w:r>
      <w:r>
        <w:rPr>
          <w:spacing w:val="-10"/>
        </w:rPr>
        <w:t> </w:t>
      </w:r>
      <w:r>
        <w:rPr/>
        <w:t>y</w:t>
      </w:r>
      <w:r>
        <w:rPr>
          <w:spacing w:val="-16"/>
        </w:rPr>
        <w:t> </w:t>
      </w:r>
      <w:r>
        <w:rPr/>
        <w:t>control</w:t>
      </w:r>
      <w:r>
        <w:rPr>
          <w:spacing w:val="-17"/>
        </w:rPr>
        <w:t> </w:t>
      </w:r>
      <w:r>
        <w:rPr/>
        <w:t>de</w:t>
      </w:r>
      <w:r>
        <w:rPr>
          <w:spacing w:val="-15"/>
        </w:rPr>
        <w:t> </w:t>
      </w:r>
      <w:r>
        <w:rPr/>
        <w:t>EEV, se dirige prioritariamente hacia las áreas de circulación endémica, que por sus características</w:t>
      </w:r>
      <w:r>
        <w:rPr>
          <w:spacing w:val="-9"/>
        </w:rPr>
        <w:t> </w:t>
      </w:r>
      <w:r>
        <w:rPr/>
        <w:t>ecológicas</w:t>
      </w:r>
      <w:r>
        <w:rPr>
          <w:spacing w:val="-9"/>
        </w:rPr>
        <w:t> </w:t>
      </w:r>
      <w:r>
        <w:rPr/>
        <w:t>son</w:t>
      </w:r>
      <w:r>
        <w:rPr>
          <w:spacing w:val="-8"/>
        </w:rPr>
        <w:t> </w:t>
      </w:r>
      <w:r>
        <w:rPr/>
        <w:t>las</w:t>
      </w:r>
      <w:r>
        <w:rPr>
          <w:spacing w:val="-11"/>
        </w:rPr>
        <w:t> </w:t>
      </w:r>
      <w:r>
        <w:rPr/>
        <w:t>de</w:t>
      </w:r>
      <w:r>
        <w:rPr>
          <w:spacing w:val="-11"/>
        </w:rPr>
        <w:t> </w:t>
      </w:r>
      <w:r>
        <w:rPr/>
        <w:t>mayor</w:t>
      </w:r>
      <w:r>
        <w:rPr>
          <w:spacing w:val="-10"/>
        </w:rPr>
        <w:t> </w:t>
      </w:r>
      <w:r>
        <w:rPr/>
        <w:t>riesgo</w:t>
      </w:r>
      <w:r>
        <w:rPr>
          <w:spacing w:val="-8"/>
        </w:rPr>
        <w:t> </w:t>
      </w:r>
      <w:r>
        <w:rPr/>
        <w:t>para</w:t>
      </w:r>
      <w:r>
        <w:rPr>
          <w:spacing w:val="-9"/>
        </w:rPr>
        <w:t> </w:t>
      </w:r>
      <w:r>
        <w:rPr/>
        <w:t>el</w:t>
      </w:r>
      <w:r>
        <w:rPr>
          <w:spacing w:val="-10"/>
        </w:rPr>
        <w:t> </w:t>
      </w:r>
      <w:r>
        <w:rPr/>
        <w:t>desarrollo</w:t>
      </w:r>
      <w:r>
        <w:rPr>
          <w:spacing w:val="-11"/>
        </w:rPr>
        <w:t> </w:t>
      </w:r>
      <w:r>
        <w:rPr/>
        <w:t>y</w:t>
      </w:r>
      <w:r>
        <w:rPr>
          <w:spacing w:val="-12"/>
        </w:rPr>
        <w:t> </w:t>
      </w:r>
      <w:r>
        <w:rPr/>
        <w:t>presentación de</w:t>
      </w:r>
      <w:r>
        <w:rPr>
          <w:spacing w:val="-10"/>
        </w:rPr>
        <w:t> </w:t>
      </w:r>
      <w:r>
        <w:rPr/>
        <w:t>brotes</w:t>
      </w:r>
      <w:r>
        <w:rPr>
          <w:spacing w:val="-13"/>
        </w:rPr>
        <w:t> </w:t>
      </w:r>
      <w:r>
        <w:rPr/>
        <w:t>.La</w:t>
      </w:r>
      <w:r>
        <w:rPr>
          <w:spacing w:val="-12"/>
        </w:rPr>
        <w:t> </w:t>
      </w:r>
      <w:r>
        <w:rPr/>
        <w:t>intervención</w:t>
      </w:r>
      <w:r>
        <w:rPr>
          <w:spacing w:val="-10"/>
        </w:rPr>
        <w:t> </w:t>
      </w:r>
      <w:r>
        <w:rPr/>
        <w:t>inmediata</w:t>
      </w:r>
      <w:r>
        <w:rPr>
          <w:spacing w:val="-11"/>
        </w:rPr>
        <w:t> </w:t>
      </w:r>
      <w:r>
        <w:rPr/>
        <w:t>es</w:t>
      </w:r>
      <w:r>
        <w:rPr>
          <w:spacing w:val="-13"/>
        </w:rPr>
        <w:t> </w:t>
      </w:r>
      <w:r>
        <w:rPr/>
        <w:t>necesaria</w:t>
      </w:r>
      <w:r>
        <w:rPr>
          <w:spacing w:val="-10"/>
        </w:rPr>
        <w:t> </w:t>
      </w:r>
      <w:r>
        <w:rPr/>
        <w:t>para</w:t>
      </w:r>
      <w:r>
        <w:rPr>
          <w:spacing w:val="-12"/>
        </w:rPr>
        <w:t> </w:t>
      </w:r>
      <w:r>
        <w:rPr/>
        <w:t>prevenir</w:t>
      </w:r>
      <w:r>
        <w:rPr>
          <w:spacing w:val="-11"/>
        </w:rPr>
        <w:t> </w:t>
      </w:r>
      <w:r>
        <w:rPr/>
        <w:t>posibles</w:t>
      </w:r>
      <w:r>
        <w:rPr>
          <w:spacing w:val="-10"/>
        </w:rPr>
        <w:t> </w:t>
      </w:r>
      <w:r>
        <w:rPr/>
        <w:t>problemas sanitarios </w:t>
      </w:r>
      <w:r>
        <w:rPr>
          <w:position w:val="8"/>
          <w:sz w:val="16"/>
        </w:rPr>
        <w:t>(</w:t>
      </w:r>
      <w:r>
        <w:rPr>
          <w:spacing w:val="-3"/>
          <w:position w:val="8"/>
          <w:sz w:val="16"/>
        </w:rPr>
        <w:t> </w:t>
      </w:r>
      <w:r>
        <w:rPr>
          <w:position w:val="8"/>
          <w:sz w:val="16"/>
        </w:rPr>
        <w:t>131)</w:t>
      </w:r>
    </w:p>
    <w:p>
      <w:pPr>
        <w:spacing w:after="0" w:line="360" w:lineRule="auto"/>
        <w:rPr>
          <w:sz w:val="16"/>
        </w:rPr>
        <w:sectPr>
          <w:pgSz w:w="12240" w:h="15840"/>
          <w:pgMar w:header="0" w:footer="1116" w:top="1500" w:bottom="1300" w:left="1600" w:right="1580"/>
        </w:sectPr>
      </w:pPr>
    </w:p>
    <w:p>
      <w:pPr>
        <w:pStyle w:val="BodyText"/>
        <w:spacing w:line="360" w:lineRule="auto" w:before="54"/>
        <w:ind w:left="102" w:right="117"/>
        <w:jc w:val="both"/>
      </w:pPr>
      <w:r>
        <w:rPr/>
        <w:t>En muchas áreas del continente se ha utilizado la vacuna TC-83, cepa viva atenuada para combatir la enfermedad durante las epizootias y como medida preventiva en zonas no epizoóticas, pero con alto riesgo de infección.</w:t>
      </w:r>
    </w:p>
    <w:p>
      <w:pPr>
        <w:pStyle w:val="BodyText"/>
        <w:spacing w:line="360" w:lineRule="auto" w:before="5"/>
        <w:ind w:left="102" w:right="117"/>
        <w:jc w:val="both"/>
      </w:pPr>
      <w:r>
        <w:rPr/>
        <w:t>La vacuna TC-83 ha generado una adecuada protección en el 90% en los équidos. La vacuna confiere inmunidad a los 3 o 4 días post-inoculación y los anticuerpos pueden perdurar por dos a tres años, con lo cual se mitiga o controla la principal fuente de virus para los mosquitos y se previenen futuras epizoodemias con las pérdidas económicas que éstas conllevan.</w:t>
      </w:r>
    </w:p>
    <w:p>
      <w:pPr>
        <w:pStyle w:val="BodyText"/>
      </w:pPr>
    </w:p>
    <w:p>
      <w:pPr>
        <w:pStyle w:val="BodyText"/>
        <w:spacing w:line="360" w:lineRule="auto" w:before="142"/>
        <w:ind w:left="102" w:right="113"/>
        <w:jc w:val="both"/>
        <w:rPr>
          <w:sz w:val="16"/>
        </w:rPr>
      </w:pPr>
      <w:r>
        <w:rPr/>
        <w:t>En 1971 en Texas, durante una epizoodemia declarada, la vacunación con virus vivo atenuado TC-83, detuvo el avance de la enfermedad que comenzó en 1969, hacia otras regiones de Estados Unidos. En América Latina el uso de vacunas monovalentes para équidos, elaboradas en embrión de pollo con cepas virulentas de EEV y con inactivantes de primer orden, ha implicado riesgo, ya que con frecuencia contienen virus vivo residual, éste se puede multiplicar en los équidos y originar brotes de EEV. Se cree que varios de dichos brotes, se han originado por el uso de estas vacunas “inactivadas” con formol y que el salto desde el Ecuador a América Central en la epizoodemia de 1969 pudo tener este origen. </w:t>
      </w:r>
      <w:r>
        <w:rPr>
          <w:position w:val="8"/>
          <w:sz w:val="16"/>
        </w:rPr>
        <w:t>(17, 136)</w:t>
      </w:r>
    </w:p>
    <w:p>
      <w:pPr>
        <w:pStyle w:val="BodyText"/>
        <w:spacing w:line="360" w:lineRule="auto"/>
        <w:ind w:left="102" w:right="106"/>
        <w:rPr>
          <w:sz w:val="16"/>
        </w:rPr>
      </w:pPr>
      <w:r>
        <w:rPr/>
        <w:t>La detección de focos animales en México con la variante IE (cepa enzoótica) vacunados</w:t>
      </w:r>
      <w:r>
        <w:rPr>
          <w:spacing w:val="-9"/>
        </w:rPr>
        <w:t> </w:t>
      </w:r>
      <w:r>
        <w:rPr/>
        <w:t>con</w:t>
      </w:r>
      <w:r>
        <w:rPr>
          <w:spacing w:val="-9"/>
        </w:rPr>
        <w:t> </w:t>
      </w:r>
      <w:r>
        <w:rPr/>
        <w:t>TC-83,</w:t>
      </w:r>
      <w:r>
        <w:rPr>
          <w:spacing w:val="-8"/>
        </w:rPr>
        <w:t> </w:t>
      </w:r>
      <w:r>
        <w:rPr/>
        <w:t>además</w:t>
      </w:r>
      <w:r>
        <w:rPr>
          <w:spacing w:val="-8"/>
        </w:rPr>
        <w:t> </w:t>
      </w:r>
      <w:r>
        <w:rPr/>
        <w:t>del</w:t>
      </w:r>
      <w:r>
        <w:rPr>
          <w:spacing w:val="-8"/>
        </w:rPr>
        <w:t> </w:t>
      </w:r>
      <w:r>
        <w:rPr/>
        <w:t>aisalmiento</w:t>
      </w:r>
      <w:r>
        <w:rPr>
          <w:spacing w:val="-7"/>
        </w:rPr>
        <w:t> </w:t>
      </w:r>
      <w:r>
        <w:rPr/>
        <w:t>de</w:t>
      </w:r>
      <w:r>
        <w:rPr>
          <w:spacing w:val="-8"/>
        </w:rPr>
        <w:t> </w:t>
      </w:r>
      <w:r>
        <w:rPr/>
        <w:t>la</w:t>
      </w:r>
      <w:r>
        <w:rPr>
          <w:spacing w:val="-7"/>
        </w:rPr>
        <w:t> </w:t>
      </w:r>
      <w:r>
        <w:rPr/>
        <w:t>cepa</w:t>
      </w:r>
      <w:r>
        <w:rPr>
          <w:spacing w:val="-8"/>
        </w:rPr>
        <w:t> </w:t>
      </w:r>
      <w:r>
        <w:rPr/>
        <w:t>vacunal</w:t>
      </w:r>
      <w:r>
        <w:rPr>
          <w:spacing w:val="-10"/>
        </w:rPr>
        <w:t> </w:t>
      </w:r>
      <w:r>
        <w:rPr/>
        <w:t>de</w:t>
      </w:r>
      <w:r>
        <w:rPr>
          <w:spacing w:val="-7"/>
        </w:rPr>
        <w:t> </w:t>
      </w:r>
      <w:r>
        <w:rPr/>
        <w:t>mosquitos</w:t>
      </w:r>
      <w:r>
        <w:rPr>
          <w:spacing w:val="-9"/>
        </w:rPr>
        <w:t> </w:t>
      </w:r>
      <w:r>
        <w:rPr/>
        <w:t>en el</w:t>
      </w:r>
      <w:r>
        <w:rPr>
          <w:spacing w:val="-14"/>
        </w:rPr>
        <w:t> </w:t>
      </w:r>
      <w:r>
        <w:rPr/>
        <w:t>estado</w:t>
      </w:r>
      <w:r>
        <w:rPr>
          <w:spacing w:val="-13"/>
        </w:rPr>
        <w:t> </w:t>
      </w:r>
      <w:r>
        <w:rPr/>
        <w:t>de</w:t>
      </w:r>
      <w:r>
        <w:rPr>
          <w:spacing w:val="-13"/>
        </w:rPr>
        <w:t> </w:t>
      </w:r>
      <w:r>
        <w:rPr/>
        <w:t>Louisiana,</w:t>
      </w:r>
      <w:r>
        <w:rPr>
          <w:spacing w:val="-16"/>
        </w:rPr>
        <w:t> </w:t>
      </w:r>
      <w:r>
        <w:rPr/>
        <w:t>Estados</w:t>
      </w:r>
      <w:r>
        <w:rPr>
          <w:spacing w:val="-14"/>
        </w:rPr>
        <w:t> </w:t>
      </w:r>
      <w:r>
        <w:rPr/>
        <w:t>Unidos,</w:t>
      </w:r>
      <w:r>
        <w:rPr>
          <w:spacing w:val="-9"/>
        </w:rPr>
        <w:t> </w:t>
      </w:r>
      <w:r>
        <w:rPr/>
        <w:t>pone</w:t>
      </w:r>
      <w:r>
        <w:rPr>
          <w:spacing w:val="-16"/>
        </w:rPr>
        <w:t> </w:t>
      </w:r>
      <w:r>
        <w:rPr/>
        <w:t>en</w:t>
      </w:r>
      <w:r>
        <w:rPr>
          <w:spacing w:val="-13"/>
        </w:rPr>
        <w:t> </w:t>
      </w:r>
      <w:r>
        <w:rPr/>
        <w:t>duda</w:t>
      </w:r>
      <w:r>
        <w:rPr>
          <w:spacing w:val="-13"/>
        </w:rPr>
        <w:t> </w:t>
      </w:r>
      <w:r>
        <w:rPr/>
        <w:t>la</w:t>
      </w:r>
      <w:r>
        <w:rPr>
          <w:spacing w:val="-13"/>
        </w:rPr>
        <w:t> </w:t>
      </w:r>
      <w:r>
        <w:rPr/>
        <w:t>efectividad</w:t>
      </w:r>
      <w:r>
        <w:rPr>
          <w:spacing w:val="-13"/>
        </w:rPr>
        <w:t> </w:t>
      </w:r>
      <w:r>
        <w:rPr/>
        <w:t>de</w:t>
      </w:r>
      <w:r>
        <w:rPr>
          <w:spacing w:val="-13"/>
        </w:rPr>
        <w:t> </w:t>
      </w:r>
      <w:r>
        <w:rPr/>
        <w:t>esta</w:t>
      </w:r>
      <w:r>
        <w:rPr>
          <w:spacing w:val="-13"/>
        </w:rPr>
        <w:t> </w:t>
      </w:r>
      <w:r>
        <w:rPr/>
        <w:t>vacuna frente a esta cepa. </w:t>
      </w:r>
      <w:r>
        <w:rPr>
          <w:position w:val="8"/>
          <w:sz w:val="16"/>
        </w:rPr>
        <w:t>(17, 131,</w:t>
      </w:r>
      <w:r>
        <w:rPr>
          <w:spacing w:val="-10"/>
          <w:position w:val="8"/>
          <w:sz w:val="16"/>
        </w:rPr>
        <w:t> </w:t>
      </w:r>
      <w:r>
        <w:rPr>
          <w:position w:val="8"/>
          <w:sz w:val="16"/>
        </w:rPr>
        <w:t>137)</w:t>
      </w:r>
    </w:p>
    <w:p>
      <w:pPr>
        <w:pStyle w:val="BodyText"/>
        <w:spacing w:line="360" w:lineRule="auto"/>
        <w:ind w:left="102" w:right="116"/>
        <w:jc w:val="both"/>
        <w:rPr>
          <w:sz w:val="16"/>
        </w:rPr>
      </w:pPr>
      <w:r>
        <w:rPr/>
        <w:t>Debido a que la infección con este virus es frecuente en los trabajadores de laboratorio,USAMRIID (U.S. Army Medical Research Institute of Infectious Diseases) preparó una vacuna con virus vivo atenuado como un producto experimental, para ser aplicado únicamente a personas altamente expuestas al virus</w:t>
      </w:r>
      <w:r>
        <w:rPr>
          <w:spacing w:val="-4"/>
        </w:rPr>
        <w:t> </w:t>
      </w:r>
      <w:r>
        <w:rPr/>
        <w:t>por</w:t>
      </w:r>
      <w:r>
        <w:rPr>
          <w:spacing w:val="-5"/>
        </w:rPr>
        <w:t> </w:t>
      </w:r>
      <w:r>
        <w:rPr/>
        <w:t>razones</w:t>
      </w:r>
      <w:r>
        <w:rPr>
          <w:spacing w:val="-4"/>
        </w:rPr>
        <w:t> </w:t>
      </w:r>
      <w:r>
        <w:rPr/>
        <w:t>de</w:t>
      </w:r>
      <w:r>
        <w:rPr>
          <w:spacing w:val="-4"/>
        </w:rPr>
        <w:t> </w:t>
      </w:r>
      <w:r>
        <w:rPr/>
        <w:t>trabajo</w:t>
      </w:r>
      <w:r>
        <w:rPr>
          <w:spacing w:val="-4"/>
        </w:rPr>
        <w:t> </w:t>
      </w:r>
      <w:r>
        <w:rPr/>
        <w:t>y</w:t>
      </w:r>
      <w:r>
        <w:rPr>
          <w:spacing w:val="-7"/>
        </w:rPr>
        <w:t> </w:t>
      </w:r>
      <w:r>
        <w:rPr/>
        <w:t>de</w:t>
      </w:r>
      <w:r>
        <w:rPr>
          <w:spacing w:val="-6"/>
        </w:rPr>
        <w:t> </w:t>
      </w:r>
      <w:r>
        <w:rPr/>
        <w:t>forma</w:t>
      </w:r>
      <w:r>
        <w:rPr>
          <w:spacing w:val="-4"/>
        </w:rPr>
        <w:t> </w:t>
      </w:r>
      <w:r>
        <w:rPr/>
        <w:t>voluntaria;</w:t>
      </w:r>
      <w:r>
        <w:rPr>
          <w:spacing w:val="-4"/>
        </w:rPr>
        <w:t> </w:t>
      </w:r>
      <w:r>
        <w:rPr/>
        <w:t>en</w:t>
      </w:r>
      <w:r>
        <w:rPr>
          <w:spacing w:val="-4"/>
        </w:rPr>
        <w:t> </w:t>
      </w:r>
      <w:r>
        <w:rPr/>
        <w:t>los</w:t>
      </w:r>
      <w:r>
        <w:rPr>
          <w:spacing w:val="-4"/>
        </w:rPr>
        <w:t> </w:t>
      </w:r>
      <w:r>
        <w:rPr/>
        <w:t>vacunados</w:t>
      </w:r>
      <w:r>
        <w:rPr>
          <w:spacing w:val="-4"/>
        </w:rPr>
        <w:t> </w:t>
      </w:r>
      <w:r>
        <w:rPr/>
        <w:t>se</w:t>
      </w:r>
      <w:r>
        <w:rPr>
          <w:spacing w:val="-4"/>
        </w:rPr>
        <w:t> </w:t>
      </w:r>
      <w:r>
        <w:rPr/>
        <w:t>desarrollan anticuerpos en dos semanas, el 5% de los individuos vacunados presenta fallas en el desarrollo de inmunidad, el 25% de las personas vacunadas está en riesgo de sufrir reacciones postvacunales severas.</w:t>
      </w:r>
      <w:r>
        <w:rPr>
          <w:spacing w:val="-35"/>
        </w:rPr>
        <w:t> </w:t>
      </w:r>
      <w:r>
        <w:rPr>
          <w:position w:val="8"/>
          <w:sz w:val="16"/>
        </w:rPr>
        <w:t>(61)</w:t>
      </w:r>
    </w:p>
    <w:p>
      <w:pPr>
        <w:spacing w:after="0" w:line="360" w:lineRule="auto"/>
        <w:jc w:val="both"/>
        <w:rPr>
          <w:sz w:val="16"/>
        </w:rPr>
        <w:sectPr>
          <w:pgSz w:w="12240" w:h="15840"/>
          <w:pgMar w:header="0" w:footer="1116" w:top="1360" w:bottom="1320" w:left="1600" w:right="1580"/>
        </w:sectPr>
      </w:pPr>
    </w:p>
    <w:p>
      <w:pPr>
        <w:pStyle w:val="BodyText"/>
        <w:spacing w:before="7"/>
        <w:rPr>
          <w:sz w:val="22"/>
        </w:rPr>
      </w:pPr>
    </w:p>
    <w:p>
      <w:pPr>
        <w:pStyle w:val="Heading4"/>
        <w:numPr>
          <w:ilvl w:val="0"/>
          <w:numId w:val="10"/>
        </w:numPr>
        <w:tabs>
          <w:tab w:pos="3769" w:val="left" w:leader="none"/>
        </w:tabs>
        <w:spacing w:line="240" w:lineRule="auto" w:before="69" w:after="0"/>
        <w:ind w:left="3768" w:right="0" w:hanging="335"/>
        <w:jc w:val="left"/>
      </w:pPr>
      <w:r>
        <w:rPr/>
        <w:t>JUSTIFICACIÓN</w:t>
      </w:r>
    </w:p>
    <w:p>
      <w:pPr>
        <w:pStyle w:val="BodyText"/>
        <w:rPr>
          <w:b/>
        </w:rPr>
      </w:pPr>
    </w:p>
    <w:p>
      <w:pPr>
        <w:pStyle w:val="BodyText"/>
        <w:rPr>
          <w:b/>
        </w:rPr>
      </w:pPr>
    </w:p>
    <w:p>
      <w:pPr>
        <w:pStyle w:val="BodyText"/>
        <w:spacing w:line="360" w:lineRule="auto"/>
        <w:ind w:left="102" w:right="127"/>
        <w:jc w:val="both"/>
      </w:pPr>
      <w:r>
        <w:rPr/>
        <w:t>La Encefalitis Equina Venezolana en una enfermedad emergente potencialmente fatal en equinos y humanos en México y el resto de América.</w:t>
      </w:r>
    </w:p>
    <w:p>
      <w:pPr>
        <w:pStyle w:val="BodyText"/>
        <w:spacing w:line="360" w:lineRule="auto" w:before="5"/>
        <w:ind w:left="102" w:right="116"/>
        <w:jc w:val="both"/>
      </w:pPr>
      <w:r>
        <w:rPr/>
        <w:t>Los</w:t>
      </w:r>
      <w:r>
        <w:rPr>
          <w:spacing w:val="-9"/>
        </w:rPr>
        <w:t> </w:t>
      </w:r>
      <w:r>
        <w:rPr/>
        <w:t>brotes</w:t>
      </w:r>
      <w:r>
        <w:rPr>
          <w:spacing w:val="-9"/>
        </w:rPr>
        <w:t> </w:t>
      </w:r>
      <w:r>
        <w:rPr/>
        <w:t>de</w:t>
      </w:r>
      <w:r>
        <w:rPr>
          <w:spacing w:val="-8"/>
        </w:rPr>
        <w:t> </w:t>
      </w:r>
      <w:r>
        <w:rPr/>
        <w:t>EEV</w:t>
      </w:r>
      <w:r>
        <w:rPr>
          <w:spacing w:val="-8"/>
        </w:rPr>
        <w:t> </w:t>
      </w:r>
      <w:r>
        <w:rPr/>
        <w:t>en</w:t>
      </w:r>
      <w:r>
        <w:rPr>
          <w:spacing w:val="-8"/>
        </w:rPr>
        <w:t> </w:t>
      </w:r>
      <w:r>
        <w:rPr/>
        <w:t>Chiapas</w:t>
      </w:r>
      <w:r>
        <w:rPr>
          <w:spacing w:val="-9"/>
        </w:rPr>
        <w:t> </w:t>
      </w:r>
      <w:r>
        <w:rPr/>
        <w:t>y</w:t>
      </w:r>
      <w:r>
        <w:rPr>
          <w:spacing w:val="-9"/>
        </w:rPr>
        <w:t> </w:t>
      </w:r>
      <w:r>
        <w:rPr/>
        <w:t>Oaxaca</w:t>
      </w:r>
      <w:r>
        <w:rPr>
          <w:spacing w:val="-8"/>
        </w:rPr>
        <w:t> </w:t>
      </w:r>
      <w:r>
        <w:rPr/>
        <w:t>en</w:t>
      </w:r>
      <w:r>
        <w:rPr>
          <w:spacing w:val="-8"/>
        </w:rPr>
        <w:t> </w:t>
      </w:r>
      <w:r>
        <w:rPr/>
        <w:t>la</w:t>
      </w:r>
      <w:r>
        <w:rPr>
          <w:spacing w:val="-6"/>
        </w:rPr>
        <w:t> </w:t>
      </w:r>
      <w:r>
        <w:rPr/>
        <w:t>década</w:t>
      </w:r>
      <w:r>
        <w:rPr>
          <w:spacing w:val="-8"/>
        </w:rPr>
        <w:t> </w:t>
      </w:r>
      <w:r>
        <w:rPr/>
        <w:t>de</w:t>
      </w:r>
      <w:r>
        <w:rPr>
          <w:spacing w:val="-8"/>
        </w:rPr>
        <w:t> </w:t>
      </w:r>
      <w:r>
        <w:rPr/>
        <w:t>1990,</w:t>
      </w:r>
      <w:r>
        <w:rPr>
          <w:spacing w:val="-9"/>
        </w:rPr>
        <w:t> </w:t>
      </w:r>
      <w:r>
        <w:rPr/>
        <w:t>fueron</w:t>
      </w:r>
      <w:r>
        <w:rPr>
          <w:spacing w:val="-6"/>
        </w:rPr>
        <w:t> </w:t>
      </w:r>
      <w:r>
        <w:rPr/>
        <w:t>los</w:t>
      </w:r>
      <w:r>
        <w:rPr>
          <w:spacing w:val="-9"/>
        </w:rPr>
        <w:t> </w:t>
      </w:r>
      <w:r>
        <w:rPr/>
        <w:t>primeros casos de epizootias de encefalitis equinas en las que se logró aislar una cepa enzoótica, el subtipo IE generalmente no estaba asociado con enfermedad en los equinos </w:t>
      </w:r>
      <w:r>
        <w:rPr>
          <w:position w:val="8"/>
          <w:sz w:val="16"/>
        </w:rPr>
        <w:t>(141) </w:t>
      </w:r>
      <w:r>
        <w:rPr/>
        <w:t>, se tenía documentado que el equino no participaba como hospedero amplificador en los ciclos enzoóticos </w:t>
      </w:r>
      <w:r>
        <w:rPr>
          <w:position w:val="8"/>
          <w:sz w:val="16"/>
        </w:rPr>
        <w:t>(53) </w:t>
      </w:r>
      <w:r>
        <w:rPr/>
        <w:t>; el hecho que tres de estos aislamientos se obtuvieron de los cerebros de caballos que habían muerto de encefalitis (CPA201,OAX131,</w:t>
      </w:r>
      <w:r>
        <w:rPr>
          <w:spacing w:val="-4"/>
        </w:rPr>
        <w:t> </w:t>
      </w:r>
      <w:r>
        <w:rPr/>
        <w:t>OAX142)</w:t>
      </w:r>
      <w:r>
        <w:rPr>
          <w:spacing w:val="-2"/>
        </w:rPr>
        <w:t> </w:t>
      </w:r>
      <w:r>
        <w:rPr/>
        <w:t>,</w:t>
      </w:r>
      <w:r>
        <w:rPr>
          <w:spacing w:val="-4"/>
        </w:rPr>
        <w:t> </w:t>
      </w:r>
      <w:r>
        <w:rPr/>
        <w:t>y</w:t>
      </w:r>
      <w:r>
        <w:rPr>
          <w:spacing w:val="-7"/>
        </w:rPr>
        <w:t> </w:t>
      </w:r>
      <w:r>
        <w:rPr/>
        <w:t>el</w:t>
      </w:r>
      <w:r>
        <w:rPr>
          <w:spacing w:val="-5"/>
        </w:rPr>
        <w:t> </w:t>
      </w:r>
      <w:r>
        <w:rPr/>
        <w:t>otro</w:t>
      </w:r>
      <w:r>
        <w:rPr>
          <w:spacing w:val="-6"/>
        </w:rPr>
        <w:t> </w:t>
      </w:r>
      <w:r>
        <w:rPr/>
        <w:t>fue</w:t>
      </w:r>
      <w:r>
        <w:rPr>
          <w:spacing w:val="-6"/>
        </w:rPr>
        <w:t> </w:t>
      </w:r>
      <w:r>
        <w:rPr/>
        <w:t>obtenido</w:t>
      </w:r>
      <w:r>
        <w:rPr>
          <w:spacing w:val="-2"/>
        </w:rPr>
        <w:t> </w:t>
      </w:r>
      <w:r>
        <w:rPr/>
        <w:t>a</w:t>
      </w:r>
      <w:r>
        <w:rPr>
          <w:spacing w:val="-6"/>
        </w:rPr>
        <w:t> </w:t>
      </w:r>
      <w:r>
        <w:rPr/>
        <w:t>partir</w:t>
      </w:r>
      <w:r>
        <w:rPr>
          <w:spacing w:val="-5"/>
        </w:rPr>
        <w:t> </w:t>
      </w:r>
      <w:r>
        <w:rPr/>
        <w:t>del</w:t>
      </w:r>
      <w:r>
        <w:rPr>
          <w:spacing w:val="-7"/>
        </w:rPr>
        <w:t> </w:t>
      </w:r>
      <w:r>
        <w:rPr/>
        <w:t>suero</w:t>
      </w:r>
      <w:r>
        <w:rPr>
          <w:spacing w:val="-4"/>
        </w:rPr>
        <w:t> </w:t>
      </w:r>
      <w:r>
        <w:rPr/>
        <w:t>de</w:t>
      </w:r>
      <w:r>
        <w:rPr>
          <w:spacing w:val="-6"/>
        </w:rPr>
        <w:t> </w:t>
      </w:r>
      <w:r>
        <w:rPr/>
        <w:t>un</w:t>
      </w:r>
      <w:r>
        <w:rPr>
          <w:spacing w:val="-6"/>
        </w:rPr>
        <w:t> </w:t>
      </w:r>
      <w:r>
        <w:rPr/>
        <w:t>caballo enfermo con viremia (I-290-93), sugiere que esta cepa del VEEV subtipo IE posee al</w:t>
      </w:r>
      <w:r>
        <w:rPr>
          <w:spacing w:val="-6"/>
        </w:rPr>
        <w:t> </w:t>
      </w:r>
      <w:r>
        <w:rPr/>
        <w:t>menos</w:t>
      </w:r>
      <w:r>
        <w:rPr>
          <w:spacing w:val="-8"/>
        </w:rPr>
        <w:t> </w:t>
      </w:r>
      <w:r>
        <w:rPr/>
        <w:t>algunas</w:t>
      </w:r>
      <w:r>
        <w:rPr>
          <w:spacing w:val="-8"/>
        </w:rPr>
        <w:t> </w:t>
      </w:r>
      <w:r>
        <w:rPr/>
        <w:t>de</w:t>
      </w:r>
      <w:r>
        <w:rPr>
          <w:spacing w:val="-7"/>
        </w:rPr>
        <w:t> </w:t>
      </w:r>
      <w:r>
        <w:rPr/>
        <w:t>las</w:t>
      </w:r>
      <w:r>
        <w:rPr>
          <w:spacing w:val="-5"/>
        </w:rPr>
        <w:t> </w:t>
      </w:r>
      <w:r>
        <w:rPr/>
        <w:t>características</w:t>
      </w:r>
      <w:r>
        <w:rPr>
          <w:spacing w:val="-8"/>
        </w:rPr>
        <w:t> </w:t>
      </w:r>
      <w:r>
        <w:rPr/>
        <w:t>fenotípicas</w:t>
      </w:r>
      <w:r>
        <w:rPr>
          <w:spacing w:val="-7"/>
        </w:rPr>
        <w:t> </w:t>
      </w:r>
      <w:r>
        <w:rPr/>
        <w:t>normalmente</w:t>
      </w:r>
      <w:r>
        <w:rPr>
          <w:spacing w:val="-6"/>
        </w:rPr>
        <w:t> </w:t>
      </w:r>
      <w:r>
        <w:rPr/>
        <w:t>asociadas</w:t>
      </w:r>
      <w:r>
        <w:rPr>
          <w:spacing w:val="-8"/>
        </w:rPr>
        <w:t> </w:t>
      </w:r>
      <w:r>
        <w:rPr/>
        <w:t>con</w:t>
      </w:r>
      <w:r>
        <w:rPr>
          <w:spacing w:val="-5"/>
        </w:rPr>
        <w:t> </w:t>
      </w:r>
      <w:r>
        <w:rPr/>
        <w:t>las cepas epizoóticas IAB y</w:t>
      </w:r>
      <w:r>
        <w:rPr>
          <w:spacing w:val="-13"/>
        </w:rPr>
        <w:t> </w:t>
      </w:r>
      <w:r>
        <w:rPr/>
        <w:t>IC.</w:t>
      </w:r>
    </w:p>
    <w:p>
      <w:pPr>
        <w:pStyle w:val="BodyText"/>
        <w:spacing w:line="360" w:lineRule="auto" w:before="163"/>
        <w:ind w:left="102" w:right="126"/>
        <w:jc w:val="both"/>
      </w:pPr>
      <w:r>
        <w:rPr/>
        <w:t>A pesar de los recientes esfuerzos por entender la ecología del VEEV en la costa del Pacifico Mexicano, poco se ha hecho en la costa del Golfo de México desde la década de 1960.</w:t>
      </w:r>
    </w:p>
    <w:p>
      <w:pPr>
        <w:pStyle w:val="BodyText"/>
        <w:spacing w:line="360" w:lineRule="auto" w:before="5"/>
        <w:ind w:left="102" w:right="123"/>
        <w:jc w:val="both"/>
        <w:rPr>
          <w:sz w:val="16"/>
        </w:rPr>
      </w:pPr>
      <w:r>
        <w:rPr/>
        <w:t>Estudios experimentales han evaluado la caracterización clínica y patológica en diferentes modelos animales utilizando las cepas del VEEV subtipo IE aisladas en los brotes de la costa del Pacifico Mexicano sin embargo existe poca información acerca</w:t>
      </w:r>
      <w:r>
        <w:rPr>
          <w:spacing w:val="-4"/>
        </w:rPr>
        <w:t> </w:t>
      </w:r>
      <w:r>
        <w:rPr/>
        <w:t>de</w:t>
      </w:r>
      <w:r>
        <w:rPr>
          <w:spacing w:val="-4"/>
        </w:rPr>
        <w:t> </w:t>
      </w:r>
      <w:r>
        <w:rPr/>
        <w:t>la</w:t>
      </w:r>
      <w:r>
        <w:rPr>
          <w:spacing w:val="-6"/>
        </w:rPr>
        <w:t> </w:t>
      </w:r>
      <w:r>
        <w:rPr/>
        <w:t>descripción</w:t>
      </w:r>
      <w:r>
        <w:rPr>
          <w:spacing w:val="-4"/>
        </w:rPr>
        <w:t> </w:t>
      </w:r>
      <w:r>
        <w:rPr/>
        <w:t>clínica</w:t>
      </w:r>
      <w:r>
        <w:rPr>
          <w:spacing w:val="-4"/>
        </w:rPr>
        <w:t> </w:t>
      </w:r>
      <w:r>
        <w:rPr/>
        <w:t>y</w:t>
      </w:r>
      <w:r>
        <w:rPr>
          <w:spacing w:val="-7"/>
        </w:rPr>
        <w:t> </w:t>
      </w:r>
      <w:r>
        <w:rPr/>
        <w:t>patológica</w:t>
      </w:r>
      <w:r>
        <w:rPr>
          <w:spacing w:val="-4"/>
        </w:rPr>
        <w:t> </w:t>
      </w:r>
      <w:r>
        <w:rPr/>
        <w:t>detallada</w:t>
      </w:r>
      <w:r>
        <w:rPr>
          <w:spacing w:val="-4"/>
        </w:rPr>
        <w:t> </w:t>
      </w:r>
      <w:r>
        <w:rPr/>
        <w:t>de</w:t>
      </w:r>
      <w:r>
        <w:rPr>
          <w:spacing w:val="-4"/>
        </w:rPr>
        <w:t> </w:t>
      </w:r>
      <w:r>
        <w:rPr/>
        <w:t>la</w:t>
      </w:r>
      <w:r>
        <w:rPr>
          <w:spacing w:val="-4"/>
        </w:rPr>
        <w:t> </w:t>
      </w:r>
      <w:r>
        <w:rPr/>
        <w:t>cepa</w:t>
      </w:r>
      <w:r>
        <w:rPr>
          <w:spacing w:val="-6"/>
        </w:rPr>
        <w:t> </w:t>
      </w:r>
      <w:r>
        <w:rPr/>
        <w:t>IE</w:t>
      </w:r>
      <w:r>
        <w:rPr>
          <w:spacing w:val="-6"/>
        </w:rPr>
        <w:t> </w:t>
      </w:r>
      <w:r>
        <w:rPr/>
        <w:t>circulante</w:t>
      </w:r>
      <w:r>
        <w:rPr>
          <w:spacing w:val="-6"/>
        </w:rPr>
        <w:t> </w:t>
      </w:r>
      <w:r>
        <w:rPr/>
        <w:t>en</w:t>
      </w:r>
      <w:r>
        <w:rPr>
          <w:spacing w:val="-6"/>
        </w:rPr>
        <w:t> </w:t>
      </w:r>
      <w:r>
        <w:rPr/>
        <w:t>la región costera del Golfo de México. </w:t>
      </w:r>
      <w:r>
        <w:rPr>
          <w:position w:val="8"/>
          <w:sz w:val="16"/>
        </w:rPr>
        <w:t>(53, 105,121</w:t>
      </w:r>
      <w:r>
        <w:rPr>
          <w:spacing w:val="-12"/>
          <w:position w:val="8"/>
          <w:sz w:val="16"/>
        </w:rPr>
        <w:t> </w:t>
      </w:r>
      <w:r>
        <w:rPr>
          <w:position w:val="8"/>
          <w:sz w:val="16"/>
        </w:rPr>
        <w:t>141)</w:t>
      </w:r>
    </w:p>
    <w:p>
      <w:pPr>
        <w:pStyle w:val="BodyText"/>
        <w:rPr>
          <w:sz w:val="36"/>
        </w:rPr>
      </w:pPr>
    </w:p>
    <w:p>
      <w:pPr>
        <w:pStyle w:val="BodyText"/>
        <w:spacing w:line="360" w:lineRule="auto"/>
        <w:ind w:left="102" w:right="116"/>
        <w:jc w:val="both"/>
      </w:pPr>
      <w:r>
        <w:rPr/>
        <w:t>Es importante describir la patología y curso clínico de la EEV subtipo IE circulante en el Golfo de México, considerada como avirulenta y no está asociada con enfermedad en los equinos, porque no se sabe con certeza si los equinos pueden participar como amplificadores del virus en brotes enzoóticos</w:t>
      </w:r>
    </w:p>
    <w:p>
      <w:pPr>
        <w:spacing w:after="0" w:line="360" w:lineRule="auto"/>
        <w:jc w:val="both"/>
        <w:sectPr>
          <w:pgSz w:w="12240" w:h="15840"/>
          <w:pgMar w:header="0" w:footer="1116" w:top="1500" w:bottom="1300" w:left="1600" w:right="1580"/>
        </w:sectPr>
      </w:pPr>
    </w:p>
    <w:p>
      <w:pPr>
        <w:pStyle w:val="Heading4"/>
        <w:numPr>
          <w:ilvl w:val="0"/>
          <w:numId w:val="10"/>
        </w:numPr>
        <w:tabs>
          <w:tab w:pos="4063" w:val="left" w:leader="none"/>
        </w:tabs>
        <w:spacing w:line="240" w:lineRule="auto" w:before="54" w:after="0"/>
        <w:ind w:left="4062" w:right="0" w:hanging="362"/>
        <w:jc w:val="left"/>
      </w:pPr>
      <w:r>
        <w:rPr/>
        <w:t>HIPÓTESIS</w:t>
      </w:r>
    </w:p>
    <w:p>
      <w:pPr>
        <w:pStyle w:val="BodyText"/>
        <w:rPr>
          <w:b/>
        </w:rPr>
      </w:pPr>
    </w:p>
    <w:p>
      <w:pPr>
        <w:pStyle w:val="BodyText"/>
        <w:rPr>
          <w:b/>
        </w:rPr>
      </w:pPr>
    </w:p>
    <w:p>
      <w:pPr>
        <w:pStyle w:val="BodyText"/>
        <w:rPr>
          <w:b/>
        </w:rPr>
      </w:pPr>
    </w:p>
    <w:p>
      <w:pPr>
        <w:pStyle w:val="BodyText"/>
        <w:spacing w:line="360" w:lineRule="auto" w:before="139"/>
        <w:ind w:left="102" w:right="86"/>
      </w:pPr>
      <w:r>
        <w:rPr/>
        <w:t>La cepa enzoótica IE del virus de la Encefalitis Equina Venezolana circulante en la región del Golfo de México, produce cambios clínicos y patológicos en los equinos.</w:t>
      </w:r>
    </w:p>
    <w:p>
      <w:pPr>
        <w:spacing w:after="0" w:line="360" w:lineRule="auto"/>
        <w:sectPr>
          <w:pgSz w:w="12240" w:h="15840"/>
          <w:pgMar w:header="0" w:footer="1116" w:top="1360" w:bottom="1300" w:left="1600" w:right="1600"/>
        </w:sectPr>
      </w:pPr>
    </w:p>
    <w:p>
      <w:pPr>
        <w:pStyle w:val="Heading4"/>
        <w:numPr>
          <w:ilvl w:val="0"/>
          <w:numId w:val="10"/>
        </w:numPr>
        <w:tabs>
          <w:tab w:pos="3981" w:val="left" w:leader="none"/>
        </w:tabs>
        <w:spacing w:line="240" w:lineRule="auto" w:before="54" w:after="0"/>
        <w:ind w:left="3980" w:right="0" w:hanging="295"/>
        <w:jc w:val="left"/>
      </w:pPr>
      <w:r>
        <w:rPr/>
        <w:t>OBJETIVOS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39"/>
        <w:ind w:left="102" w:right="155" w:firstLine="0"/>
        <w:jc w:val="left"/>
        <w:rPr>
          <w:b/>
          <w:sz w:val="24"/>
        </w:rPr>
      </w:pPr>
      <w:r>
        <w:rPr>
          <w:b/>
          <w:sz w:val="24"/>
        </w:rPr>
        <w:t>V.1 General</w:t>
      </w:r>
    </w:p>
    <w:p>
      <w:pPr>
        <w:pStyle w:val="BodyText"/>
        <w:spacing w:line="360" w:lineRule="auto" w:before="137"/>
        <w:ind w:left="102"/>
      </w:pPr>
      <w:r>
        <w:rPr/>
        <w:t>Describir las características clínicas y patológicas de la Encefalitis Equina Venezolana</w:t>
      </w:r>
      <w:r>
        <w:rPr>
          <w:spacing w:val="-8"/>
        </w:rPr>
        <w:t> </w:t>
      </w:r>
      <w:r>
        <w:rPr/>
        <w:t>subtipo</w:t>
      </w:r>
      <w:r>
        <w:rPr>
          <w:spacing w:val="-8"/>
        </w:rPr>
        <w:t> </w:t>
      </w:r>
      <w:r>
        <w:rPr/>
        <w:t>IE,</w:t>
      </w:r>
      <w:r>
        <w:rPr>
          <w:spacing w:val="-11"/>
        </w:rPr>
        <w:t> </w:t>
      </w:r>
      <w:r>
        <w:rPr/>
        <w:t>circulante</w:t>
      </w:r>
      <w:r>
        <w:rPr>
          <w:spacing w:val="-10"/>
        </w:rPr>
        <w:t> </w:t>
      </w:r>
      <w:r>
        <w:rPr/>
        <w:t>en</w:t>
      </w:r>
      <w:r>
        <w:rPr>
          <w:spacing w:val="-11"/>
        </w:rPr>
        <w:t> </w:t>
      </w:r>
      <w:r>
        <w:rPr/>
        <w:t>la</w:t>
      </w:r>
      <w:r>
        <w:rPr>
          <w:spacing w:val="-9"/>
        </w:rPr>
        <w:t> </w:t>
      </w:r>
      <w:r>
        <w:rPr/>
        <w:t>región</w:t>
      </w:r>
      <w:r>
        <w:rPr>
          <w:spacing w:val="-10"/>
        </w:rPr>
        <w:t> </w:t>
      </w:r>
      <w:r>
        <w:rPr/>
        <w:t>sur</w:t>
      </w:r>
      <w:r>
        <w:rPr>
          <w:spacing w:val="-10"/>
        </w:rPr>
        <w:t> </w:t>
      </w:r>
      <w:r>
        <w:rPr/>
        <w:t>de</w:t>
      </w:r>
      <w:r>
        <w:rPr>
          <w:spacing w:val="-11"/>
        </w:rPr>
        <w:t> </w:t>
      </w:r>
      <w:r>
        <w:rPr/>
        <w:t>Veracruz</w:t>
      </w:r>
      <w:r>
        <w:rPr>
          <w:spacing w:val="-11"/>
        </w:rPr>
        <w:t> </w:t>
      </w:r>
      <w:r>
        <w:rPr/>
        <w:t>en</w:t>
      </w:r>
      <w:r>
        <w:rPr>
          <w:spacing w:val="-11"/>
        </w:rPr>
        <w:t> </w:t>
      </w:r>
      <w:r>
        <w:rPr/>
        <w:t>modelos</w:t>
      </w:r>
      <w:r>
        <w:rPr>
          <w:spacing w:val="-11"/>
        </w:rPr>
        <w:t> </w:t>
      </w:r>
      <w:r>
        <w:rPr/>
        <w:t>equinos.</w:t>
      </w:r>
    </w:p>
    <w:p>
      <w:pPr>
        <w:pStyle w:val="Heading4"/>
        <w:numPr>
          <w:ilvl w:val="0"/>
          <w:numId w:val="12"/>
        </w:numPr>
        <w:tabs>
          <w:tab w:pos="397" w:val="left" w:leader="none"/>
        </w:tabs>
        <w:spacing w:line="240" w:lineRule="auto" w:before="2" w:after="0"/>
        <w:ind w:left="396" w:right="0" w:hanging="294"/>
        <w:jc w:val="left"/>
      </w:pPr>
      <w:r>
        <w:rPr/>
        <w:t>2.Específicos</w:t>
      </w:r>
    </w:p>
    <w:p>
      <w:pPr>
        <w:pStyle w:val="BodyText"/>
        <w:spacing w:before="140"/>
        <w:ind w:left="102" w:right="155"/>
      </w:pPr>
      <w:r>
        <w:rPr/>
        <w:t>-Registrar signos clínicos y valores hematológicos.</w:t>
      </w:r>
    </w:p>
    <w:p>
      <w:pPr>
        <w:pStyle w:val="BodyText"/>
        <w:spacing w:before="137"/>
        <w:ind w:left="102" w:right="155"/>
      </w:pPr>
      <w:r>
        <w:rPr/>
        <w:t>-Detectar la presencia de anticuerpos neutralizantes contra EEV</w:t>
      </w:r>
    </w:p>
    <w:p>
      <w:pPr>
        <w:pStyle w:val="BodyText"/>
        <w:spacing w:line="360" w:lineRule="auto" w:before="139"/>
        <w:ind w:left="102" w:right="155"/>
      </w:pPr>
      <w:r>
        <w:rPr/>
        <w:t>-Detectar mediante histopatología las lesiones causadas por el VEEV en tejidos equinos.</w:t>
      </w:r>
    </w:p>
    <w:p>
      <w:pPr>
        <w:pStyle w:val="BodyText"/>
        <w:spacing w:before="5"/>
        <w:ind w:left="102" w:right="155"/>
      </w:pPr>
      <w:r>
        <w:rPr/>
        <w:t>-Llevar a cabo el aislamiento viral de suero y tejidos equinos.</w:t>
      </w:r>
    </w:p>
    <w:p>
      <w:pPr>
        <w:spacing w:after="0"/>
        <w:sectPr>
          <w:pgSz w:w="12240" w:h="15840"/>
          <w:pgMar w:header="0" w:footer="1116" w:top="1360" w:bottom="1300" w:left="1600" w:right="1600"/>
        </w:sectPr>
      </w:pPr>
    </w:p>
    <w:p>
      <w:pPr>
        <w:pStyle w:val="Heading4"/>
        <w:numPr>
          <w:ilvl w:val="0"/>
          <w:numId w:val="12"/>
        </w:numPr>
        <w:tabs>
          <w:tab w:pos="3169" w:val="left" w:leader="none"/>
        </w:tabs>
        <w:spacing w:line="240" w:lineRule="auto" w:before="54" w:after="0"/>
        <w:ind w:left="3168" w:right="0" w:hanging="361"/>
        <w:jc w:val="left"/>
      </w:pPr>
      <w:r>
        <w:rPr/>
        <w:t>MATERIALES Y</w:t>
      </w:r>
      <w:r>
        <w:rPr>
          <w:spacing w:val="-7"/>
        </w:rPr>
        <w:t> </w:t>
      </w:r>
      <w:r>
        <w:rPr/>
        <w:t>MÉTODOS</w:t>
      </w:r>
    </w:p>
    <w:p>
      <w:pPr>
        <w:pStyle w:val="BodyText"/>
        <w:rPr>
          <w:b/>
        </w:rPr>
      </w:pPr>
    </w:p>
    <w:p>
      <w:pPr>
        <w:pStyle w:val="BodyText"/>
        <w:rPr>
          <w:b/>
        </w:rPr>
      </w:pPr>
    </w:p>
    <w:p>
      <w:pPr>
        <w:pStyle w:val="BodyText"/>
        <w:rPr>
          <w:b/>
        </w:rPr>
      </w:pPr>
    </w:p>
    <w:p>
      <w:pPr>
        <w:spacing w:before="139"/>
        <w:ind w:left="102" w:right="0" w:firstLine="0"/>
        <w:jc w:val="both"/>
        <w:rPr>
          <w:b/>
          <w:sz w:val="24"/>
        </w:rPr>
      </w:pPr>
      <w:r>
        <w:rPr>
          <w:b/>
          <w:sz w:val="24"/>
        </w:rPr>
        <w:t>VI. 1. Selección y descripción del área de estudio</w:t>
      </w:r>
    </w:p>
    <w:p>
      <w:pPr>
        <w:pStyle w:val="BodyText"/>
        <w:rPr>
          <w:b/>
        </w:rPr>
      </w:pPr>
    </w:p>
    <w:p>
      <w:pPr>
        <w:pStyle w:val="BodyText"/>
        <w:rPr>
          <w:b/>
        </w:rPr>
      </w:pPr>
    </w:p>
    <w:p>
      <w:pPr>
        <w:pStyle w:val="BodyText"/>
        <w:spacing w:line="360" w:lineRule="auto"/>
        <w:ind w:left="102" w:right="118"/>
        <w:jc w:val="both"/>
      </w:pPr>
      <w:r>
        <w:rPr/>
        <w:t>Estudios recientes (138, Estrada- Franco, J.G.,Unpublished data, 2009.) han demostrado la circulación constante del VEEV mediante serología en una gran variedad de vertebrados, incluyendo equinos, bóvidos, caninos, roedores y humanos,</w:t>
      </w:r>
      <w:r>
        <w:rPr>
          <w:spacing w:val="-10"/>
        </w:rPr>
        <w:t> </w:t>
      </w:r>
      <w:r>
        <w:rPr/>
        <w:t>mayormente</w:t>
      </w:r>
      <w:r>
        <w:rPr>
          <w:spacing w:val="-10"/>
        </w:rPr>
        <w:t> </w:t>
      </w:r>
      <w:r>
        <w:rPr/>
        <w:t>en</w:t>
      </w:r>
      <w:r>
        <w:rPr>
          <w:spacing w:val="-9"/>
        </w:rPr>
        <w:t> </w:t>
      </w:r>
      <w:r>
        <w:rPr/>
        <w:t>la</w:t>
      </w:r>
      <w:r>
        <w:rPr>
          <w:spacing w:val="-10"/>
        </w:rPr>
        <w:t> </w:t>
      </w:r>
      <w:r>
        <w:rPr/>
        <w:t>localidad</w:t>
      </w:r>
      <w:r>
        <w:rPr>
          <w:spacing w:val="-11"/>
        </w:rPr>
        <w:t> </w:t>
      </w:r>
      <w:r>
        <w:rPr/>
        <w:t>de</w:t>
      </w:r>
      <w:r>
        <w:rPr>
          <w:spacing w:val="-5"/>
        </w:rPr>
        <w:t> </w:t>
      </w:r>
      <w:r>
        <w:rPr/>
        <w:t>Minatitlán,</w:t>
      </w:r>
      <w:r>
        <w:rPr>
          <w:spacing w:val="-11"/>
        </w:rPr>
        <w:t> </w:t>
      </w:r>
      <w:r>
        <w:rPr/>
        <w:t>Ejido</w:t>
      </w:r>
      <w:r>
        <w:rPr>
          <w:spacing w:val="-11"/>
        </w:rPr>
        <w:t> </w:t>
      </w:r>
      <w:r>
        <w:rPr/>
        <w:t>Tacoteno;</w:t>
      </w:r>
      <w:r>
        <w:rPr>
          <w:spacing w:val="-11"/>
        </w:rPr>
        <w:t> </w:t>
      </w:r>
      <w:r>
        <w:rPr/>
        <w:t>en</w:t>
      </w:r>
      <w:r>
        <w:rPr>
          <w:spacing w:val="-9"/>
        </w:rPr>
        <w:t> </w:t>
      </w:r>
      <w:r>
        <w:rPr/>
        <w:t>esta</w:t>
      </w:r>
      <w:r>
        <w:rPr>
          <w:spacing w:val="-9"/>
        </w:rPr>
        <w:t> </w:t>
      </w:r>
      <w:r>
        <w:rPr/>
        <w:t>misma región en el periodo de 2008-2010 se aisló y secuencio el VEEV subtipo IE de hámsters centinelas, equinos y mosquitos. Estos datos corroboran la evidencia de que el VEEV subtipo IE es enzoótico en esta</w:t>
      </w:r>
      <w:r>
        <w:rPr>
          <w:spacing w:val="-18"/>
        </w:rPr>
        <w:t> </w:t>
      </w:r>
      <w:r>
        <w:rPr/>
        <w:t>localidad.</w:t>
      </w:r>
    </w:p>
    <w:p>
      <w:pPr>
        <w:pStyle w:val="BodyText"/>
        <w:spacing w:line="360" w:lineRule="auto" w:before="2"/>
        <w:ind w:left="102" w:right="115"/>
        <w:jc w:val="both"/>
      </w:pPr>
      <w:r>
        <w:rPr/>
        <w:t>El municipio de Minatitlán se encuentra ubicado en el sur del Estado de Veracruz , es un área metropolitana con al menos 160,000 habitantes que es parte de un corredor industrial relacionado con la industria petrolera.</w:t>
      </w:r>
    </w:p>
    <w:p>
      <w:pPr>
        <w:pStyle w:val="BodyText"/>
        <w:spacing w:line="360" w:lineRule="auto" w:before="163"/>
        <w:ind w:left="102" w:right="124"/>
        <w:jc w:val="both"/>
      </w:pPr>
      <w:r>
        <w:rPr/>
        <w:t>Se encuentra a una altura de 20 metros sobre el nivel del mar. Limita al Norte con Coatzacoalcos, al Noreste con Ixhuatlán del Sureste, al Este con Moloacán, al Sur con el Estado de Oaxaca, al Suroeste con Hidalgotitlán y al Noroeste con Cosoleacaque.</w:t>
      </w:r>
    </w:p>
    <w:p>
      <w:pPr>
        <w:spacing w:after="0" w:line="360" w:lineRule="auto"/>
        <w:jc w:val="both"/>
        <w:sectPr>
          <w:pgSz w:w="12240" w:h="15840"/>
          <w:pgMar w:header="0" w:footer="1116" w:top="1360" w:bottom="1320" w:left="1600" w:right="1580"/>
        </w:sectPr>
      </w:pPr>
    </w:p>
    <w:p>
      <w:pPr>
        <w:pStyle w:val="BodyText"/>
        <w:rPr>
          <w:sz w:val="20"/>
        </w:rPr>
      </w:pPr>
    </w:p>
    <w:p>
      <w:pPr>
        <w:pStyle w:val="BodyText"/>
        <w:rPr>
          <w:sz w:val="28"/>
        </w:rPr>
      </w:pPr>
    </w:p>
    <w:p>
      <w:pPr>
        <w:tabs>
          <w:tab w:pos="6534" w:val="left" w:leader="none"/>
        </w:tabs>
        <w:spacing w:line="240" w:lineRule="auto"/>
        <w:ind w:left="114" w:right="0" w:firstLine="0"/>
        <w:rPr>
          <w:sz w:val="20"/>
        </w:rPr>
      </w:pPr>
      <w:r>
        <w:rPr>
          <w:sz w:val="20"/>
        </w:rPr>
        <w:drawing>
          <wp:inline distT="0" distB="0" distL="0" distR="0">
            <wp:extent cx="3906838" cy="3600450"/>
            <wp:effectExtent l="0" t="0" r="0" b="0"/>
            <wp:docPr id="27" name="image17.jpeg" descr=""/>
            <wp:cNvGraphicFramePr>
              <a:graphicFrameLocks noChangeAspect="1"/>
            </wp:cNvGraphicFramePr>
            <a:graphic>
              <a:graphicData uri="http://schemas.openxmlformats.org/drawingml/2006/picture">
                <pic:pic>
                  <pic:nvPicPr>
                    <pic:cNvPr id="28" name="image17.jpeg"/>
                    <pic:cNvPicPr/>
                  </pic:nvPicPr>
                  <pic:blipFill>
                    <a:blip r:embed="rId48" cstate="print"/>
                    <a:stretch>
                      <a:fillRect/>
                    </a:stretch>
                  </pic:blipFill>
                  <pic:spPr>
                    <a:xfrm>
                      <a:off x="0" y="0"/>
                      <a:ext cx="3906838" cy="3600450"/>
                    </a:xfrm>
                    <a:prstGeom prst="rect">
                      <a:avLst/>
                    </a:prstGeom>
                  </pic:spPr>
                </pic:pic>
              </a:graphicData>
            </a:graphic>
          </wp:inline>
        </w:drawing>
      </w:r>
      <w:r>
        <w:rPr>
          <w:sz w:val="20"/>
        </w:rPr>
      </w:r>
      <w:r>
        <w:rPr>
          <w:sz w:val="20"/>
        </w:rPr>
        <w:tab/>
      </w:r>
      <w:r>
        <w:rPr>
          <w:position w:val="74"/>
          <w:sz w:val="20"/>
        </w:rPr>
        <w:drawing>
          <wp:inline distT="0" distB="0" distL="0" distR="0">
            <wp:extent cx="2965694" cy="2868358"/>
            <wp:effectExtent l="0" t="0" r="0" b="0"/>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49" cstate="print"/>
                    <a:stretch>
                      <a:fillRect/>
                    </a:stretch>
                  </pic:blipFill>
                  <pic:spPr>
                    <a:xfrm>
                      <a:off x="0" y="0"/>
                      <a:ext cx="2965694" cy="2868358"/>
                    </a:xfrm>
                    <a:prstGeom prst="rect">
                      <a:avLst/>
                    </a:prstGeom>
                  </pic:spPr>
                </pic:pic>
              </a:graphicData>
            </a:graphic>
          </wp:inline>
        </w:drawing>
      </w:r>
      <w:r>
        <w:rPr>
          <w:position w:val="74"/>
          <w:sz w:val="20"/>
        </w:rPr>
      </w:r>
    </w:p>
    <w:p>
      <w:pPr>
        <w:pStyle w:val="BodyText"/>
        <w:spacing w:before="3"/>
        <w:rPr>
          <w:sz w:val="11"/>
        </w:rPr>
      </w:pPr>
      <w:r>
        <w:rPr/>
        <w:drawing>
          <wp:anchor distT="0" distB="0" distL="0" distR="0" allowOverlap="1" layoutInCell="1" locked="0" behindDoc="0" simplePos="0" relativeHeight="1312">
            <wp:simplePos x="0" y="0"/>
            <wp:positionH relativeFrom="page">
              <wp:posOffset>1200911</wp:posOffset>
            </wp:positionH>
            <wp:positionV relativeFrom="paragraph">
              <wp:posOffset>107442</wp:posOffset>
            </wp:positionV>
            <wp:extent cx="5629067" cy="2453735"/>
            <wp:effectExtent l="0" t="0" r="0" b="0"/>
            <wp:wrapTopAndBottom/>
            <wp:docPr id="31" name="image19.jpeg" descr=""/>
            <wp:cNvGraphicFramePr>
              <a:graphicFrameLocks noChangeAspect="1"/>
            </wp:cNvGraphicFramePr>
            <a:graphic>
              <a:graphicData uri="http://schemas.openxmlformats.org/drawingml/2006/picture">
                <pic:pic>
                  <pic:nvPicPr>
                    <pic:cNvPr id="32" name="image19.jpeg"/>
                    <pic:cNvPicPr/>
                  </pic:nvPicPr>
                  <pic:blipFill>
                    <a:blip r:embed="rId50" cstate="print"/>
                    <a:stretch>
                      <a:fillRect/>
                    </a:stretch>
                  </pic:blipFill>
                  <pic:spPr>
                    <a:xfrm>
                      <a:off x="0" y="0"/>
                      <a:ext cx="5629067" cy="2453735"/>
                    </a:xfrm>
                    <a:prstGeom prst="rect">
                      <a:avLst/>
                    </a:prstGeom>
                  </pic:spPr>
                </pic:pic>
              </a:graphicData>
            </a:graphic>
          </wp:anchor>
        </w:drawing>
      </w:r>
    </w:p>
    <w:p>
      <w:pPr>
        <w:pStyle w:val="BodyText"/>
        <w:rPr>
          <w:sz w:val="20"/>
        </w:rPr>
      </w:pPr>
    </w:p>
    <w:p>
      <w:pPr>
        <w:pStyle w:val="BodyText"/>
        <w:spacing w:before="7"/>
        <w:rPr>
          <w:sz w:val="16"/>
        </w:rPr>
      </w:pPr>
    </w:p>
    <w:p>
      <w:pPr>
        <w:spacing w:before="72"/>
        <w:ind w:left="1502" w:right="0" w:firstLine="0"/>
        <w:jc w:val="left"/>
        <w:rPr>
          <w:b/>
          <w:sz w:val="22"/>
        </w:rPr>
      </w:pPr>
      <w:r>
        <w:rPr>
          <w:b/>
          <w:sz w:val="22"/>
        </w:rPr>
        <w:t>Figura 12 Mapa del área de estudio y fotografías del predio.</w:t>
      </w:r>
    </w:p>
    <w:p>
      <w:pPr>
        <w:spacing w:after="0"/>
        <w:jc w:val="left"/>
        <w:rPr>
          <w:sz w:val="22"/>
        </w:rPr>
        <w:sectPr>
          <w:footerReference w:type="default" r:id="rId47"/>
          <w:pgSz w:w="12240" w:h="15840"/>
          <w:pgMar w:footer="1123" w:header="0" w:top="1500" w:bottom="1320" w:left="200" w:right="720"/>
        </w:sectPr>
      </w:pPr>
    </w:p>
    <w:p>
      <w:pPr>
        <w:pStyle w:val="BodyText"/>
        <w:spacing w:line="360" w:lineRule="auto" w:before="54"/>
        <w:ind w:left="102" w:right="125"/>
        <w:jc w:val="both"/>
      </w:pPr>
      <w:r>
        <w:rPr/>
        <w:t>La mayor parte de su suelo es de extensas llanuras y bosques tropicales con hábitats de agua dulce, con una abundante red de corrientes fluviales, destacando los ríos Coatzacoalcos, Uxpanapa y Coachapa arroyos, lagunas y pantanos tributarios del río Coatzacoalcos</w:t>
      </w:r>
    </w:p>
    <w:p>
      <w:pPr>
        <w:pStyle w:val="BodyText"/>
        <w:spacing w:line="360" w:lineRule="auto" w:before="2"/>
        <w:ind w:left="102" w:right="123"/>
        <w:jc w:val="both"/>
      </w:pPr>
      <w:r>
        <w:rPr/>
        <w:t>Tiene una temperatura media anual de 28°C; con lluvias abundantes en verano y principios</w:t>
      </w:r>
      <w:r>
        <w:rPr>
          <w:spacing w:val="-14"/>
        </w:rPr>
        <w:t> </w:t>
      </w:r>
      <w:r>
        <w:rPr/>
        <w:t>de</w:t>
      </w:r>
      <w:r>
        <w:rPr>
          <w:spacing w:val="-15"/>
        </w:rPr>
        <w:t> </w:t>
      </w:r>
      <w:r>
        <w:rPr/>
        <w:t>otoño;</w:t>
      </w:r>
      <w:r>
        <w:rPr>
          <w:spacing w:val="-13"/>
        </w:rPr>
        <w:t> </w:t>
      </w:r>
      <w:r>
        <w:rPr/>
        <w:t>en</w:t>
      </w:r>
      <w:r>
        <w:rPr>
          <w:spacing w:val="-16"/>
        </w:rPr>
        <w:t> </w:t>
      </w:r>
      <w:r>
        <w:rPr/>
        <w:t>los</w:t>
      </w:r>
      <w:r>
        <w:rPr>
          <w:spacing w:val="-13"/>
        </w:rPr>
        <w:t> </w:t>
      </w:r>
      <w:r>
        <w:rPr/>
        <w:t>meses</w:t>
      </w:r>
      <w:r>
        <w:rPr>
          <w:spacing w:val="-14"/>
        </w:rPr>
        <w:t> </w:t>
      </w:r>
      <w:r>
        <w:rPr/>
        <w:t>de</w:t>
      </w:r>
      <w:r>
        <w:rPr>
          <w:spacing w:val="-16"/>
        </w:rPr>
        <w:t> </w:t>
      </w:r>
      <w:r>
        <w:rPr/>
        <w:t>mayo</w:t>
      </w:r>
      <w:r>
        <w:rPr>
          <w:spacing w:val="-13"/>
        </w:rPr>
        <w:t> </w:t>
      </w:r>
      <w:r>
        <w:rPr/>
        <w:t>y</w:t>
      </w:r>
      <w:r>
        <w:rPr>
          <w:spacing w:val="-16"/>
        </w:rPr>
        <w:t> </w:t>
      </w:r>
      <w:r>
        <w:rPr/>
        <w:t>junio</w:t>
      </w:r>
      <w:r>
        <w:rPr>
          <w:spacing w:val="-13"/>
        </w:rPr>
        <w:t> </w:t>
      </w:r>
      <w:r>
        <w:rPr/>
        <w:t>se</w:t>
      </w:r>
      <w:r>
        <w:rPr>
          <w:spacing w:val="-13"/>
        </w:rPr>
        <w:t> </w:t>
      </w:r>
      <w:r>
        <w:rPr/>
        <w:t>registran</w:t>
      </w:r>
      <w:r>
        <w:rPr>
          <w:spacing w:val="-13"/>
        </w:rPr>
        <w:t> </w:t>
      </w:r>
      <w:r>
        <w:rPr/>
        <w:t>las</w:t>
      </w:r>
      <w:r>
        <w:rPr>
          <w:spacing w:val="-16"/>
        </w:rPr>
        <w:t> </w:t>
      </w:r>
      <w:r>
        <w:rPr/>
        <w:t>temperaturas</w:t>
      </w:r>
      <w:r>
        <w:rPr>
          <w:spacing w:val="-14"/>
        </w:rPr>
        <w:t> </w:t>
      </w:r>
      <w:r>
        <w:rPr/>
        <w:t>más altas, de 42 a 44°C; en invierno, en los meses de enero y febrero principalmente, las temperaturas más bajas no rebasan los 14°C. Presenta diversos subtipos climáticos, determinados por la variación ambiental de la sierra, que produce un efecto</w:t>
      </w:r>
      <w:r>
        <w:rPr>
          <w:spacing w:val="-14"/>
        </w:rPr>
        <w:t> </w:t>
      </w:r>
      <w:r>
        <w:rPr/>
        <w:t>de</w:t>
      </w:r>
      <w:r>
        <w:rPr>
          <w:spacing w:val="-14"/>
        </w:rPr>
        <w:t> </w:t>
      </w:r>
      <w:r>
        <w:rPr/>
        <w:t>sombra</w:t>
      </w:r>
      <w:r>
        <w:rPr>
          <w:spacing w:val="-17"/>
        </w:rPr>
        <w:t> </w:t>
      </w:r>
      <w:r>
        <w:rPr/>
        <w:t>pluviométrica</w:t>
      </w:r>
      <w:r>
        <w:rPr>
          <w:spacing w:val="-14"/>
        </w:rPr>
        <w:t> </w:t>
      </w:r>
      <w:r>
        <w:rPr/>
        <w:t>hacia</w:t>
      </w:r>
      <w:r>
        <w:rPr>
          <w:spacing w:val="-17"/>
        </w:rPr>
        <w:t> </w:t>
      </w:r>
      <w:r>
        <w:rPr/>
        <w:t>las</w:t>
      </w:r>
      <w:r>
        <w:rPr>
          <w:spacing w:val="-14"/>
        </w:rPr>
        <w:t> </w:t>
      </w:r>
      <w:r>
        <w:rPr/>
        <w:t>llanuras</w:t>
      </w:r>
      <w:r>
        <w:rPr>
          <w:spacing w:val="-15"/>
        </w:rPr>
        <w:t> </w:t>
      </w:r>
      <w:r>
        <w:rPr/>
        <w:t>del</w:t>
      </w:r>
      <w:r>
        <w:rPr>
          <w:spacing w:val="-15"/>
        </w:rPr>
        <w:t> </w:t>
      </w:r>
      <w:r>
        <w:rPr/>
        <w:t>oeste,</w:t>
      </w:r>
      <w:r>
        <w:rPr>
          <w:spacing w:val="-14"/>
        </w:rPr>
        <w:t> </w:t>
      </w:r>
      <w:r>
        <w:rPr/>
        <w:t>las</w:t>
      </w:r>
      <w:r>
        <w:rPr>
          <w:spacing w:val="-17"/>
        </w:rPr>
        <w:t> </w:t>
      </w:r>
      <w:r>
        <w:rPr/>
        <w:t>laderas</w:t>
      </w:r>
      <w:r>
        <w:rPr>
          <w:spacing w:val="-15"/>
        </w:rPr>
        <w:t> </w:t>
      </w:r>
      <w:r>
        <w:rPr/>
        <w:t>este</w:t>
      </w:r>
      <w:r>
        <w:rPr>
          <w:spacing w:val="-17"/>
        </w:rPr>
        <w:t> </w:t>
      </w:r>
      <w:r>
        <w:rPr/>
        <w:t>atrapan la humedad proveniente del Golfo de México, por lo que se presentan precipitaciones de 3,000 a 4,000 mm</w:t>
      </w:r>
      <w:r>
        <w:rPr>
          <w:spacing w:val="-16"/>
        </w:rPr>
        <w:t> </w:t>
      </w:r>
      <w:r>
        <w:rPr/>
        <w:t>anuales.</w:t>
      </w:r>
    </w:p>
    <w:p>
      <w:pPr>
        <w:pStyle w:val="BodyText"/>
        <w:spacing w:line="360" w:lineRule="auto" w:before="2"/>
        <w:ind w:left="102" w:right="116"/>
        <w:jc w:val="both"/>
      </w:pPr>
      <w:r>
        <w:rPr/>
        <w:t>Más específicamente el estudio se llevó a cabo en el Ejido Tacoteno (N18°00’27.02’’; O94°31’’0.99’’) que se encuentra a unos cuantos metros del área urbana, la hidrografía está compuesta por humedales y pantanos que son regados por el Rio Coatzacoalcos y sus afluentes. La actividad económica más importante de la zona es la cría extensiva de ganado que se desarrolla en sus grandes praderas. Se pueden encontrar árboles frutales (mango, coco y papaya).</w:t>
      </w:r>
    </w:p>
    <w:p>
      <w:pPr>
        <w:pStyle w:val="BodyText"/>
      </w:pPr>
    </w:p>
    <w:p>
      <w:pPr>
        <w:pStyle w:val="BodyText"/>
      </w:pPr>
    </w:p>
    <w:p>
      <w:pPr>
        <w:pStyle w:val="BodyText"/>
      </w:pPr>
    </w:p>
    <w:p>
      <w:pPr>
        <w:pStyle w:val="BodyText"/>
        <w:spacing w:before="163"/>
        <w:ind w:left="102"/>
        <w:jc w:val="both"/>
      </w:pPr>
      <w:r>
        <w:rPr>
          <w:w w:val="100"/>
        </w:rPr>
        <w:t>.</w:t>
      </w:r>
    </w:p>
    <w:p>
      <w:pPr>
        <w:spacing w:after="0"/>
        <w:jc w:val="both"/>
        <w:sectPr>
          <w:footerReference w:type="default" r:id="rId51"/>
          <w:pgSz w:w="12240" w:h="15840"/>
          <w:pgMar w:footer="1104" w:header="0" w:top="1360" w:bottom="1300" w:left="1600" w:right="1580"/>
          <w:pgNumType w:start="5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28"/>
        <w:gridCol w:w="1517"/>
        <w:gridCol w:w="2219"/>
        <w:gridCol w:w="1724"/>
        <w:gridCol w:w="1941"/>
      </w:tblGrid>
      <w:tr>
        <w:trPr>
          <w:trHeight w:val="182" w:hRule="exact"/>
        </w:trPr>
        <w:tc>
          <w:tcPr>
            <w:tcW w:w="1428" w:type="dxa"/>
            <w:shd w:val="clear" w:color="auto" w:fill="F1F1F1"/>
          </w:tcPr>
          <w:p>
            <w:pPr>
              <w:pStyle w:val="TableParagraph"/>
              <w:spacing w:line="180" w:lineRule="exact"/>
              <w:ind w:left="108"/>
              <w:rPr>
                <w:sz w:val="15"/>
              </w:rPr>
            </w:pPr>
            <w:r>
              <w:rPr>
                <w:sz w:val="15"/>
              </w:rPr>
              <w:t>Abreviación</w:t>
            </w:r>
          </w:p>
        </w:tc>
        <w:tc>
          <w:tcPr>
            <w:tcW w:w="1517" w:type="dxa"/>
            <w:shd w:val="clear" w:color="auto" w:fill="F1F1F1"/>
          </w:tcPr>
          <w:p>
            <w:pPr>
              <w:pStyle w:val="TableParagraph"/>
              <w:spacing w:line="180" w:lineRule="exact"/>
              <w:ind w:left="444"/>
              <w:rPr>
                <w:sz w:val="15"/>
              </w:rPr>
            </w:pPr>
            <w:r>
              <w:rPr>
                <w:sz w:val="15"/>
              </w:rPr>
              <w:t>Cepa</w:t>
            </w:r>
          </w:p>
        </w:tc>
        <w:tc>
          <w:tcPr>
            <w:tcW w:w="2219" w:type="dxa"/>
            <w:shd w:val="clear" w:color="auto" w:fill="F1F1F1"/>
          </w:tcPr>
          <w:p>
            <w:pPr>
              <w:pStyle w:val="TableParagraph"/>
              <w:spacing w:line="180" w:lineRule="exact"/>
              <w:rPr>
                <w:sz w:val="15"/>
              </w:rPr>
            </w:pPr>
            <w:r>
              <w:rPr>
                <w:sz w:val="15"/>
              </w:rPr>
              <w:t>Localización</w:t>
            </w:r>
          </w:p>
        </w:tc>
        <w:tc>
          <w:tcPr>
            <w:tcW w:w="1724" w:type="dxa"/>
            <w:shd w:val="clear" w:color="auto" w:fill="F1F1F1"/>
          </w:tcPr>
          <w:p>
            <w:pPr>
              <w:pStyle w:val="TableParagraph"/>
              <w:spacing w:line="180" w:lineRule="exact"/>
              <w:ind w:left="239"/>
              <w:rPr>
                <w:sz w:val="15"/>
              </w:rPr>
            </w:pPr>
            <w:r>
              <w:rPr>
                <w:sz w:val="15"/>
              </w:rPr>
              <w:t>Fecha (m/aaaa)</w:t>
            </w:r>
          </w:p>
        </w:tc>
        <w:tc>
          <w:tcPr>
            <w:tcW w:w="1941" w:type="dxa"/>
            <w:shd w:val="clear" w:color="auto" w:fill="F1F1F1"/>
          </w:tcPr>
          <w:p>
            <w:pPr>
              <w:pStyle w:val="TableParagraph"/>
              <w:spacing w:line="180" w:lineRule="exact"/>
              <w:ind w:left="281"/>
              <w:rPr>
                <w:sz w:val="15"/>
              </w:rPr>
            </w:pPr>
            <w:r>
              <w:rPr>
                <w:sz w:val="15"/>
              </w:rPr>
              <w:t>Origen</w:t>
            </w:r>
          </w:p>
        </w:tc>
      </w:tr>
      <w:tr>
        <w:trPr>
          <w:trHeight w:val="182" w:hRule="exact"/>
        </w:trPr>
        <w:tc>
          <w:tcPr>
            <w:tcW w:w="1428" w:type="dxa"/>
          </w:tcPr>
          <w:p>
            <w:pPr/>
          </w:p>
        </w:tc>
        <w:tc>
          <w:tcPr>
            <w:tcW w:w="1517" w:type="dxa"/>
          </w:tcPr>
          <w:p>
            <w:pPr/>
          </w:p>
        </w:tc>
        <w:tc>
          <w:tcPr>
            <w:tcW w:w="2219" w:type="dxa"/>
          </w:tcPr>
          <w:p>
            <w:pP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IE_MX08</w:t>
            </w:r>
          </w:p>
        </w:tc>
        <w:tc>
          <w:tcPr>
            <w:tcW w:w="1517" w:type="dxa"/>
            <w:shd w:val="clear" w:color="auto" w:fill="F1F1F1"/>
          </w:tcPr>
          <w:p>
            <w:pPr>
              <w:pStyle w:val="TableParagraph"/>
              <w:spacing w:line="180" w:lineRule="exact"/>
              <w:ind w:left="444"/>
              <w:rPr>
                <w:sz w:val="15"/>
              </w:rPr>
            </w:pPr>
            <w:r>
              <w:rPr>
                <w:sz w:val="15"/>
              </w:rPr>
              <w:t>H53</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7-2008</w:t>
            </w:r>
          </w:p>
        </w:tc>
        <w:tc>
          <w:tcPr>
            <w:tcW w:w="1941" w:type="dxa"/>
            <w:shd w:val="clear" w:color="auto" w:fill="F1F1F1"/>
          </w:tcPr>
          <w:p>
            <w:pPr>
              <w:pStyle w:val="TableParagraph"/>
              <w:spacing w:line="180" w:lineRule="exact"/>
              <w:ind w:left="281"/>
              <w:rPr>
                <w:sz w:val="15"/>
              </w:rPr>
            </w:pPr>
            <w:r>
              <w:rPr>
                <w:sz w:val="15"/>
              </w:rPr>
              <w:t>Hámster</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IE_MX08</w:t>
            </w:r>
          </w:p>
        </w:tc>
        <w:tc>
          <w:tcPr>
            <w:tcW w:w="1517" w:type="dxa"/>
          </w:tcPr>
          <w:p>
            <w:pPr>
              <w:pStyle w:val="TableParagraph"/>
              <w:spacing w:line="180" w:lineRule="exact"/>
              <w:ind w:left="444"/>
              <w:rPr>
                <w:sz w:val="15"/>
              </w:rPr>
            </w:pPr>
            <w:r>
              <w:rPr>
                <w:sz w:val="15"/>
              </w:rPr>
              <w:t>H54</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7-2008</w:t>
            </w:r>
          </w:p>
        </w:tc>
        <w:tc>
          <w:tcPr>
            <w:tcW w:w="1941" w:type="dxa"/>
          </w:tcPr>
          <w:p>
            <w:pPr>
              <w:pStyle w:val="TableParagraph"/>
              <w:spacing w:line="180" w:lineRule="exact"/>
              <w:ind w:left="281"/>
              <w:rPr>
                <w:sz w:val="15"/>
              </w:rPr>
            </w:pPr>
            <w:r>
              <w:rPr>
                <w:sz w:val="15"/>
              </w:rPr>
              <w:t>Hámster</w:t>
            </w:r>
          </w:p>
        </w:tc>
      </w:tr>
      <w:tr>
        <w:trPr>
          <w:trHeight w:val="182"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IE_MX08</w:t>
            </w:r>
          </w:p>
        </w:tc>
        <w:tc>
          <w:tcPr>
            <w:tcW w:w="1517" w:type="dxa"/>
            <w:shd w:val="clear" w:color="auto" w:fill="F1F1F1"/>
          </w:tcPr>
          <w:p>
            <w:pPr>
              <w:pStyle w:val="TableParagraph"/>
              <w:spacing w:line="180" w:lineRule="exact"/>
              <w:ind w:left="444"/>
              <w:rPr>
                <w:sz w:val="15"/>
              </w:rPr>
            </w:pPr>
            <w:r>
              <w:rPr>
                <w:sz w:val="15"/>
              </w:rPr>
              <w:t>H55</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7-2008</w:t>
            </w:r>
          </w:p>
        </w:tc>
        <w:tc>
          <w:tcPr>
            <w:tcW w:w="1941" w:type="dxa"/>
            <w:shd w:val="clear" w:color="auto" w:fill="F1F1F1"/>
          </w:tcPr>
          <w:p>
            <w:pPr>
              <w:pStyle w:val="TableParagraph"/>
              <w:spacing w:line="180" w:lineRule="exact"/>
              <w:ind w:left="281"/>
              <w:rPr>
                <w:sz w:val="15"/>
              </w:rPr>
            </w:pPr>
            <w:r>
              <w:rPr>
                <w:sz w:val="15"/>
              </w:rPr>
              <w:t>Hámster</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IE_MX08</w:t>
            </w:r>
          </w:p>
        </w:tc>
        <w:tc>
          <w:tcPr>
            <w:tcW w:w="1517" w:type="dxa"/>
          </w:tcPr>
          <w:p>
            <w:pPr>
              <w:pStyle w:val="TableParagraph"/>
              <w:spacing w:line="180" w:lineRule="exact"/>
              <w:ind w:left="444"/>
              <w:rPr>
                <w:sz w:val="15"/>
              </w:rPr>
            </w:pPr>
            <w:r>
              <w:rPr>
                <w:sz w:val="15"/>
              </w:rPr>
              <w:t>H56</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7-2008</w:t>
            </w:r>
          </w:p>
        </w:tc>
        <w:tc>
          <w:tcPr>
            <w:tcW w:w="1941" w:type="dxa"/>
          </w:tcPr>
          <w:p>
            <w:pPr>
              <w:pStyle w:val="TableParagraph"/>
              <w:spacing w:line="180" w:lineRule="exact"/>
              <w:ind w:left="281"/>
              <w:rPr>
                <w:sz w:val="15"/>
              </w:rPr>
            </w:pPr>
            <w:r>
              <w:rPr>
                <w:sz w:val="15"/>
              </w:rPr>
              <w:t>Hámster</w:t>
            </w:r>
          </w:p>
        </w:tc>
      </w:tr>
      <w:tr>
        <w:trPr>
          <w:trHeight w:val="183"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IE_MX08</w:t>
            </w:r>
          </w:p>
        </w:tc>
        <w:tc>
          <w:tcPr>
            <w:tcW w:w="1517" w:type="dxa"/>
            <w:shd w:val="clear" w:color="auto" w:fill="F1F1F1"/>
          </w:tcPr>
          <w:p>
            <w:pPr>
              <w:pStyle w:val="TableParagraph"/>
              <w:spacing w:line="180" w:lineRule="exact"/>
              <w:ind w:left="444"/>
              <w:rPr>
                <w:sz w:val="15"/>
              </w:rPr>
            </w:pPr>
            <w:r>
              <w:rPr>
                <w:sz w:val="15"/>
              </w:rPr>
              <w:t>H58</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7-2008</w:t>
            </w:r>
          </w:p>
        </w:tc>
        <w:tc>
          <w:tcPr>
            <w:tcW w:w="1941" w:type="dxa"/>
            <w:shd w:val="clear" w:color="auto" w:fill="F1F1F1"/>
          </w:tcPr>
          <w:p>
            <w:pPr>
              <w:pStyle w:val="TableParagraph"/>
              <w:spacing w:line="180" w:lineRule="exact"/>
              <w:ind w:left="281"/>
              <w:rPr>
                <w:sz w:val="15"/>
              </w:rPr>
            </w:pPr>
            <w:r>
              <w:rPr>
                <w:sz w:val="15"/>
              </w:rPr>
              <w:t>Hámster</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IE_MX09</w:t>
            </w:r>
          </w:p>
        </w:tc>
        <w:tc>
          <w:tcPr>
            <w:tcW w:w="1517" w:type="dxa"/>
          </w:tcPr>
          <w:p>
            <w:pPr>
              <w:pStyle w:val="TableParagraph"/>
              <w:spacing w:line="180" w:lineRule="exact"/>
              <w:ind w:left="444"/>
              <w:rPr>
                <w:sz w:val="15"/>
              </w:rPr>
            </w:pPr>
            <w:r>
              <w:rPr>
                <w:sz w:val="15"/>
              </w:rPr>
              <w:t>H60</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9-2009</w:t>
            </w:r>
          </w:p>
        </w:tc>
        <w:tc>
          <w:tcPr>
            <w:tcW w:w="1941" w:type="dxa"/>
          </w:tcPr>
          <w:p>
            <w:pPr>
              <w:pStyle w:val="TableParagraph"/>
              <w:spacing w:line="180" w:lineRule="exact"/>
              <w:ind w:left="281"/>
              <w:rPr>
                <w:sz w:val="15"/>
              </w:rPr>
            </w:pPr>
            <w:r>
              <w:rPr>
                <w:sz w:val="15"/>
              </w:rPr>
              <w:t>Hámster</w:t>
            </w:r>
          </w:p>
        </w:tc>
      </w:tr>
      <w:tr>
        <w:trPr>
          <w:trHeight w:val="182"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IE_MX10</w:t>
            </w:r>
          </w:p>
        </w:tc>
        <w:tc>
          <w:tcPr>
            <w:tcW w:w="1517" w:type="dxa"/>
            <w:shd w:val="clear" w:color="auto" w:fill="F1F1F1"/>
          </w:tcPr>
          <w:p>
            <w:pPr>
              <w:pStyle w:val="TableParagraph"/>
              <w:spacing w:line="180" w:lineRule="exact"/>
              <w:ind w:left="444"/>
              <w:rPr>
                <w:sz w:val="15"/>
              </w:rPr>
            </w:pPr>
            <w:r>
              <w:rPr>
                <w:sz w:val="15"/>
              </w:rPr>
              <w:t>H91</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8-2010</w:t>
            </w:r>
          </w:p>
        </w:tc>
        <w:tc>
          <w:tcPr>
            <w:tcW w:w="1941" w:type="dxa"/>
            <w:shd w:val="clear" w:color="auto" w:fill="F1F1F1"/>
          </w:tcPr>
          <w:p>
            <w:pPr>
              <w:pStyle w:val="TableParagraph"/>
              <w:spacing w:line="180" w:lineRule="exact"/>
              <w:ind w:left="281"/>
              <w:rPr>
                <w:sz w:val="15"/>
              </w:rPr>
            </w:pPr>
            <w:r>
              <w:rPr>
                <w:sz w:val="15"/>
              </w:rPr>
              <w:t>Hámster</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89" w:hRule="exact"/>
        </w:trPr>
        <w:tc>
          <w:tcPr>
            <w:tcW w:w="1428" w:type="dxa"/>
          </w:tcPr>
          <w:p>
            <w:pPr>
              <w:pStyle w:val="TableParagraph"/>
              <w:spacing w:line="180" w:lineRule="exact"/>
              <w:ind w:left="108"/>
              <w:rPr>
                <w:b/>
                <w:sz w:val="15"/>
              </w:rPr>
            </w:pPr>
            <w:r>
              <w:rPr>
                <w:b/>
                <w:sz w:val="15"/>
              </w:rPr>
              <w:t>IE_MX10</w:t>
            </w:r>
          </w:p>
        </w:tc>
        <w:tc>
          <w:tcPr>
            <w:tcW w:w="1517" w:type="dxa"/>
          </w:tcPr>
          <w:p>
            <w:pPr>
              <w:pStyle w:val="TableParagraph"/>
              <w:spacing w:line="180" w:lineRule="exact"/>
              <w:ind w:left="444"/>
              <w:rPr>
                <w:sz w:val="15"/>
              </w:rPr>
            </w:pPr>
            <w:r>
              <w:rPr>
                <w:sz w:val="15"/>
              </w:rPr>
              <w:t>H94</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8-2010</w:t>
            </w:r>
          </w:p>
        </w:tc>
        <w:tc>
          <w:tcPr>
            <w:tcW w:w="1941" w:type="dxa"/>
          </w:tcPr>
          <w:p>
            <w:pPr>
              <w:pStyle w:val="TableParagraph"/>
              <w:spacing w:line="180" w:lineRule="exact"/>
              <w:ind w:left="281"/>
              <w:rPr>
                <w:sz w:val="15"/>
              </w:rPr>
            </w:pPr>
            <w:r>
              <w:rPr>
                <w:sz w:val="15"/>
              </w:rPr>
              <w:t>Hámster</w:t>
            </w:r>
          </w:p>
        </w:tc>
      </w:tr>
      <w:tr>
        <w:trPr>
          <w:trHeight w:val="181" w:hRule="exact"/>
        </w:trPr>
        <w:tc>
          <w:tcPr>
            <w:tcW w:w="1428" w:type="dxa"/>
          </w:tcPr>
          <w:p>
            <w:pPr/>
          </w:p>
        </w:tc>
        <w:tc>
          <w:tcPr>
            <w:tcW w:w="1517" w:type="dxa"/>
          </w:tcPr>
          <w:p>
            <w:pPr/>
          </w:p>
        </w:tc>
        <w:tc>
          <w:tcPr>
            <w:tcW w:w="2219" w:type="dxa"/>
          </w:tcPr>
          <w:p>
            <w:pPr>
              <w:pStyle w:val="TableParagraph"/>
              <w:spacing w:line="171"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IE_MX10</w:t>
            </w:r>
          </w:p>
        </w:tc>
        <w:tc>
          <w:tcPr>
            <w:tcW w:w="1517" w:type="dxa"/>
            <w:shd w:val="clear" w:color="auto" w:fill="F1F1F1"/>
          </w:tcPr>
          <w:p>
            <w:pPr>
              <w:pStyle w:val="TableParagraph"/>
              <w:spacing w:line="180" w:lineRule="exact"/>
              <w:ind w:left="444"/>
              <w:rPr>
                <w:sz w:val="15"/>
              </w:rPr>
            </w:pPr>
            <w:r>
              <w:rPr>
                <w:sz w:val="15"/>
              </w:rPr>
              <w:t>H95</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8-2010</w:t>
            </w:r>
          </w:p>
        </w:tc>
        <w:tc>
          <w:tcPr>
            <w:tcW w:w="1941" w:type="dxa"/>
            <w:shd w:val="clear" w:color="auto" w:fill="F1F1F1"/>
          </w:tcPr>
          <w:p>
            <w:pPr>
              <w:pStyle w:val="TableParagraph"/>
              <w:spacing w:line="180" w:lineRule="exact"/>
              <w:ind w:left="281"/>
              <w:rPr>
                <w:sz w:val="15"/>
              </w:rPr>
            </w:pPr>
            <w:r>
              <w:rPr>
                <w:sz w:val="15"/>
              </w:rPr>
              <w:t>Hámster</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IE_MX09</w:t>
            </w:r>
          </w:p>
        </w:tc>
        <w:tc>
          <w:tcPr>
            <w:tcW w:w="1517" w:type="dxa"/>
          </w:tcPr>
          <w:p>
            <w:pPr>
              <w:pStyle w:val="TableParagraph"/>
              <w:spacing w:line="180" w:lineRule="exact"/>
              <w:ind w:left="444"/>
              <w:rPr>
                <w:sz w:val="15"/>
              </w:rPr>
            </w:pPr>
            <w:r>
              <w:rPr>
                <w:sz w:val="15"/>
              </w:rPr>
              <w:t>M48</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9-2009</w:t>
            </w:r>
          </w:p>
        </w:tc>
        <w:tc>
          <w:tcPr>
            <w:tcW w:w="1941" w:type="dxa"/>
          </w:tcPr>
          <w:p>
            <w:pPr>
              <w:pStyle w:val="TableParagraph"/>
              <w:spacing w:line="180" w:lineRule="exact"/>
              <w:ind w:left="281"/>
              <w:rPr>
                <w:sz w:val="15"/>
              </w:rPr>
            </w:pPr>
            <w:r>
              <w:rPr>
                <w:sz w:val="15"/>
              </w:rPr>
              <w:t>Cx. nigripalpus</w:t>
            </w:r>
          </w:p>
        </w:tc>
      </w:tr>
      <w:tr>
        <w:trPr>
          <w:trHeight w:val="183"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IE_MX09</w:t>
            </w:r>
          </w:p>
        </w:tc>
        <w:tc>
          <w:tcPr>
            <w:tcW w:w="1517" w:type="dxa"/>
            <w:shd w:val="clear" w:color="auto" w:fill="F1F1F1"/>
          </w:tcPr>
          <w:p>
            <w:pPr>
              <w:pStyle w:val="TableParagraph"/>
              <w:spacing w:line="180" w:lineRule="exact"/>
              <w:ind w:left="444"/>
              <w:rPr>
                <w:sz w:val="15"/>
              </w:rPr>
            </w:pPr>
            <w:r>
              <w:rPr>
                <w:sz w:val="15"/>
              </w:rPr>
              <w:t>M49</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9-2009</w:t>
            </w:r>
          </w:p>
        </w:tc>
        <w:tc>
          <w:tcPr>
            <w:tcW w:w="1941" w:type="dxa"/>
            <w:shd w:val="clear" w:color="auto" w:fill="F1F1F1"/>
          </w:tcPr>
          <w:p>
            <w:pPr>
              <w:pStyle w:val="TableParagraph"/>
              <w:spacing w:line="180" w:lineRule="exact"/>
              <w:ind w:left="281"/>
              <w:rPr>
                <w:sz w:val="15"/>
              </w:rPr>
            </w:pPr>
            <w:r>
              <w:rPr>
                <w:sz w:val="15"/>
              </w:rPr>
              <w:t>Cq. nigricans</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IE_MX09</w:t>
            </w:r>
          </w:p>
        </w:tc>
        <w:tc>
          <w:tcPr>
            <w:tcW w:w="1517" w:type="dxa"/>
          </w:tcPr>
          <w:p>
            <w:pPr>
              <w:pStyle w:val="TableParagraph"/>
              <w:spacing w:line="180" w:lineRule="exact"/>
              <w:ind w:left="444"/>
              <w:rPr>
                <w:sz w:val="15"/>
              </w:rPr>
            </w:pPr>
            <w:r>
              <w:rPr>
                <w:sz w:val="15"/>
              </w:rPr>
              <w:t>M50</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9-2009</w:t>
            </w:r>
          </w:p>
        </w:tc>
        <w:tc>
          <w:tcPr>
            <w:tcW w:w="1941" w:type="dxa"/>
          </w:tcPr>
          <w:p>
            <w:pPr>
              <w:pStyle w:val="TableParagraph"/>
              <w:spacing w:line="180" w:lineRule="exact"/>
              <w:ind w:left="281"/>
              <w:rPr>
                <w:sz w:val="15"/>
              </w:rPr>
            </w:pPr>
            <w:r>
              <w:rPr>
                <w:sz w:val="15"/>
              </w:rPr>
              <w:t>M. titillans</w:t>
            </w:r>
          </w:p>
        </w:tc>
      </w:tr>
      <w:tr>
        <w:trPr>
          <w:trHeight w:val="182"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174"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r>
        <w:trPr>
          <w:trHeight w:val="191" w:hRule="exact"/>
        </w:trPr>
        <w:tc>
          <w:tcPr>
            <w:tcW w:w="1428" w:type="dxa"/>
            <w:shd w:val="clear" w:color="auto" w:fill="F1F1F1"/>
          </w:tcPr>
          <w:p>
            <w:pPr>
              <w:pStyle w:val="TableParagraph"/>
              <w:spacing w:line="180" w:lineRule="exact"/>
              <w:ind w:left="108"/>
              <w:rPr>
                <w:b/>
                <w:sz w:val="15"/>
              </w:rPr>
            </w:pPr>
            <w:r>
              <w:rPr>
                <w:b/>
                <w:sz w:val="15"/>
              </w:rPr>
              <w:t>IE_MX09</w:t>
            </w:r>
          </w:p>
        </w:tc>
        <w:tc>
          <w:tcPr>
            <w:tcW w:w="1517" w:type="dxa"/>
            <w:shd w:val="clear" w:color="auto" w:fill="F1F1F1"/>
          </w:tcPr>
          <w:p>
            <w:pPr>
              <w:pStyle w:val="TableParagraph"/>
              <w:spacing w:line="180" w:lineRule="exact"/>
              <w:ind w:left="444"/>
              <w:rPr>
                <w:sz w:val="15"/>
              </w:rPr>
            </w:pPr>
            <w:r>
              <w:rPr>
                <w:sz w:val="15"/>
              </w:rPr>
              <w:t>M51</w:t>
            </w:r>
          </w:p>
        </w:tc>
        <w:tc>
          <w:tcPr>
            <w:tcW w:w="2219" w:type="dxa"/>
            <w:shd w:val="clear" w:color="auto" w:fill="F1F1F1"/>
          </w:tcPr>
          <w:p>
            <w:pPr>
              <w:pStyle w:val="TableParagraph"/>
              <w:spacing w:line="180" w:lineRule="exact"/>
              <w:rPr>
                <w:sz w:val="15"/>
              </w:rPr>
            </w:pPr>
            <w:r>
              <w:rPr>
                <w:sz w:val="15"/>
              </w:rPr>
              <w:t>Tacoteno,</w:t>
            </w:r>
          </w:p>
        </w:tc>
        <w:tc>
          <w:tcPr>
            <w:tcW w:w="1724" w:type="dxa"/>
            <w:shd w:val="clear" w:color="auto" w:fill="F1F1F1"/>
          </w:tcPr>
          <w:p>
            <w:pPr>
              <w:pStyle w:val="TableParagraph"/>
              <w:spacing w:line="180" w:lineRule="exact"/>
              <w:ind w:left="239"/>
              <w:rPr>
                <w:sz w:val="15"/>
              </w:rPr>
            </w:pPr>
            <w:r>
              <w:rPr>
                <w:sz w:val="15"/>
              </w:rPr>
              <w:t>9-2009</w:t>
            </w:r>
          </w:p>
        </w:tc>
        <w:tc>
          <w:tcPr>
            <w:tcW w:w="1941" w:type="dxa"/>
            <w:shd w:val="clear" w:color="auto" w:fill="F1F1F1"/>
          </w:tcPr>
          <w:p>
            <w:pPr>
              <w:pStyle w:val="TableParagraph"/>
              <w:spacing w:line="180" w:lineRule="exact"/>
              <w:ind w:left="281"/>
              <w:rPr>
                <w:sz w:val="15"/>
              </w:rPr>
            </w:pPr>
            <w:r>
              <w:rPr>
                <w:sz w:val="15"/>
              </w:rPr>
              <w:t>Cx. nigripalpus</w:t>
            </w:r>
          </w:p>
        </w:tc>
      </w:tr>
      <w:tr>
        <w:trPr>
          <w:trHeight w:val="182"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Minatitlán,</w:t>
            </w:r>
          </w:p>
        </w:tc>
        <w:tc>
          <w:tcPr>
            <w:tcW w:w="1724" w:type="dxa"/>
            <w:shd w:val="clear" w:color="auto" w:fill="F1F1F1"/>
          </w:tcPr>
          <w:p>
            <w:pPr/>
          </w:p>
        </w:tc>
        <w:tc>
          <w:tcPr>
            <w:tcW w:w="1941" w:type="dxa"/>
            <w:shd w:val="clear" w:color="auto" w:fill="F1F1F1"/>
          </w:tcPr>
          <w:p>
            <w:pPr/>
          </w:p>
        </w:tc>
      </w:tr>
      <w:tr>
        <w:trPr>
          <w:trHeight w:val="174" w:hRule="exact"/>
        </w:trPr>
        <w:tc>
          <w:tcPr>
            <w:tcW w:w="1428" w:type="dxa"/>
            <w:shd w:val="clear" w:color="auto" w:fill="F1F1F1"/>
          </w:tcPr>
          <w:p>
            <w:pPr/>
          </w:p>
        </w:tc>
        <w:tc>
          <w:tcPr>
            <w:tcW w:w="1517" w:type="dxa"/>
            <w:shd w:val="clear" w:color="auto" w:fill="F1F1F1"/>
          </w:tcPr>
          <w:p>
            <w:pPr/>
          </w:p>
        </w:tc>
        <w:tc>
          <w:tcPr>
            <w:tcW w:w="2219" w:type="dxa"/>
            <w:shd w:val="clear" w:color="auto" w:fill="F1F1F1"/>
          </w:tcPr>
          <w:p>
            <w:pPr>
              <w:pStyle w:val="TableParagraph"/>
              <w:spacing w:line="172" w:lineRule="exact"/>
              <w:rPr>
                <w:sz w:val="15"/>
              </w:rPr>
            </w:pPr>
            <w:r>
              <w:rPr>
                <w:sz w:val="15"/>
              </w:rPr>
              <w:t>Veracruz, México</w:t>
            </w:r>
          </w:p>
        </w:tc>
        <w:tc>
          <w:tcPr>
            <w:tcW w:w="1724" w:type="dxa"/>
            <w:shd w:val="clear" w:color="auto" w:fill="F1F1F1"/>
          </w:tcPr>
          <w:p>
            <w:pPr/>
          </w:p>
        </w:tc>
        <w:tc>
          <w:tcPr>
            <w:tcW w:w="1941" w:type="dxa"/>
            <w:shd w:val="clear" w:color="auto" w:fill="F1F1F1"/>
          </w:tcPr>
          <w:p>
            <w:pPr/>
          </w:p>
        </w:tc>
      </w:tr>
      <w:tr>
        <w:trPr>
          <w:trHeight w:val="191" w:hRule="exact"/>
        </w:trPr>
        <w:tc>
          <w:tcPr>
            <w:tcW w:w="1428" w:type="dxa"/>
          </w:tcPr>
          <w:p>
            <w:pPr>
              <w:pStyle w:val="TableParagraph"/>
              <w:spacing w:line="180" w:lineRule="exact"/>
              <w:ind w:left="108"/>
              <w:rPr>
                <w:b/>
                <w:sz w:val="15"/>
              </w:rPr>
            </w:pPr>
            <w:r>
              <w:rPr>
                <w:b/>
                <w:sz w:val="15"/>
              </w:rPr>
              <w:t>IE_MX09</w:t>
            </w:r>
          </w:p>
        </w:tc>
        <w:tc>
          <w:tcPr>
            <w:tcW w:w="1517" w:type="dxa"/>
          </w:tcPr>
          <w:p>
            <w:pPr>
              <w:pStyle w:val="TableParagraph"/>
              <w:spacing w:line="180" w:lineRule="exact"/>
              <w:ind w:left="444"/>
              <w:rPr>
                <w:sz w:val="15"/>
              </w:rPr>
            </w:pPr>
            <w:r>
              <w:rPr>
                <w:sz w:val="15"/>
              </w:rPr>
              <w:t>M54</w:t>
            </w:r>
          </w:p>
        </w:tc>
        <w:tc>
          <w:tcPr>
            <w:tcW w:w="2219" w:type="dxa"/>
          </w:tcPr>
          <w:p>
            <w:pPr>
              <w:pStyle w:val="TableParagraph"/>
              <w:spacing w:line="180" w:lineRule="exact"/>
              <w:rPr>
                <w:sz w:val="15"/>
              </w:rPr>
            </w:pPr>
            <w:r>
              <w:rPr>
                <w:sz w:val="15"/>
              </w:rPr>
              <w:t>Tacoteno,</w:t>
            </w:r>
          </w:p>
        </w:tc>
        <w:tc>
          <w:tcPr>
            <w:tcW w:w="1724" w:type="dxa"/>
          </w:tcPr>
          <w:p>
            <w:pPr>
              <w:pStyle w:val="TableParagraph"/>
              <w:spacing w:line="180" w:lineRule="exact"/>
              <w:ind w:left="239"/>
              <w:rPr>
                <w:sz w:val="15"/>
              </w:rPr>
            </w:pPr>
            <w:r>
              <w:rPr>
                <w:sz w:val="15"/>
              </w:rPr>
              <w:t>9-2009</w:t>
            </w:r>
          </w:p>
        </w:tc>
        <w:tc>
          <w:tcPr>
            <w:tcW w:w="1941" w:type="dxa"/>
          </w:tcPr>
          <w:p>
            <w:pPr>
              <w:pStyle w:val="TableParagraph"/>
              <w:spacing w:line="180" w:lineRule="exact"/>
              <w:ind w:left="281"/>
              <w:rPr>
                <w:sz w:val="15"/>
              </w:rPr>
            </w:pPr>
            <w:r>
              <w:rPr>
                <w:sz w:val="15"/>
              </w:rPr>
              <w:t>Cx. taeniopus</w:t>
            </w:r>
          </w:p>
        </w:tc>
      </w:tr>
      <w:tr>
        <w:trPr>
          <w:trHeight w:val="182"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Minatitlán,</w:t>
            </w:r>
          </w:p>
        </w:tc>
        <w:tc>
          <w:tcPr>
            <w:tcW w:w="1724" w:type="dxa"/>
          </w:tcPr>
          <w:p>
            <w:pPr/>
          </w:p>
        </w:tc>
        <w:tc>
          <w:tcPr>
            <w:tcW w:w="1941" w:type="dxa"/>
          </w:tcPr>
          <w:p>
            <w:pPr/>
          </w:p>
        </w:tc>
      </w:tr>
      <w:tr>
        <w:trPr>
          <w:trHeight w:val="267" w:hRule="exact"/>
        </w:trPr>
        <w:tc>
          <w:tcPr>
            <w:tcW w:w="1428" w:type="dxa"/>
          </w:tcPr>
          <w:p>
            <w:pPr/>
          </w:p>
        </w:tc>
        <w:tc>
          <w:tcPr>
            <w:tcW w:w="1517" w:type="dxa"/>
          </w:tcPr>
          <w:p>
            <w:pPr/>
          </w:p>
        </w:tc>
        <w:tc>
          <w:tcPr>
            <w:tcW w:w="2219" w:type="dxa"/>
          </w:tcPr>
          <w:p>
            <w:pPr>
              <w:pStyle w:val="TableParagraph"/>
              <w:spacing w:line="172" w:lineRule="exact"/>
              <w:rPr>
                <w:sz w:val="15"/>
              </w:rPr>
            </w:pPr>
            <w:r>
              <w:rPr>
                <w:sz w:val="15"/>
              </w:rPr>
              <w:t>Veracruz, México</w:t>
            </w:r>
          </w:p>
        </w:tc>
        <w:tc>
          <w:tcPr>
            <w:tcW w:w="1724" w:type="dxa"/>
          </w:tcPr>
          <w:p>
            <w:pPr/>
          </w:p>
        </w:tc>
        <w:tc>
          <w:tcPr>
            <w:tcW w:w="1941" w:type="dxa"/>
          </w:tcPr>
          <w:p>
            <w:pPr/>
          </w:p>
        </w:tc>
      </w:tr>
    </w:tbl>
    <w:p>
      <w:pPr>
        <w:pStyle w:val="BodyText"/>
        <w:rPr>
          <w:sz w:val="20"/>
        </w:rPr>
      </w:pPr>
    </w:p>
    <w:p>
      <w:pPr>
        <w:pStyle w:val="BodyText"/>
        <w:rPr>
          <w:sz w:val="20"/>
        </w:rPr>
      </w:pPr>
    </w:p>
    <w:p>
      <w:pPr>
        <w:pStyle w:val="BodyText"/>
        <w:spacing w:before="5"/>
        <w:rPr>
          <w:sz w:val="20"/>
        </w:rPr>
      </w:pPr>
    </w:p>
    <w:p>
      <w:pPr>
        <w:spacing w:before="0"/>
        <w:ind w:left="102" w:right="727" w:firstLine="0"/>
        <w:jc w:val="left"/>
        <w:rPr>
          <w:b/>
          <w:sz w:val="22"/>
        </w:rPr>
      </w:pPr>
      <w:r>
        <w:rPr>
          <w:b/>
          <w:sz w:val="22"/>
        </w:rPr>
        <w:t>Figura 13 Cepas del VEEV subtipo IE aisladas en el Ejido Tacoteno, Minatitlán, Veracruz en el periodo 2008-2010. Adaptado de Adams et al, 2012.</w:t>
      </w:r>
    </w:p>
    <w:p>
      <w:pPr>
        <w:spacing w:after="0"/>
        <w:jc w:val="left"/>
        <w:rPr>
          <w:sz w:val="22"/>
        </w:rPr>
        <w:sectPr>
          <w:pgSz w:w="12240" w:h="15840"/>
          <w:pgMar w:header="0" w:footer="1104" w:top="1500" w:bottom="1320" w:left="1600" w:right="1600"/>
        </w:sectPr>
      </w:pPr>
    </w:p>
    <w:p>
      <w:pPr>
        <w:pStyle w:val="Heading4"/>
        <w:jc w:val="both"/>
      </w:pPr>
      <w:r>
        <w:rPr/>
        <w:t>VI. 2. Animales</w:t>
      </w:r>
    </w:p>
    <w:p>
      <w:pPr>
        <w:pStyle w:val="BodyText"/>
        <w:spacing w:line="360" w:lineRule="auto" w:before="139"/>
        <w:ind w:left="102" w:right="124"/>
        <w:jc w:val="both"/>
      </w:pPr>
      <w:r>
        <w:rPr/>
        <w:t>Siete equinos hembras (identificados mediante rasurado del anca con números del 1-7) de 24 a 36 meses de edad provenientes de la región central de la República Mexicana, seronegativos a EEV, EEE (Encefalitis Equina del Este) y EEO (Encefalitis Equina del Oeste) fueron utilizados como centinelas para evaluar la patogenicidad del VEEV subtipo IE en modelos equinos durante los meses de agosto y septiembre de 2014, esto se logró mediante la exposición natural a las picaduras de mosquitos.</w:t>
      </w:r>
    </w:p>
    <w:p>
      <w:pPr>
        <w:pStyle w:val="BodyText"/>
        <w:spacing w:line="360" w:lineRule="auto" w:before="2"/>
        <w:ind w:left="102" w:right="123" w:firstLine="67"/>
        <w:jc w:val="both"/>
      </w:pPr>
      <w:r>
        <w:rPr/>
        <w:t>Dos</w:t>
      </w:r>
      <w:r>
        <w:rPr>
          <w:spacing w:val="-5"/>
        </w:rPr>
        <w:t> </w:t>
      </w:r>
      <w:r>
        <w:rPr/>
        <w:t>semanas</w:t>
      </w:r>
      <w:r>
        <w:rPr>
          <w:spacing w:val="-8"/>
        </w:rPr>
        <w:t> </w:t>
      </w:r>
      <w:r>
        <w:rPr/>
        <w:t>antes</w:t>
      </w:r>
      <w:r>
        <w:rPr>
          <w:spacing w:val="-5"/>
        </w:rPr>
        <w:t> </w:t>
      </w:r>
      <w:r>
        <w:rPr/>
        <w:t>de</w:t>
      </w:r>
      <w:r>
        <w:rPr>
          <w:spacing w:val="-5"/>
        </w:rPr>
        <w:t> </w:t>
      </w:r>
      <w:r>
        <w:rPr/>
        <w:t>trasladarlos</w:t>
      </w:r>
      <w:r>
        <w:rPr>
          <w:spacing w:val="-5"/>
        </w:rPr>
        <w:t> </w:t>
      </w:r>
      <w:r>
        <w:rPr/>
        <w:t>al</w:t>
      </w:r>
      <w:r>
        <w:rPr>
          <w:spacing w:val="-8"/>
        </w:rPr>
        <w:t> </w:t>
      </w:r>
      <w:r>
        <w:rPr/>
        <w:t>estado</w:t>
      </w:r>
      <w:r>
        <w:rPr>
          <w:spacing w:val="-5"/>
        </w:rPr>
        <w:t> </w:t>
      </w:r>
      <w:r>
        <w:rPr/>
        <w:t>de</w:t>
      </w:r>
      <w:r>
        <w:rPr>
          <w:spacing w:val="-7"/>
        </w:rPr>
        <w:t> </w:t>
      </w:r>
      <w:r>
        <w:rPr/>
        <w:t>Veracruz,</w:t>
      </w:r>
      <w:r>
        <w:rPr>
          <w:spacing w:val="-5"/>
        </w:rPr>
        <w:t> </w:t>
      </w:r>
      <w:r>
        <w:rPr/>
        <w:t>a</w:t>
      </w:r>
      <w:r>
        <w:rPr>
          <w:spacing w:val="-5"/>
        </w:rPr>
        <w:t> </w:t>
      </w:r>
      <w:r>
        <w:rPr/>
        <w:t>todos</w:t>
      </w:r>
      <w:r>
        <w:rPr>
          <w:spacing w:val="-8"/>
        </w:rPr>
        <w:t> </w:t>
      </w:r>
      <w:r>
        <w:rPr/>
        <w:t>los</w:t>
      </w:r>
      <w:r>
        <w:rPr>
          <w:spacing w:val="-5"/>
        </w:rPr>
        <w:t> </w:t>
      </w:r>
      <w:r>
        <w:rPr/>
        <w:t>animales</w:t>
      </w:r>
      <w:r>
        <w:rPr>
          <w:spacing w:val="-5"/>
        </w:rPr>
        <w:t> </w:t>
      </w:r>
      <w:r>
        <w:rPr/>
        <w:t>se les realizaron conteos de células hemáticas y estudios parasitológicos, así como la evaluación de su estado físico general. Se realizó la colocación quirúrgica de un dispositivo de medición de temperatura (Thermocron iButton) detrás de la última costilla, para poder llevar un registro de la temperatura corporal las 24 horas el</w:t>
      </w:r>
      <w:r>
        <w:rPr>
          <w:spacing w:val="-38"/>
        </w:rPr>
        <w:t> </w:t>
      </w:r>
      <w:r>
        <w:rPr/>
        <w:t>día.</w:t>
      </w:r>
    </w:p>
    <w:p>
      <w:pPr>
        <w:spacing w:before="1"/>
        <w:ind w:left="102" w:right="0" w:firstLine="0"/>
        <w:jc w:val="both"/>
        <w:rPr>
          <w:sz w:val="16"/>
        </w:rPr>
      </w:pPr>
      <w:r>
        <w:rPr>
          <w:sz w:val="16"/>
        </w:rPr>
        <w:t>(Anexo 1)</w:t>
      </w:r>
    </w:p>
    <w:p>
      <w:pPr>
        <w:pStyle w:val="BodyText"/>
        <w:spacing w:before="3"/>
        <w:rPr>
          <w:sz w:val="20"/>
        </w:rPr>
      </w:pPr>
    </w:p>
    <w:p>
      <w:pPr>
        <w:pStyle w:val="BodyText"/>
        <w:spacing w:line="357" w:lineRule="auto"/>
        <w:ind w:left="102" w:right="115"/>
        <w:jc w:val="both"/>
        <w:rPr>
          <w:sz w:val="16"/>
        </w:rPr>
      </w:pPr>
      <w:r>
        <w:rPr/>
        <w:t>Los</w:t>
      </w:r>
      <w:r>
        <w:rPr>
          <w:spacing w:val="-13"/>
        </w:rPr>
        <w:t> </w:t>
      </w:r>
      <w:r>
        <w:rPr/>
        <w:t>animales</w:t>
      </w:r>
      <w:r>
        <w:rPr>
          <w:spacing w:val="-10"/>
        </w:rPr>
        <w:t> </w:t>
      </w:r>
      <w:r>
        <w:rPr/>
        <w:t>centinelas</w:t>
      </w:r>
      <w:r>
        <w:rPr>
          <w:spacing w:val="-10"/>
        </w:rPr>
        <w:t> </w:t>
      </w:r>
      <w:r>
        <w:rPr/>
        <w:t>se</w:t>
      </w:r>
      <w:r>
        <w:rPr>
          <w:spacing w:val="-9"/>
        </w:rPr>
        <w:t> </w:t>
      </w:r>
      <w:r>
        <w:rPr/>
        <w:t>colocaron</w:t>
      </w:r>
      <w:r>
        <w:rPr>
          <w:spacing w:val="-12"/>
        </w:rPr>
        <w:t> </w:t>
      </w:r>
      <w:r>
        <w:rPr/>
        <w:t>en</w:t>
      </w:r>
      <w:r>
        <w:rPr>
          <w:spacing w:val="-12"/>
        </w:rPr>
        <w:t> </w:t>
      </w:r>
      <w:r>
        <w:rPr/>
        <w:t>una</w:t>
      </w:r>
      <w:r>
        <w:rPr>
          <w:spacing w:val="-13"/>
        </w:rPr>
        <w:t> </w:t>
      </w:r>
      <w:r>
        <w:rPr/>
        <w:t>pradera</w:t>
      </w:r>
      <w:r>
        <w:rPr>
          <w:spacing w:val="-12"/>
        </w:rPr>
        <w:t> </w:t>
      </w:r>
      <w:r>
        <w:rPr/>
        <w:t>cercana</w:t>
      </w:r>
      <w:r>
        <w:rPr>
          <w:spacing w:val="-12"/>
        </w:rPr>
        <w:t> </w:t>
      </w:r>
      <w:r>
        <w:rPr/>
        <w:t>a</w:t>
      </w:r>
      <w:r>
        <w:rPr>
          <w:spacing w:val="-12"/>
        </w:rPr>
        <w:t> </w:t>
      </w:r>
      <w:r>
        <w:rPr/>
        <w:t>un</w:t>
      </w:r>
      <w:r>
        <w:rPr>
          <w:spacing w:val="-9"/>
        </w:rPr>
        <w:t> </w:t>
      </w:r>
      <w:r>
        <w:rPr/>
        <w:t>cuerpo</w:t>
      </w:r>
      <w:r>
        <w:rPr>
          <w:spacing w:val="-11"/>
        </w:rPr>
        <w:t> </w:t>
      </w:r>
      <w:r>
        <w:rPr/>
        <w:t>de</w:t>
      </w:r>
      <w:r>
        <w:rPr>
          <w:spacing w:val="-12"/>
        </w:rPr>
        <w:t> </w:t>
      </w:r>
      <w:r>
        <w:rPr/>
        <w:t>agua, su movimiento fue restringido atándolos a un árbol para poder evaluar el consumo de</w:t>
      </w:r>
      <w:r>
        <w:rPr>
          <w:spacing w:val="-7"/>
        </w:rPr>
        <w:t> </w:t>
      </w:r>
      <w:r>
        <w:rPr/>
        <w:t>alimento</w:t>
      </w:r>
      <w:r>
        <w:rPr>
          <w:spacing w:val="-7"/>
        </w:rPr>
        <w:t> </w:t>
      </w:r>
      <w:r>
        <w:rPr/>
        <w:t>y</w:t>
      </w:r>
      <w:r>
        <w:rPr>
          <w:spacing w:val="-10"/>
        </w:rPr>
        <w:t> </w:t>
      </w:r>
      <w:r>
        <w:rPr/>
        <w:t>agua,</w:t>
      </w:r>
      <w:r>
        <w:rPr>
          <w:spacing w:val="-10"/>
        </w:rPr>
        <w:t> </w:t>
      </w:r>
      <w:r>
        <w:rPr/>
        <w:t>que</w:t>
      </w:r>
      <w:r>
        <w:rPr>
          <w:spacing w:val="-9"/>
        </w:rPr>
        <w:t> </w:t>
      </w:r>
      <w:r>
        <w:rPr/>
        <w:t>fue</w:t>
      </w:r>
      <w:r>
        <w:rPr>
          <w:spacing w:val="-7"/>
        </w:rPr>
        <w:t> </w:t>
      </w:r>
      <w:r>
        <w:rPr/>
        <w:t>determinado</w:t>
      </w:r>
      <w:r>
        <w:rPr>
          <w:spacing w:val="-9"/>
        </w:rPr>
        <w:t> </w:t>
      </w:r>
      <w:r>
        <w:rPr/>
        <w:t>por</w:t>
      </w:r>
      <w:r>
        <w:rPr>
          <w:spacing w:val="-8"/>
        </w:rPr>
        <w:t> </w:t>
      </w:r>
      <w:r>
        <w:rPr/>
        <w:t>los</w:t>
      </w:r>
      <w:r>
        <w:rPr>
          <w:spacing w:val="-8"/>
        </w:rPr>
        <w:t> </w:t>
      </w:r>
      <w:r>
        <w:rPr/>
        <w:t>valores</w:t>
      </w:r>
      <w:r>
        <w:rPr>
          <w:spacing w:val="-8"/>
        </w:rPr>
        <w:t> </w:t>
      </w:r>
      <w:r>
        <w:rPr/>
        <w:t>estándar</w:t>
      </w:r>
      <w:r>
        <w:rPr>
          <w:spacing w:val="-8"/>
        </w:rPr>
        <w:t> </w:t>
      </w:r>
      <w:r>
        <w:rPr/>
        <w:t>establecidos. </w:t>
      </w:r>
      <w:r>
        <w:rPr>
          <w:position w:val="8"/>
          <w:sz w:val="16"/>
        </w:rPr>
        <w:t>(154)</w:t>
      </w:r>
    </w:p>
    <w:p>
      <w:pPr>
        <w:pStyle w:val="BodyText"/>
        <w:spacing w:before="3"/>
        <w:rPr>
          <w:sz w:val="36"/>
        </w:rPr>
      </w:pPr>
    </w:p>
    <w:p>
      <w:pPr>
        <w:pStyle w:val="Heading4"/>
        <w:spacing w:before="0"/>
        <w:jc w:val="both"/>
      </w:pPr>
      <w:r>
        <w:rPr/>
        <w:t>VI. 3. Registro de signos clínicos</w:t>
      </w:r>
    </w:p>
    <w:p>
      <w:pPr>
        <w:pStyle w:val="BodyText"/>
        <w:rPr>
          <w:b/>
        </w:rPr>
      </w:pPr>
    </w:p>
    <w:p>
      <w:pPr>
        <w:pStyle w:val="BodyText"/>
        <w:rPr>
          <w:b/>
        </w:rPr>
      </w:pPr>
    </w:p>
    <w:p>
      <w:pPr>
        <w:pStyle w:val="BodyText"/>
        <w:spacing w:line="360" w:lineRule="auto"/>
        <w:ind w:left="102" w:right="116"/>
        <w:jc w:val="both"/>
        <w:rPr>
          <w:sz w:val="16"/>
        </w:rPr>
      </w:pPr>
      <w:r>
        <w:rPr/>
        <w:t>Desde la llegada de los animales se realizó un examen físico general dos veces al día por la mañana y por la tarde, con el objetivo de registrar presencia de signos clínicos relacionados con la EEV como fiebre ondulante, anorexia, descarga nasal, secreción ocular, constipación, examen neurológico general buscando alguna alteración</w:t>
      </w:r>
      <w:r>
        <w:rPr>
          <w:spacing w:val="-9"/>
        </w:rPr>
        <w:t> </w:t>
      </w:r>
      <w:r>
        <w:rPr/>
        <w:t>del</w:t>
      </w:r>
      <w:r>
        <w:rPr>
          <w:spacing w:val="-8"/>
        </w:rPr>
        <w:t> </w:t>
      </w:r>
      <w:r>
        <w:rPr/>
        <w:t>sistema</w:t>
      </w:r>
      <w:r>
        <w:rPr>
          <w:spacing w:val="-9"/>
        </w:rPr>
        <w:t> </w:t>
      </w:r>
      <w:r>
        <w:rPr/>
        <w:t>nervioso</w:t>
      </w:r>
      <w:r>
        <w:rPr>
          <w:spacing w:val="-7"/>
        </w:rPr>
        <w:t> </w:t>
      </w:r>
      <w:r>
        <w:rPr/>
        <w:t>central</w:t>
      </w:r>
      <w:r>
        <w:rPr>
          <w:spacing w:val="-8"/>
        </w:rPr>
        <w:t> </w:t>
      </w:r>
      <w:r>
        <w:rPr/>
        <w:t>(depresión,</w:t>
      </w:r>
      <w:r>
        <w:rPr>
          <w:spacing w:val="-7"/>
        </w:rPr>
        <w:t> </w:t>
      </w:r>
      <w:r>
        <w:rPr/>
        <w:t>nistagmo,</w:t>
      </w:r>
      <w:r>
        <w:rPr>
          <w:spacing w:val="-7"/>
        </w:rPr>
        <w:t> </w:t>
      </w:r>
      <w:r>
        <w:rPr/>
        <w:t>hiperacusia,</w:t>
      </w:r>
      <w:r>
        <w:rPr>
          <w:spacing w:val="-9"/>
        </w:rPr>
        <w:t> </w:t>
      </w:r>
      <w:r>
        <w:rPr/>
        <w:t>fotofobia, problemas para masticar o deglutir, caminar en círculos, recargar la cabeza sobre objetos, orejas caídas, pedaleo y ataxia).  </w:t>
      </w:r>
      <w:r>
        <w:rPr>
          <w:position w:val="8"/>
          <w:sz w:val="16"/>
        </w:rPr>
        <w:t>(Anexo</w:t>
      </w:r>
      <w:r>
        <w:rPr>
          <w:spacing w:val="-15"/>
          <w:position w:val="8"/>
          <w:sz w:val="16"/>
        </w:rPr>
        <w:t> </w:t>
      </w:r>
      <w:r>
        <w:rPr>
          <w:position w:val="8"/>
          <w:sz w:val="16"/>
        </w:rPr>
        <w:t>2)</w:t>
      </w:r>
    </w:p>
    <w:p>
      <w:pPr>
        <w:pStyle w:val="BodyText"/>
        <w:spacing w:line="360" w:lineRule="auto" w:before="1"/>
        <w:ind w:left="102" w:right="124"/>
        <w:jc w:val="both"/>
      </w:pPr>
      <w:r>
        <w:rPr/>
        <w:t>Además se registraba la temperatura rectal con un termómetro digital (Microlife MT 3001), la frecuencia cardiaca, frecuencia respiratoria y sonidos abdominales mediante el uso de estetoscopio (Littmann Lightweight II SE).</w:t>
      </w:r>
    </w:p>
    <w:p>
      <w:pPr>
        <w:spacing w:after="0" w:line="360" w:lineRule="auto"/>
        <w:jc w:val="both"/>
        <w:sectPr>
          <w:pgSz w:w="12240" w:h="15840"/>
          <w:pgMar w:header="0" w:footer="1104" w:top="1360" w:bottom="1300" w:left="1600" w:right="1580"/>
        </w:sectPr>
      </w:pPr>
    </w:p>
    <w:p>
      <w:pPr>
        <w:pStyle w:val="Heading4"/>
        <w:jc w:val="both"/>
      </w:pPr>
      <w:r>
        <w:rPr/>
        <w:t>VI. 4 Muestras sanguíneas</w:t>
      </w:r>
    </w:p>
    <w:p>
      <w:pPr>
        <w:pStyle w:val="BodyText"/>
        <w:rPr>
          <w:b/>
        </w:rPr>
      </w:pPr>
    </w:p>
    <w:p>
      <w:pPr>
        <w:pStyle w:val="BodyText"/>
        <w:rPr>
          <w:b/>
        </w:rPr>
      </w:pPr>
    </w:p>
    <w:p>
      <w:pPr>
        <w:pStyle w:val="BodyText"/>
        <w:spacing w:line="360" w:lineRule="auto"/>
        <w:ind w:left="102" w:right="116"/>
        <w:jc w:val="both"/>
      </w:pPr>
      <w:r>
        <w:rPr/>
        <w:t>Diariamente durante la mañana se realizaba la toma de una muestra sanguínea mediante punción de vena yugular. (Aguja BD Flashback)</w:t>
      </w:r>
    </w:p>
    <w:p>
      <w:pPr>
        <w:pStyle w:val="BodyText"/>
        <w:spacing w:before="2"/>
        <w:ind w:left="102"/>
        <w:jc w:val="both"/>
      </w:pPr>
      <w:r>
        <w:rPr/>
        <w:t>Empleando tubos con EDTA (BD Vacutainer para análisis de plasma).</w:t>
      </w:r>
    </w:p>
    <w:p>
      <w:pPr>
        <w:pStyle w:val="BodyText"/>
      </w:pPr>
    </w:p>
    <w:p>
      <w:pPr>
        <w:pStyle w:val="BodyText"/>
      </w:pPr>
    </w:p>
    <w:p>
      <w:pPr>
        <w:pStyle w:val="Heading4"/>
        <w:spacing w:before="0"/>
        <w:ind w:left="570" w:right="106"/>
      </w:pPr>
      <w:r>
        <w:rPr/>
        <w:t>VI.4.1 Análisis de muestras sanguíneas</w:t>
      </w:r>
    </w:p>
    <w:p>
      <w:pPr>
        <w:pStyle w:val="BodyText"/>
        <w:rPr>
          <w:b/>
        </w:rPr>
      </w:pPr>
    </w:p>
    <w:p>
      <w:pPr>
        <w:pStyle w:val="BodyText"/>
        <w:rPr>
          <w:b/>
        </w:rPr>
      </w:pPr>
    </w:p>
    <w:p>
      <w:pPr>
        <w:pStyle w:val="BodyText"/>
        <w:spacing w:line="360" w:lineRule="auto"/>
        <w:ind w:left="102" w:right="121"/>
        <w:jc w:val="both"/>
      </w:pPr>
      <w:r>
        <w:rPr/>
        <w:t>Se llevó a cabo el análisis del hematocrito, la determinación de hemoglobina, el conteo de leucocitos, basófilos, eosinófilos y monocitos, utilizando un analizador automático de hematología (KontrolLab BC-700, DESEGO) y por medio de una cámara hemocitómetro (cámara de Neubauer) para el conteo manual.</w:t>
      </w:r>
    </w:p>
    <w:p>
      <w:pPr>
        <w:pStyle w:val="BodyText"/>
        <w:spacing w:line="355" w:lineRule="auto" w:before="2"/>
        <w:ind w:left="102" w:right="115"/>
        <w:jc w:val="both"/>
        <w:rPr>
          <w:b/>
          <w:sz w:val="16"/>
        </w:rPr>
      </w:pPr>
      <w:r>
        <w:rPr/>
        <w:t>También se realizaron extendidos sanguíneos sobre portaobjetos y teñidos con Wright para ser observados en el microscopio óptico. (Carl Zeiss, PrimoStar) </w:t>
      </w:r>
      <w:r>
        <w:rPr>
          <w:position w:val="8"/>
          <w:sz w:val="16"/>
        </w:rPr>
        <w:t>(</w:t>
      </w:r>
      <w:r>
        <w:rPr>
          <w:b/>
          <w:position w:val="8"/>
          <w:sz w:val="16"/>
        </w:rPr>
        <w:t>Anexo </w:t>
      </w:r>
      <w:r>
        <w:rPr>
          <w:b/>
          <w:sz w:val="16"/>
        </w:rPr>
        <w:t>3)</w:t>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10"/>
        <w:rPr>
          <w:b/>
          <w:sz w:val="17"/>
        </w:rPr>
      </w:pPr>
    </w:p>
    <w:p>
      <w:pPr>
        <w:pStyle w:val="Heading4"/>
        <w:spacing w:before="0"/>
        <w:jc w:val="both"/>
      </w:pPr>
      <w:r>
        <w:rPr/>
        <w:t>VI.5 Muestras serológicas</w:t>
      </w:r>
    </w:p>
    <w:p>
      <w:pPr>
        <w:pStyle w:val="BodyText"/>
        <w:spacing w:line="360" w:lineRule="auto" w:before="139"/>
        <w:ind w:left="102" w:right="116"/>
        <w:jc w:val="both"/>
      </w:pPr>
      <w:r>
        <w:rPr/>
        <w:t>Una</w:t>
      </w:r>
      <w:r>
        <w:rPr>
          <w:spacing w:val="-14"/>
        </w:rPr>
        <w:t> </w:t>
      </w:r>
      <w:r>
        <w:rPr/>
        <w:t>segunda</w:t>
      </w:r>
      <w:r>
        <w:rPr>
          <w:spacing w:val="-17"/>
        </w:rPr>
        <w:t> </w:t>
      </w:r>
      <w:r>
        <w:rPr/>
        <w:t>muestra</w:t>
      </w:r>
      <w:r>
        <w:rPr>
          <w:spacing w:val="-17"/>
        </w:rPr>
        <w:t> </w:t>
      </w:r>
      <w:r>
        <w:rPr/>
        <w:t>sanguínea</w:t>
      </w:r>
      <w:r>
        <w:rPr>
          <w:spacing w:val="-14"/>
        </w:rPr>
        <w:t> </w:t>
      </w:r>
      <w:r>
        <w:rPr/>
        <w:t>colectada</w:t>
      </w:r>
      <w:r>
        <w:rPr>
          <w:spacing w:val="-14"/>
        </w:rPr>
        <w:t> </w:t>
      </w:r>
      <w:r>
        <w:rPr/>
        <w:t>por</w:t>
      </w:r>
      <w:r>
        <w:rPr>
          <w:spacing w:val="-16"/>
        </w:rPr>
        <w:t> </w:t>
      </w:r>
      <w:r>
        <w:rPr/>
        <w:t>punción</w:t>
      </w:r>
      <w:r>
        <w:rPr>
          <w:spacing w:val="-14"/>
        </w:rPr>
        <w:t> </w:t>
      </w:r>
      <w:r>
        <w:rPr/>
        <w:t>de</w:t>
      </w:r>
      <w:r>
        <w:rPr>
          <w:spacing w:val="-14"/>
        </w:rPr>
        <w:t> </w:t>
      </w:r>
      <w:r>
        <w:rPr/>
        <w:t>vena</w:t>
      </w:r>
      <w:r>
        <w:rPr>
          <w:spacing w:val="-14"/>
        </w:rPr>
        <w:t> </w:t>
      </w:r>
      <w:r>
        <w:rPr/>
        <w:t>yugular.</w:t>
      </w:r>
      <w:r>
        <w:rPr>
          <w:spacing w:val="-15"/>
        </w:rPr>
        <w:t> </w:t>
      </w:r>
      <w:r>
        <w:rPr/>
        <w:t>(Aguja</w:t>
      </w:r>
      <w:r>
        <w:rPr>
          <w:spacing w:val="-14"/>
        </w:rPr>
        <w:t> </w:t>
      </w:r>
      <w:r>
        <w:rPr/>
        <w:t>BD Flashback) era colectada en tubos (BD Vacutainer para suero con activador de coagulación),</w:t>
      </w:r>
      <w:r>
        <w:rPr>
          <w:spacing w:val="-8"/>
        </w:rPr>
        <w:t> </w:t>
      </w:r>
      <w:r>
        <w:rPr/>
        <w:t>después</w:t>
      </w:r>
      <w:r>
        <w:rPr>
          <w:spacing w:val="-8"/>
        </w:rPr>
        <w:t> </w:t>
      </w:r>
      <w:r>
        <w:rPr/>
        <w:t>de</w:t>
      </w:r>
      <w:r>
        <w:rPr>
          <w:spacing w:val="-7"/>
        </w:rPr>
        <w:t> </w:t>
      </w:r>
      <w:r>
        <w:rPr/>
        <w:t>la</w:t>
      </w:r>
      <w:r>
        <w:rPr>
          <w:spacing w:val="-5"/>
        </w:rPr>
        <w:t> </w:t>
      </w:r>
      <w:r>
        <w:rPr/>
        <w:t>separación</w:t>
      </w:r>
      <w:r>
        <w:rPr>
          <w:spacing w:val="-7"/>
        </w:rPr>
        <w:t> </w:t>
      </w:r>
      <w:r>
        <w:rPr/>
        <w:t>del</w:t>
      </w:r>
      <w:r>
        <w:rPr>
          <w:spacing w:val="-6"/>
        </w:rPr>
        <w:t> </w:t>
      </w:r>
      <w:r>
        <w:rPr/>
        <w:t>suero,</w:t>
      </w:r>
      <w:r>
        <w:rPr>
          <w:spacing w:val="-7"/>
        </w:rPr>
        <w:t> </w:t>
      </w:r>
      <w:r>
        <w:rPr/>
        <w:t>una</w:t>
      </w:r>
      <w:r>
        <w:rPr>
          <w:spacing w:val="2"/>
        </w:rPr>
        <w:t> </w:t>
      </w:r>
      <w:r>
        <w:rPr/>
        <w:t>parte</w:t>
      </w:r>
      <w:r>
        <w:rPr>
          <w:spacing w:val="-5"/>
        </w:rPr>
        <w:t> </w:t>
      </w:r>
      <w:r>
        <w:rPr/>
        <w:t>se</w:t>
      </w:r>
      <w:r>
        <w:rPr>
          <w:spacing w:val="-7"/>
        </w:rPr>
        <w:t> </w:t>
      </w:r>
      <w:r>
        <w:rPr/>
        <w:t>almaceno</w:t>
      </w:r>
      <w:r>
        <w:rPr>
          <w:spacing w:val="-5"/>
        </w:rPr>
        <w:t> </w:t>
      </w:r>
      <w:r>
        <w:rPr/>
        <w:t>en</w:t>
      </w:r>
      <w:r>
        <w:rPr>
          <w:spacing w:val="-5"/>
        </w:rPr>
        <w:t> </w:t>
      </w:r>
      <w:r>
        <w:rPr/>
        <w:t>viales (cryoclear</w:t>
      </w:r>
      <w:r>
        <w:rPr>
          <w:spacing w:val="-20"/>
        </w:rPr>
        <w:t> </w:t>
      </w:r>
      <w:r>
        <w:rPr/>
        <w:t>conical</w:t>
      </w:r>
      <w:r>
        <w:rPr>
          <w:spacing w:val="-20"/>
        </w:rPr>
        <w:t> </w:t>
      </w:r>
      <w:r>
        <w:rPr/>
        <w:t>bottom</w:t>
      </w:r>
      <w:r>
        <w:rPr>
          <w:spacing w:val="-18"/>
        </w:rPr>
        <w:t> </w:t>
      </w:r>
      <w:r>
        <w:rPr/>
        <w:t>1.0ml)</w:t>
      </w:r>
      <w:r>
        <w:rPr>
          <w:spacing w:val="-5"/>
        </w:rPr>
        <w:t> </w:t>
      </w:r>
      <w:r>
        <w:rPr/>
        <w:t>que</w:t>
      </w:r>
      <w:r>
        <w:rPr>
          <w:spacing w:val="-21"/>
        </w:rPr>
        <w:t> </w:t>
      </w:r>
      <w:r>
        <w:rPr/>
        <w:t>eran</w:t>
      </w:r>
      <w:r>
        <w:rPr>
          <w:spacing w:val="-19"/>
        </w:rPr>
        <w:t> </w:t>
      </w:r>
      <w:r>
        <w:rPr/>
        <w:t>guardados</w:t>
      </w:r>
      <w:r>
        <w:rPr>
          <w:spacing w:val="-20"/>
        </w:rPr>
        <w:t> </w:t>
      </w:r>
      <w:r>
        <w:rPr/>
        <w:t>en</w:t>
      </w:r>
      <w:r>
        <w:rPr>
          <w:spacing w:val="-21"/>
        </w:rPr>
        <w:t> </w:t>
      </w:r>
      <w:r>
        <w:rPr/>
        <w:t>un</w:t>
      </w:r>
      <w:r>
        <w:rPr>
          <w:spacing w:val="-19"/>
        </w:rPr>
        <w:t> </w:t>
      </w:r>
      <w:r>
        <w:rPr/>
        <w:t>contenedor</w:t>
      </w:r>
      <w:r>
        <w:rPr>
          <w:spacing w:val="-20"/>
        </w:rPr>
        <w:t> </w:t>
      </w:r>
      <w:r>
        <w:rPr/>
        <w:t>de</w:t>
      </w:r>
      <w:r>
        <w:rPr>
          <w:spacing w:val="29"/>
        </w:rPr>
        <w:t> </w:t>
      </w:r>
      <w:r>
        <w:rPr/>
        <w:t>nitrógeno líquido a -70 °C (Taylor Wharton CX100 Cryo Express 4.4 lts) para el aislamiento viral</w:t>
      </w:r>
      <w:r>
        <w:rPr>
          <w:spacing w:val="-11"/>
        </w:rPr>
        <w:t> </w:t>
      </w:r>
      <w:r>
        <w:rPr/>
        <w:t>y</w:t>
      </w:r>
      <w:r>
        <w:rPr>
          <w:spacing w:val="-13"/>
        </w:rPr>
        <w:t> </w:t>
      </w:r>
      <w:r>
        <w:rPr/>
        <w:t>la</w:t>
      </w:r>
      <w:r>
        <w:rPr>
          <w:spacing w:val="-10"/>
        </w:rPr>
        <w:t> </w:t>
      </w:r>
      <w:r>
        <w:rPr/>
        <w:t>otra</w:t>
      </w:r>
      <w:r>
        <w:rPr>
          <w:spacing w:val="-12"/>
        </w:rPr>
        <w:t> </w:t>
      </w:r>
      <w:r>
        <w:rPr/>
        <w:t>parte</w:t>
      </w:r>
      <w:r>
        <w:rPr>
          <w:spacing w:val="-12"/>
        </w:rPr>
        <w:t> </w:t>
      </w:r>
      <w:r>
        <w:rPr/>
        <w:t>era</w:t>
      </w:r>
      <w:r>
        <w:rPr>
          <w:spacing w:val="-15"/>
        </w:rPr>
        <w:t> </w:t>
      </w:r>
      <w:r>
        <w:rPr/>
        <w:t>refrigerada</w:t>
      </w:r>
      <w:r>
        <w:rPr>
          <w:spacing w:val="-12"/>
        </w:rPr>
        <w:t> </w:t>
      </w:r>
      <w:r>
        <w:rPr/>
        <w:t>a</w:t>
      </w:r>
      <w:r>
        <w:rPr>
          <w:spacing w:val="-12"/>
        </w:rPr>
        <w:t> </w:t>
      </w:r>
      <w:r>
        <w:rPr/>
        <w:t>7</w:t>
      </w:r>
      <w:r>
        <w:rPr>
          <w:spacing w:val="-12"/>
        </w:rPr>
        <w:t> </w:t>
      </w:r>
      <w:r>
        <w:rPr/>
        <w:t>°</w:t>
      </w:r>
      <w:r>
        <w:rPr>
          <w:spacing w:val="-11"/>
        </w:rPr>
        <w:t> </w:t>
      </w:r>
      <w:r>
        <w:rPr/>
        <w:t>C</w:t>
      </w:r>
      <w:r>
        <w:rPr>
          <w:spacing w:val="-11"/>
        </w:rPr>
        <w:t> </w:t>
      </w:r>
      <w:r>
        <w:rPr/>
        <w:t>(Mabe,</w:t>
      </w:r>
      <w:r>
        <w:rPr>
          <w:spacing w:val="-9"/>
        </w:rPr>
        <w:t> </w:t>
      </w:r>
      <w:r>
        <w:rPr/>
        <w:t>Frigobar</w:t>
      </w:r>
      <w:r>
        <w:rPr>
          <w:spacing w:val="-14"/>
        </w:rPr>
        <w:t> </w:t>
      </w:r>
      <w:r>
        <w:rPr/>
        <w:t>104.77</w:t>
      </w:r>
      <w:r>
        <w:rPr>
          <w:spacing w:val="-10"/>
        </w:rPr>
        <w:t> </w:t>
      </w:r>
      <w:r>
        <w:rPr/>
        <w:t>L)</w:t>
      </w:r>
      <w:r>
        <w:rPr>
          <w:spacing w:val="-11"/>
        </w:rPr>
        <w:t> </w:t>
      </w:r>
      <w:r>
        <w:rPr/>
        <w:t>para</w:t>
      </w:r>
      <w:r>
        <w:rPr>
          <w:spacing w:val="-10"/>
        </w:rPr>
        <w:t> </w:t>
      </w:r>
      <w:r>
        <w:rPr/>
        <w:t>su</w:t>
      </w:r>
      <w:r>
        <w:rPr>
          <w:spacing w:val="-12"/>
        </w:rPr>
        <w:t> </w:t>
      </w:r>
      <w:r>
        <w:rPr/>
        <w:t>análisis serológico.</w:t>
      </w:r>
    </w:p>
    <w:p>
      <w:pPr>
        <w:spacing w:after="0" w:line="360" w:lineRule="auto"/>
        <w:jc w:val="both"/>
        <w:sectPr>
          <w:pgSz w:w="12240" w:h="15840"/>
          <w:pgMar w:header="0" w:footer="1104" w:top="1360" w:bottom="1320" w:left="1600" w:right="1580"/>
        </w:sectPr>
      </w:pPr>
    </w:p>
    <w:p>
      <w:pPr>
        <w:pStyle w:val="Heading4"/>
        <w:ind w:left="169"/>
        <w:jc w:val="both"/>
      </w:pPr>
      <w:r>
        <w:rPr/>
        <w:t>VI.5.1 Análisis Serológico</w:t>
      </w:r>
    </w:p>
    <w:p>
      <w:pPr>
        <w:pStyle w:val="BodyText"/>
        <w:spacing w:line="360" w:lineRule="auto" w:before="139"/>
        <w:ind w:left="102" w:right="115" w:firstLine="67"/>
        <w:jc w:val="both"/>
      </w:pPr>
      <w:r>
        <w:rPr/>
        <w:t>Prueba</w:t>
      </w:r>
      <w:r>
        <w:rPr>
          <w:spacing w:val="-16"/>
        </w:rPr>
        <w:t> </w:t>
      </w:r>
      <w:r>
        <w:rPr/>
        <w:t>de</w:t>
      </w:r>
      <w:r>
        <w:rPr>
          <w:spacing w:val="-15"/>
        </w:rPr>
        <w:t> </w:t>
      </w:r>
      <w:r>
        <w:rPr/>
        <w:t>Neutralización</w:t>
      </w:r>
      <w:r>
        <w:rPr>
          <w:spacing w:val="-14"/>
        </w:rPr>
        <w:t> </w:t>
      </w:r>
      <w:r>
        <w:rPr/>
        <w:t>por</w:t>
      </w:r>
      <w:r>
        <w:rPr>
          <w:spacing w:val="-15"/>
        </w:rPr>
        <w:t> </w:t>
      </w:r>
      <w:r>
        <w:rPr/>
        <w:t>Reducción</w:t>
      </w:r>
      <w:r>
        <w:rPr>
          <w:spacing w:val="-14"/>
        </w:rPr>
        <w:t> </w:t>
      </w:r>
      <w:r>
        <w:rPr/>
        <w:t>de</w:t>
      </w:r>
      <w:r>
        <w:rPr>
          <w:spacing w:val="-16"/>
        </w:rPr>
        <w:t> </w:t>
      </w:r>
      <w:r>
        <w:rPr/>
        <w:t>Placas</w:t>
      </w:r>
      <w:r>
        <w:rPr>
          <w:spacing w:val="-15"/>
        </w:rPr>
        <w:t> </w:t>
      </w:r>
      <w:r>
        <w:rPr/>
        <w:t>(PRNT</w:t>
      </w:r>
      <w:r>
        <w:rPr>
          <w:spacing w:val="-13"/>
        </w:rPr>
        <w:t> </w:t>
      </w:r>
      <w:r>
        <w:rPr/>
        <w:t>por</w:t>
      </w:r>
      <w:r>
        <w:rPr>
          <w:spacing w:val="-15"/>
        </w:rPr>
        <w:t> </w:t>
      </w:r>
      <w:r>
        <w:rPr/>
        <w:t>sus</w:t>
      </w:r>
      <w:r>
        <w:rPr>
          <w:spacing w:val="-16"/>
        </w:rPr>
        <w:t> </w:t>
      </w:r>
      <w:r>
        <w:rPr/>
        <w:t>siglas</w:t>
      </w:r>
      <w:r>
        <w:rPr>
          <w:spacing w:val="-14"/>
        </w:rPr>
        <w:t> </w:t>
      </w:r>
      <w:r>
        <w:rPr/>
        <w:t>en</w:t>
      </w:r>
      <w:r>
        <w:rPr>
          <w:spacing w:val="37"/>
        </w:rPr>
        <w:t> </w:t>
      </w:r>
      <w:r>
        <w:rPr/>
        <w:t>inglés) En una campana de flujo laminar se realizaron diluciones seriadas con Dulbecco's Modified Eagle Medium (DMEM) (ThermoFisher Scientific) con 5% de suero fetal bovino (SFB) (Sigma-Aldrich) desde 1:10 a 1:1024 de cada muestra de suero, previamente inactivados a 56° C por 30 minutos (para inactivar al</w:t>
      </w:r>
      <w:r>
        <w:rPr>
          <w:spacing w:val="-25"/>
        </w:rPr>
        <w:t> </w:t>
      </w:r>
      <w:r>
        <w:rPr/>
        <w:t>complemento)</w:t>
      </w:r>
    </w:p>
    <w:p>
      <w:pPr>
        <w:pStyle w:val="BodyText"/>
        <w:spacing w:line="360" w:lineRule="auto" w:before="2"/>
        <w:ind w:left="102" w:right="116"/>
        <w:jc w:val="both"/>
      </w:pPr>
      <w:r>
        <w:rPr/>
        <w:t>y fueron incubados (Thermo Scientific CO2 incubators) a 37° C por 1 hora con la dilución de trabajo del virus calculado previamente para dar 100 unidades formadoras de placas (UFP) del VEEV subtipo IE cepa 68U201 en el volumen final de la mezcla virus-suero.</w:t>
      </w:r>
    </w:p>
    <w:p>
      <w:pPr>
        <w:pStyle w:val="BodyText"/>
        <w:spacing w:line="360" w:lineRule="auto" w:before="2"/>
        <w:ind w:left="102" w:right="115"/>
        <w:jc w:val="both"/>
      </w:pPr>
      <w:r>
        <w:rPr/>
        <w:t>Después de la incubación, fueron inoculados 100 </w:t>
      </w:r>
      <w:r>
        <w:rPr>
          <w:spacing w:val="2"/>
        </w:rPr>
        <w:t>µl </w:t>
      </w:r>
      <w:r>
        <w:rPr/>
        <w:t>de la mezcla virus-suero</w:t>
      </w:r>
      <w:r>
        <w:rPr>
          <w:spacing w:val="-30"/>
        </w:rPr>
        <w:t> </w:t>
      </w:r>
      <w:r>
        <w:rPr/>
        <w:t>sobre una monocapa confluente de células de riñón de mono verde africano (VERO), previamente sembradas en placas de poliestireno de 12 pocillos (Corning Cell</w:t>
      </w:r>
      <w:r>
        <w:rPr>
          <w:spacing w:val="-30"/>
        </w:rPr>
        <w:t> </w:t>
      </w:r>
      <w:r>
        <w:rPr/>
        <w:t>Bind surface standard clear plate) y se incubaron a 37°C durante 1</w:t>
      </w:r>
      <w:r>
        <w:rPr>
          <w:spacing w:val="-26"/>
        </w:rPr>
        <w:t> </w:t>
      </w:r>
      <w:r>
        <w:rPr/>
        <w:t>hr.</w:t>
      </w:r>
    </w:p>
    <w:p>
      <w:pPr>
        <w:pStyle w:val="BodyText"/>
        <w:spacing w:line="360" w:lineRule="auto" w:before="163"/>
        <w:ind w:left="102" w:right="115"/>
        <w:jc w:val="both"/>
      </w:pPr>
      <w:r>
        <w:rPr/>
        <w:t>A</w:t>
      </w:r>
      <w:r>
        <w:rPr>
          <w:spacing w:val="-17"/>
        </w:rPr>
        <w:t> </w:t>
      </w:r>
      <w:r>
        <w:rPr/>
        <w:t>continuación</w:t>
      </w:r>
      <w:r>
        <w:rPr>
          <w:spacing w:val="-18"/>
        </w:rPr>
        <w:t> </w:t>
      </w:r>
      <w:r>
        <w:rPr/>
        <w:t>una</w:t>
      </w:r>
      <w:r>
        <w:rPr>
          <w:spacing w:val="-16"/>
        </w:rPr>
        <w:t> </w:t>
      </w:r>
      <w:r>
        <w:rPr/>
        <w:t>capa</w:t>
      </w:r>
      <w:r>
        <w:rPr>
          <w:spacing w:val="-17"/>
        </w:rPr>
        <w:t> </w:t>
      </w:r>
      <w:r>
        <w:rPr/>
        <w:t>de</w:t>
      </w:r>
      <w:r>
        <w:rPr>
          <w:spacing w:val="-19"/>
        </w:rPr>
        <w:t> </w:t>
      </w:r>
      <w:r>
        <w:rPr/>
        <w:t>agarosa</w:t>
      </w:r>
      <w:r>
        <w:rPr>
          <w:spacing w:val="34"/>
        </w:rPr>
        <w:t> </w:t>
      </w:r>
      <w:r>
        <w:rPr/>
        <w:t>(Gibco®</w:t>
      </w:r>
      <w:r>
        <w:rPr>
          <w:spacing w:val="-19"/>
        </w:rPr>
        <w:t> </w:t>
      </w:r>
      <w:r>
        <w:rPr/>
        <w:t>low</w:t>
      </w:r>
      <w:r>
        <w:rPr>
          <w:spacing w:val="-20"/>
        </w:rPr>
        <w:t> </w:t>
      </w:r>
      <w:r>
        <w:rPr/>
        <w:t>melting</w:t>
      </w:r>
      <w:r>
        <w:rPr>
          <w:spacing w:val="-18"/>
        </w:rPr>
        <w:t> </w:t>
      </w:r>
      <w:r>
        <w:rPr/>
        <w:t>point</w:t>
      </w:r>
      <w:r>
        <w:rPr>
          <w:spacing w:val="-19"/>
        </w:rPr>
        <w:t> </w:t>
      </w:r>
      <w:r>
        <w:rPr/>
        <w:t>4%</w:t>
      </w:r>
      <w:r>
        <w:rPr>
          <w:spacing w:val="-20"/>
        </w:rPr>
        <w:t> </w:t>
      </w:r>
      <w:r>
        <w:rPr/>
        <w:t>Agarosa</w:t>
      </w:r>
      <w:r>
        <w:rPr>
          <w:spacing w:val="-19"/>
        </w:rPr>
        <w:t> </w:t>
      </w:r>
      <w:r>
        <w:rPr/>
        <w:t>Thermo Fisher</w:t>
      </w:r>
      <w:r>
        <w:rPr>
          <w:spacing w:val="-12"/>
        </w:rPr>
        <w:t> </w:t>
      </w:r>
      <w:r>
        <w:rPr/>
        <w:t>Scientific)</w:t>
      </w:r>
      <w:r>
        <w:rPr>
          <w:spacing w:val="-12"/>
        </w:rPr>
        <w:t> </w:t>
      </w:r>
      <w:r>
        <w:rPr/>
        <w:t>se</w:t>
      </w:r>
      <w:r>
        <w:rPr>
          <w:spacing w:val="-15"/>
        </w:rPr>
        <w:t> </w:t>
      </w:r>
      <w:r>
        <w:rPr/>
        <w:t>aplicó</w:t>
      </w:r>
      <w:r>
        <w:rPr>
          <w:spacing w:val="-11"/>
        </w:rPr>
        <w:t> </w:t>
      </w:r>
      <w:r>
        <w:rPr/>
        <w:t>a</w:t>
      </w:r>
      <w:r>
        <w:rPr>
          <w:spacing w:val="-13"/>
        </w:rPr>
        <w:t> </w:t>
      </w:r>
      <w:r>
        <w:rPr/>
        <w:t>cada</w:t>
      </w:r>
      <w:r>
        <w:rPr>
          <w:spacing w:val="-13"/>
        </w:rPr>
        <w:t> </w:t>
      </w:r>
      <w:r>
        <w:rPr/>
        <w:t>pocillo</w:t>
      </w:r>
      <w:r>
        <w:rPr>
          <w:spacing w:val="-13"/>
        </w:rPr>
        <w:t> </w:t>
      </w:r>
      <w:r>
        <w:rPr/>
        <w:t>y</w:t>
      </w:r>
      <w:r>
        <w:rPr>
          <w:spacing w:val="-14"/>
        </w:rPr>
        <w:t> </w:t>
      </w:r>
      <w:r>
        <w:rPr/>
        <w:t>se</w:t>
      </w:r>
      <w:r>
        <w:rPr>
          <w:spacing w:val="-11"/>
        </w:rPr>
        <w:t> </w:t>
      </w:r>
      <w:r>
        <w:rPr/>
        <w:t>incubó</w:t>
      </w:r>
      <w:r>
        <w:rPr>
          <w:spacing w:val="-13"/>
        </w:rPr>
        <w:t> </w:t>
      </w:r>
      <w:r>
        <w:rPr/>
        <w:t>a</w:t>
      </w:r>
      <w:r>
        <w:rPr>
          <w:spacing w:val="-10"/>
        </w:rPr>
        <w:t> </w:t>
      </w:r>
      <w:r>
        <w:rPr/>
        <w:t>37°</w:t>
      </w:r>
      <w:r>
        <w:rPr>
          <w:spacing w:val="-13"/>
        </w:rPr>
        <w:t> </w:t>
      </w:r>
      <w:r>
        <w:rPr/>
        <w:t>C</w:t>
      </w:r>
      <w:r>
        <w:rPr>
          <w:spacing w:val="-12"/>
        </w:rPr>
        <w:t> </w:t>
      </w:r>
      <w:r>
        <w:rPr/>
        <w:t>durante</w:t>
      </w:r>
      <w:r>
        <w:rPr>
          <w:spacing w:val="-13"/>
        </w:rPr>
        <w:t> </w:t>
      </w:r>
      <w:r>
        <w:rPr/>
        <w:t>48</w:t>
      </w:r>
      <w:r>
        <w:rPr>
          <w:spacing w:val="-13"/>
        </w:rPr>
        <w:t> </w:t>
      </w:r>
      <w:r>
        <w:rPr/>
        <w:t>horas</w:t>
      </w:r>
      <w:r>
        <w:rPr>
          <w:spacing w:val="-13"/>
        </w:rPr>
        <w:t> </w:t>
      </w:r>
      <w:r>
        <w:rPr/>
        <w:t>antes de ser fijado en formalina al 10% (Sigma-Aldrich) y se tiñó con 20 % metanol /</w:t>
      </w:r>
      <w:r>
        <w:rPr>
          <w:spacing w:val="-20"/>
        </w:rPr>
        <w:t> </w:t>
      </w:r>
      <w:r>
        <w:rPr/>
        <w:t>0.25</w:t>
      </w:r>
    </w:p>
    <w:p>
      <w:pPr>
        <w:pStyle w:val="BodyText"/>
        <w:spacing w:before="2"/>
        <w:ind w:left="102"/>
        <w:jc w:val="both"/>
      </w:pPr>
      <w:r>
        <w:rPr/>
        <w:t>% de cristal violeta.</w:t>
      </w:r>
    </w:p>
    <w:p>
      <w:pPr>
        <w:pStyle w:val="BodyText"/>
        <w:spacing w:line="360" w:lineRule="auto" w:before="139"/>
        <w:ind w:left="102" w:right="115"/>
        <w:jc w:val="both"/>
      </w:pPr>
      <w:r>
        <w:rPr>
          <w:position w:val="1"/>
        </w:rPr>
        <w:t>Para cada suero se contó el número de placas virales, los titulos PRNT</w:t>
      </w:r>
      <w:r>
        <w:rPr>
          <w:sz w:val="16"/>
        </w:rPr>
        <w:t>80 </w:t>
      </w:r>
      <w:r>
        <w:rPr>
          <w:position w:val="1"/>
        </w:rPr>
        <w:t>se </w:t>
      </w:r>
      <w:r>
        <w:rPr/>
        <w:t>determinaron de acuerdo a la dilución que reduce las placas al 80% y resultado de las cantidades no neutralizables. Todos los sueros se procesaron por duplicado y el promedio de los títulos fue el titulo definitivo.</w:t>
      </w:r>
    </w:p>
    <w:p>
      <w:pPr>
        <w:spacing w:after="0" w:line="360" w:lineRule="auto"/>
        <w:jc w:val="both"/>
        <w:sectPr>
          <w:pgSz w:w="12240" w:h="15840"/>
          <w:pgMar w:header="0" w:footer="1104" w:top="1360" w:bottom="1300" w:left="1600" w:right="1580"/>
        </w:sectPr>
      </w:pPr>
    </w:p>
    <w:p>
      <w:pPr>
        <w:pStyle w:val="Heading4"/>
        <w:jc w:val="both"/>
      </w:pPr>
      <w:r>
        <w:rPr/>
        <w:t>VI.5.1.b Aislamiento viral</w:t>
      </w:r>
    </w:p>
    <w:p>
      <w:pPr>
        <w:pStyle w:val="BodyText"/>
        <w:rPr>
          <w:b/>
        </w:rPr>
      </w:pPr>
    </w:p>
    <w:p>
      <w:pPr>
        <w:pStyle w:val="BodyText"/>
        <w:rPr>
          <w:b/>
        </w:rPr>
      </w:pPr>
    </w:p>
    <w:p>
      <w:pPr>
        <w:pStyle w:val="BodyText"/>
        <w:spacing w:line="360" w:lineRule="auto"/>
        <w:ind w:left="102" w:right="117"/>
        <w:jc w:val="both"/>
      </w:pPr>
      <w:r>
        <w:rPr/>
        <w:t>Una parte del suero recolectado diariamente se almaceno en viales (cryoclear conical bottom 1.0ml) y fue utilizado para aislamiento viral.</w:t>
      </w:r>
    </w:p>
    <w:p>
      <w:pPr>
        <w:pStyle w:val="BodyText"/>
        <w:spacing w:line="360" w:lineRule="auto" w:before="163"/>
        <w:ind w:left="102" w:right="115"/>
        <w:jc w:val="both"/>
      </w:pPr>
      <w:r>
        <w:rPr/>
        <w:t>Diluciones de 1:5, 1:10 y 1:100 se añadieron a frascos de 25 cm 2 que contenían células VERO de 72 hrs. Se permitió que el inoculo se absorbiera en las células durante una hora a 37°C. Posteriormente el inoculo era desechado y se añadía 10 ml</w:t>
      </w:r>
      <w:r>
        <w:rPr>
          <w:spacing w:val="-13"/>
        </w:rPr>
        <w:t> </w:t>
      </w:r>
      <w:r>
        <w:rPr/>
        <w:t>de</w:t>
      </w:r>
      <w:r>
        <w:rPr>
          <w:spacing w:val="-12"/>
        </w:rPr>
        <w:t> </w:t>
      </w:r>
      <w:r>
        <w:rPr/>
        <w:t>Medio</w:t>
      </w:r>
      <w:r>
        <w:rPr>
          <w:spacing w:val="-14"/>
        </w:rPr>
        <w:t> </w:t>
      </w:r>
      <w:r>
        <w:rPr/>
        <w:t>Mínimo</w:t>
      </w:r>
      <w:r>
        <w:rPr>
          <w:spacing w:val="-12"/>
        </w:rPr>
        <w:t> </w:t>
      </w:r>
      <w:r>
        <w:rPr/>
        <w:t>Escencial</w:t>
      </w:r>
      <w:r>
        <w:rPr>
          <w:spacing w:val="-13"/>
        </w:rPr>
        <w:t> </w:t>
      </w:r>
      <w:r>
        <w:rPr/>
        <w:t>(Minimum</w:t>
      </w:r>
      <w:r>
        <w:rPr>
          <w:spacing w:val="-14"/>
        </w:rPr>
        <w:t> </w:t>
      </w:r>
      <w:r>
        <w:rPr/>
        <w:t>Essential</w:t>
      </w:r>
      <w:r>
        <w:rPr>
          <w:spacing w:val="-13"/>
        </w:rPr>
        <w:t> </w:t>
      </w:r>
      <w:r>
        <w:rPr/>
        <w:t>Media,</w:t>
      </w:r>
      <w:r>
        <w:rPr>
          <w:spacing w:val="-14"/>
        </w:rPr>
        <w:t> </w:t>
      </w:r>
      <w:r>
        <w:rPr/>
        <w:t>Thermo</w:t>
      </w:r>
      <w:r>
        <w:rPr>
          <w:spacing w:val="-12"/>
        </w:rPr>
        <w:t> </w:t>
      </w:r>
      <w:r>
        <w:rPr/>
        <w:t>Fisher</w:t>
      </w:r>
      <w:r>
        <w:rPr>
          <w:spacing w:val="-13"/>
        </w:rPr>
        <w:t> </w:t>
      </w:r>
      <w:r>
        <w:rPr/>
        <w:t>Scientific) con 2% de suero de ternera. Los frascos se incubaron durante 5-6 dias a 37°C y fueron examinados diariamente buscando el efecto citopático (CPE por </w:t>
      </w:r>
      <w:r>
        <w:rPr>
          <w:spacing w:val="3"/>
        </w:rPr>
        <w:t>sus </w:t>
      </w:r>
      <w:r>
        <w:rPr/>
        <w:t>siglas en ingles). Si transcurridos 6 días después de la incubación no se observaba CPE, las muestras eran pasadas dos veces más antes de declarar la muestra negativa de aislamiento</w:t>
      </w:r>
      <w:r>
        <w:rPr>
          <w:spacing w:val="-7"/>
        </w:rPr>
        <w:t> </w:t>
      </w:r>
      <w:r>
        <w:rPr/>
        <w:t>viral.</w:t>
      </w:r>
    </w:p>
    <w:p>
      <w:pPr>
        <w:pStyle w:val="BodyText"/>
      </w:pPr>
    </w:p>
    <w:p>
      <w:pPr>
        <w:pStyle w:val="BodyText"/>
        <w:spacing w:before="3"/>
        <w:rPr>
          <w:sz w:val="26"/>
        </w:rPr>
      </w:pPr>
    </w:p>
    <w:p>
      <w:pPr>
        <w:pStyle w:val="Heading4"/>
        <w:numPr>
          <w:ilvl w:val="0"/>
          <w:numId w:val="13"/>
        </w:numPr>
        <w:tabs>
          <w:tab w:pos="464" w:val="left" w:leader="none"/>
        </w:tabs>
        <w:spacing w:line="240" w:lineRule="auto" w:before="1" w:after="0"/>
        <w:ind w:left="463" w:right="0" w:hanging="361"/>
        <w:jc w:val="both"/>
      </w:pPr>
      <w:r>
        <w:rPr/>
        <w:t>6 Estudios</w:t>
      </w:r>
      <w:r>
        <w:rPr>
          <w:spacing w:val="-6"/>
        </w:rPr>
        <w:t> </w:t>
      </w:r>
      <w:r>
        <w:rPr/>
        <w:t>Histopatológicos.</w:t>
      </w:r>
    </w:p>
    <w:p>
      <w:pPr>
        <w:pStyle w:val="BodyText"/>
        <w:rPr>
          <w:b/>
        </w:rPr>
      </w:pPr>
    </w:p>
    <w:p>
      <w:pPr>
        <w:pStyle w:val="BodyText"/>
        <w:rPr>
          <w:b/>
        </w:rPr>
      </w:pPr>
    </w:p>
    <w:p>
      <w:pPr>
        <w:pStyle w:val="BodyText"/>
        <w:ind w:left="102"/>
        <w:jc w:val="both"/>
      </w:pPr>
      <w:r>
        <w:rPr/>
        <w:t>Tres equinos fueron eutanasiados de acuerdo a la Norma Oficial Mexicana</w:t>
      </w:r>
    </w:p>
    <w:p>
      <w:pPr>
        <w:pStyle w:val="BodyText"/>
        <w:spacing w:line="360" w:lineRule="auto" w:before="137"/>
        <w:ind w:left="102" w:right="118"/>
        <w:jc w:val="both"/>
      </w:pPr>
      <w:r>
        <w:rPr/>
        <w:t>NOM-033-SAG/ZOO-2014, “Métodos para dar muerte a los animales domésticos y silvestres (antes NOM-033-Z00-1995, Sacrificio Humanitario de los Animales Domésticos y Silvestres)</w:t>
      </w:r>
    </w:p>
    <w:p>
      <w:pPr>
        <w:pStyle w:val="BodyText"/>
        <w:spacing w:line="360" w:lineRule="auto" w:before="2"/>
        <w:ind w:left="102" w:right="120"/>
        <w:jc w:val="both"/>
      </w:pPr>
      <w:r>
        <w:rPr/>
        <w:t>Para</w:t>
      </w:r>
      <w:r>
        <w:rPr>
          <w:spacing w:val="-10"/>
        </w:rPr>
        <w:t> </w:t>
      </w:r>
      <w:r>
        <w:rPr/>
        <w:t>el</w:t>
      </w:r>
      <w:r>
        <w:rPr>
          <w:spacing w:val="-8"/>
        </w:rPr>
        <w:t> </w:t>
      </w:r>
      <w:r>
        <w:rPr/>
        <w:t>procedimiento</w:t>
      </w:r>
      <w:r>
        <w:rPr>
          <w:spacing w:val="-9"/>
        </w:rPr>
        <w:t> </w:t>
      </w:r>
      <w:r>
        <w:rPr/>
        <w:t>de</w:t>
      </w:r>
      <w:r>
        <w:rPr>
          <w:spacing w:val="-9"/>
        </w:rPr>
        <w:t> </w:t>
      </w:r>
      <w:r>
        <w:rPr/>
        <w:t>eutanasia</w:t>
      </w:r>
      <w:r>
        <w:rPr>
          <w:spacing w:val="-5"/>
        </w:rPr>
        <w:t> </w:t>
      </w:r>
      <w:r>
        <w:rPr/>
        <w:t>primero</w:t>
      </w:r>
      <w:r>
        <w:rPr>
          <w:spacing w:val="-10"/>
        </w:rPr>
        <w:t> </w:t>
      </w:r>
      <w:r>
        <w:rPr/>
        <w:t>se</w:t>
      </w:r>
      <w:r>
        <w:rPr>
          <w:spacing w:val="-7"/>
        </w:rPr>
        <w:t> </w:t>
      </w:r>
      <w:r>
        <w:rPr/>
        <w:t>inmovilizo</w:t>
      </w:r>
      <w:r>
        <w:rPr>
          <w:spacing w:val="-7"/>
        </w:rPr>
        <w:t> </w:t>
      </w:r>
      <w:r>
        <w:rPr/>
        <w:t>a</w:t>
      </w:r>
      <w:r>
        <w:rPr>
          <w:spacing w:val="-7"/>
        </w:rPr>
        <w:t> </w:t>
      </w:r>
      <w:r>
        <w:rPr/>
        <w:t>los</w:t>
      </w:r>
      <w:r>
        <w:rPr>
          <w:spacing w:val="-10"/>
        </w:rPr>
        <w:t> </w:t>
      </w:r>
      <w:r>
        <w:rPr/>
        <w:t>animales</w:t>
      </w:r>
      <w:r>
        <w:rPr>
          <w:spacing w:val="-7"/>
        </w:rPr>
        <w:t> </w:t>
      </w:r>
      <w:r>
        <w:rPr/>
        <w:t>y</w:t>
      </w:r>
      <w:r>
        <w:rPr>
          <w:spacing w:val="-10"/>
        </w:rPr>
        <w:t> </w:t>
      </w:r>
      <w:r>
        <w:rPr/>
        <w:t>se</w:t>
      </w:r>
      <w:r>
        <w:rPr>
          <w:spacing w:val="-9"/>
        </w:rPr>
        <w:t> </w:t>
      </w:r>
      <w:r>
        <w:rPr/>
        <w:t>indujo la tranquilizarían administrando xilacina por vía intramuscular a una dosis</w:t>
      </w:r>
      <w:r>
        <w:rPr>
          <w:spacing w:val="-29"/>
        </w:rPr>
        <w:t> </w:t>
      </w:r>
      <w:r>
        <w:rPr/>
        <w:t>de</w:t>
      </w:r>
    </w:p>
    <w:p>
      <w:pPr>
        <w:pStyle w:val="BodyText"/>
        <w:spacing w:before="2"/>
        <w:ind w:left="102"/>
        <w:jc w:val="both"/>
      </w:pPr>
      <w:r>
        <w:rPr/>
        <w:t>12.2 mg/kg de peso.</w:t>
      </w:r>
    </w:p>
    <w:p>
      <w:pPr>
        <w:pStyle w:val="BodyText"/>
        <w:spacing w:line="360" w:lineRule="auto" w:before="139"/>
        <w:ind w:left="102" w:right="123"/>
        <w:jc w:val="both"/>
      </w:pPr>
      <w:r>
        <w:rPr/>
        <w:t>Transcurridos 10 minutos se colocó un catéter en la vena yugular (catéter no. 14) para administrar el anestésico derivado de ácido barbitúrico (pentobarbital) a una dosis de 150 mg/kg  de peso.</w:t>
      </w:r>
    </w:p>
    <w:p>
      <w:pPr>
        <w:pStyle w:val="BodyText"/>
        <w:spacing w:line="360" w:lineRule="auto"/>
        <w:ind w:left="102" w:right="112"/>
        <w:jc w:val="both"/>
      </w:pPr>
      <w:r>
        <w:rPr/>
        <w:t>Se realizó la necropsia con todas las medidas de bioseguridad necesarias </w:t>
      </w:r>
      <w:r>
        <w:rPr>
          <w:position w:val="8"/>
          <w:sz w:val="16"/>
        </w:rPr>
        <w:t>(Anexo 4) </w:t>
      </w:r>
      <w:r>
        <w:rPr/>
        <w:t>y se tomaron muestras de materia gris y blanca de la porción anterior, media y posterior del cerebro, la médula oblongada y distintas porciones de la médula espinal así como corazón, pulmones, bazo, nódulos linfáticos e hígado.</w:t>
      </w:r>
    </w:p>
    <w:p>
      <w:pPr>
        <w:spacing w:after="0" w:line="360" w:lineRule="auto"/>
        <w:jc w:val="both"/>
        <w:sectPr>
          <w:pgSz w:w="12240" w:h="15840"/>
          <w:pgMar w:header="0" w:footer="1104" w:top="1360" w:bottom="1300" w:left="1600" w:right="1580"/>
        </w:sectPr>
      </w:pPr>
    </w:p>
    <w:p>
      <w:pPr>
        <w:pStyle w:val="BodyText"/>
        <w:spacing w:before="54"/>
        <w:ind w:left="102"/>
        <w:jc w:val="both"/>
      </w:pPr>
      <w:r>
        <w:rPr/>
        <w:t>Los  tejidos fueron  depositados en  viales  junto  con un  crioprotector  (Tissue Tek</w:t>
      </w:r>
    </w:p>
    <w:p>
      <w:pPr>
        <w:pStyle w:val="BodyText"/>
        <w:spacing w:line="360" w:lineRule="auto" w:before="139"/>
        <w:ind w:left="102" w:right="114"/>
        <w:jc w:val="both"/>
      </w:pPr>
      <w:r>
        <w:rPr/>
        <w:t>O.C.T. Embedding Compound) y almacenados en nitrógeno líquido para su posterior procesamiento. Antes de procesarse los tejidos se descongelan en hielo, se pesan y se agregan 600 µl de DMEM con un 2% de suero bovino fetal. Posteriormente las muestras se homogenizaron con el kit Quiagen Tissue Lyser II por 5 minutos a 26 p/sec y se centrifugan por 3 minutos a 12000 rpm para separar el medio del macerado. Finalmente se toman 50 µl y se distribuyen en monocapas de células Vero para incubar y observar efecto citopático (CPE) y determinar la presencia del virus en el tejido.</w:t>
      </w:r>
    </w:p>
    <w:p>
      <w:pPr>
        <w:pStyle w:val="BodyText"/>
        <w:spacing w:line="360" w:lineRule="auto" w:before="164"/>
        <w:ind w:left="102" w:right="115"/>
        <w:jc w:val="both"/>
      </w:pPr>
      <w:r>
        <w:rPr/>
        <w:t>A su vez muestras de tejido &lt;5 mm de grosor se fijaron en formalina buferada al 10% y se procesaron por métodos de rutina de fijación en parafina. Las muestras se</w:t>
      </w:r>
      <w:r>
        <w:rPr>
          <w:spacing w:val="-18"/>
        </w:rPr>
        <w:t> </w:t>
      </w:r>
      <w:r>
        <w:rPr/>
        <w:t>tiñeron</w:t>
      </w:r>
      <w:r>
        <w:rPr>
          <w:spacing w:val="-17"/>
        </w:rPr>
        <w:t> </w:t>
      </w:r>
      <w:r>
        <w:rPr/>
        <w:t>con</w:t>
      </w:r>
      <w:r>
        <w:rPr>
          <w:spacing w:val="-20"/>
        </w:rPr>
        <w:t> </w:t>
      </w:r>
      <w:r>
        <w:rPr/>
        <w:t>hematoxilina</w:t>
      </w:r>
      <w:r>
        <w:rPr>
          <w:spacing w:val="-18"/>
        </w:rPr>
        <w:t> </w:t>
      </w:r>
      <w:r>
        <w:rPr/>
        <w:t>y</w:t>
      </w:r>
      <w:r>
        <w:rPr>
          <w:spacing w:val="-21"/>
        </w:rPr>
        <w:t> </w:t>
      </w:r>
      <w:r>
        <w:rPr/>
        <w:t>eosina,</w:t>
      </w:r>
      <w:r>
        <w:rPr>
          <w:spacing w:val="-18"/>
        </w:rPr>
        <w:t> </w:t>
      </w:r>
      <w:r>
        <w:rPr/>
        <w:t>para</w:t>
      </w:r>
      <w:r>
        <w:rPr>
          <w:spacing w:val="-20"/>
        </w:rPr>
        <w:t> </w:t>
      </w:r>
      <w:r>
        <w:rPr/>
        <w:t>detectar</w:t>
      </w:r>
      <w:r>
        <w:rPr>
          <w:spacing w:val="-19"/>
        </w:rPr>
        <w:t> </w:t>
      </w:r>
      <w:r>
        <w:rPr/>
        <w:t>cambios</w:t>
      </w:r>
      <w:r>
        <w:rPr>
          <w:spacing w:val="-21"/>
        </w:rPr>
        <w:t> </w:t>
      </w:r>
      <w:r>
        <w:rPr/>
        <w:t>en</w:t>
      </w:r>
      <w:r>
        <w:rPr>
          <w:spacing w:val="-18"/>
        </w:rPr>
        <w:t> </w:t>
      </w:r>
      <w:r>
        <w:rPr/>
        <w:t>los</w:t>
      </w:r>
      <w:r>
        <w:rPr>
          <w:spacing w:val="-18"/>
        </w:rPr>
        <w:t> </w:t>
      </w:r>
      <w:r>
        <w:rPr/>
        <w:t>tejidos,</w:t>
      </w:r>
      <w:r>
        <w:rPr>
          <w:spacing w:val="-18"/>
        </w:rPr>
        <w:t> </w:t>
      </w:r>
      <w:r>
        <w:rPr/>
        <w:t>derivados de la replicación</w:t>
      </w:r>
      <w:r>
        <w:rPr>
          <w:spacing w:val="-9"/>
        </w:rPr>
        <w:t> </w:t>
      </w:r>
      <w:r>
        <w:rPr/>
        <w:t>viral.</w:t>
      </w:r>
    </w:p>
    <w:p>
      <w:pPr>
        <w:pStyle w:val="BodyText"/>
      </w:pPr>
    </w:p>
    <w:p>
      <w:pPr>
        <w:pStyle w:val="Heading4"/>
        <w:spacing w:before="142"/>
        <w:jc w:val="both"/>
      </w:pPr>
      <w:r>
        <w:rPr/>
        <w:t>VI.7 Análisis estadístico</w:t>
      </w:r>
    </w:p>
    <w:p>
      <w:pPr>
        <w:pStyle w:val="BodyText"/>
        <w:spacing w:line="362" w:lineRule="auto" w:before="137"/>
        <w:ind w:left="102" w:right="127"/>
        <w:jc w:val="both"/>
      </w:pPr>
      <w:r>
        <w:rPr/>
        <w:t>Para el análisis de los valores hematológicos se utilizó una prueba de T Student para muestras independientes. (Software Statistica).</w:t>
      </w:r>
    </w:p>
    <w:p>
      <w:pPr>
        <w:spacing w:after="0" w:line="362" w:lineRule="auto"/>
        <w:jc w:val="both"/>
        <w:sectPr>
          <w:pgSz w:w="12240" w:h="15840"/>
          <w:pgMar w:header="0" w:footer="1104" w:top="1360" w:bottom="1300" w:left="1600" w:right="1580"/>
        </w:sectPr>
      </w:pPr>
    </w:p>
    <w:p>
      <w:pPr>
        <w:pStyle w:val="Heading4"/>
        <w:numPr>
          <w:ilvl w:val="0"/>
          <w:numId w:val="13"/>
        </w:numPr>
        <w:tabs>
          <w:tab w:pos="3909" w:val="left" w:leader="none"/>
        </w:tabs>
        <w:spacing w:line="240" w:lineRule="auto" w:before="54" w:after="0"/>
        <w:ind w:left="3908" w:right="0" w:hanging="429"/>
        <w:jc w:val="left"/>
      </w:pPr>
      <w:r>
        <w:rPr/>
        <w:t>RESULTADOS</w:t>
      </w:r>
    </w:p>
    <w:p>
      <w:pPr>
        <w:pStyle w:val="BodyText"/>
        <w:rPr>
          <w:b/>
        </w:rPr>
      </w:pPr>
    </w:p>
    <w:p>
      <w:pPr>
        <w:pStyle w:val="BodyText"/>
        <w:rPr>
          <w:b/>
        </w:rPr>
      </w:pPr>
    </w:p>
    <w:p>
      <w:pPr>
        <w:pStyle w:val="BodyText"/>
        <w:spacing w:line="360" w:lineRule="auto"/>
        <w:ind w:left="102" w:right="153"/>
      </w:pPr>
      <w:r>
        <w:rPr/>
        <w:t>El equino 1 presentó un conteo de glóbulos blancos elevado los primeros cinco días que llegó a Minatitlán, los neutrófilos en banda se mantuvieron elevados durante 18 días, debido probablemente a la inflamación y la acumulación de pus en la herida quirúrgica del dispositivo medidor de temperatura. El valor de los eosinófilos presento un aumento, probablemente debido a una reacción alérgica o dermatosis derivada de las picaduras de mosquitos. En cuanto a la formula roja el conteo de glóbulos rojos, hemoglobina y el hematocrito se vieron disminuidos hasta el final del trabajo experimental. Hasta el día 10, el animal presento secreción nasal, postración, ataxia y ligero nistagmo unilateral derecho. El equino presento títulos de anticuerpos a partir del día 12, coincidiendo con el aumento en el porcentaje de linfocitos, aumento de la temperatura corporal, anorexia, secreción nasal, secreción ocular, postración, pedaleo y nistagmo unilateral derecho. A partir del día 16, el animal presento depresión, anorexia y los signos neurológicos como nistagmos bilateral, ataxia, pedaleo eran más severos, por lo que se tomó la decisión de eutanasiarlo el día 22 de la fase experimental. Se tomaron muestras de tejido para análisis histopatológico y para aislamiento</w:t>
      </w:r>
      <w:r>
        <w:rPr>
          <w:spacing w:val="-27"/>
        </w:rPr>
        <w:t> </w:t>
      </w:r>
      <w:r>
        <w:rPr/>
        <w:t>viral.</w:t>
      </w:r>
    </w:p>
    <w:p>
      <w:pPr>
        <w:pStyle w:val="BodyText"/>
        <w:spacing w:line="360" w:lineRule="auto" w:before="2"/>
        <w:ind w:left="102" w:right="117"/>
        <w:jc w:val="both"/>
      </w:pPr>
      <w:r>
        <w:rPr/>
        <w:t>Fue posible realizar el aislamiento viral de la medula espinal, mediante la observación del efecto citopático en monocapas de células VERO. Durante la necropsia no se observaron lesiones macroscópicas. Las lesiones microscópicas que se observaron en cerebro fueron infiltración linfocitaria perivascular difusa, degeneración neuronal, edema y hemorragias multifocales, el cerebelo se encontraba ligeramente hemorrágico, con necrosis de células de Purkinje e infiltración linfocitaria perivascular. En la médula espinal se observó degeneración mielínica y hemorragias focales. (figura 14) En los demás órganos no se encontraron cambios histopatológicos.</w:t>
      </w:r>
    </w:p>
    <w:p>
      <w:pPr>
        <w:spacing w:after="0" w:line="360" w:lineRule="auto"/>
        <w:jc w:val="both"/>
        <w:sectPr>
          <w:pgSz w:w="12240" w:h="15840"/>
          <w:pgMar w:header="0" w:footer="1104" w:top="1360" w:bottom="1320" w:left="1600" w:right="1580"/>
        </w:sectPr>
      </w:pPr>
    </w:p>
    <w:p>
      <w:pPr>
        <w:pStyle w:val="BodyText"/>
        <w:ind w:left="106"/>
        <w:rPr>
          <w:sz w:val="20"/>
        </w:rPr>
      </w:pPr>
      <w:r>
        <w:rPr>
          <w:sz w:val="20"/>
        </w:rPr>
        <w:drawing>
          <wp:inline distT="0" distB="0" distL="0" distR="0">
            <wp:extent cx="6588456" cy="2844355"/>
            <wp:effectExtent l="0" t="0" r="0" b="0"/>
            <wp:docPr id="33" name="image20.jpeg" descr=""/>
            <wp:cNvGraphicFramePr>
              <a:graphicFrameLocks noChangeAspect="1"/>
            </wp:cNvGraphicFramePr>
            <a:graphic>
              <a:graphicData uri="http://schemas.openxmlformats.org/drawingml/2006/picture">
                <pic:pic>
                  <pic:nvPicPr>
                    <pic:cNvPr id="34" name="image20.jpeg"/>
                    <pic:cNvPicPr/>
                  </pic:nvPicPr>
                  <pic:blipFill>
                    <a:blip r:embed="rId52" cstate="print"/>
                    <a:stretch>
                      <a:fillRect/>
                    </a:stretch>
                  </pic:blipFill>
                  <pic:spPr>
                    <a:xfrm>
                      <a:off x="0" y="0"/>
                      <a:ext cx="6588456" cy="2844355"/>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2"/>
        </w:rPr>
      </w:pPr>
      <w:r>
        <w:rPr/>
        <w:drawing>
          <wp:anchor distT="0" distB="0" distL="0" distR="0" allowOverlap="1" layoutInCell="1" locked="0" behindDoc="0" simplePos="0" relativeHeight="1336">
            <wp:simplePos x="0" y="0"/>
            <wp:positionH relativeFrom="page">
              <wp:posOffset>743712</wp:posOffset>
            </wp:positionH>
            <wp:positionV relativeFrom="paragraph">
              <wp:posOffset>113624</wp:posOffset>
            </wp:positionV>
            <wp:extent cx="6251023" cy="2928270"/>
            <wp:effectExtent l="0" t="0" r="0" b="0"/>
            <wp:wrapTopAndBottom/>
            <wp:docPr id="35" name="image21.jpeg" descr=""/>
            <wp:cNvGraphicFramePr>
              <a:graphicFrameLocks noChangeAspect="1"/>
            </wp:cNvGraphicFramePr>
            <a:graphic>
              <a:graphicData uri="http://schemas.openxmlformats.org/drawingml/2006/picture">
                <pic:pic>
                  <pic:nvPicPr>
                    <pic:cNvPr id="36" name="image21.jpeg"/>
                    <pic:cNvPicPr/>
                  </pic:nvPicPr>
                  <pic:blipFill>
                    <a:blip r:embed="rId53" cstate="print"/>
                    <a:stretch>
                      <a:fillRect/>
                    </a:stretch>
                  </pic:blipFill>
                  <pic:spPr>
                    <a:xfrm>
                      <a:off x="0" y="0"/>
                      <a:ext cx="6251023" cy="2928270"/>
                    </a:xfrm>
                    <a:prstGeom prst="rect">
                      <a:avLst/>
                    </a:prstGeom>
                  </pic:spPr>
                </pic:pic>
              </a:graphicData>
            </a:graphic>
          </wp:anchor>
        </w:drawing>
      </w:r>
    </w:p>
    <w:p>
      <w:pPr>
        <w:pStyle w:val="BodyText"/>
        <w:rPr>
          <w:sz w:val="20"/>
        </w:rPr>
      </w:pPr>
    </w:p>
    <w:p>
      <w:pPr>
        <w:pStyle w:val="BodyText"/>
        <w:rPr>
          <w:sz w:val="18"/>
        </w:rPr>
      </w:pPr>
    </w:p>
    <w:p>
      <w:pPr>
        <w:spacing w:line="261" w:lineRule="auto" w:before="0"/>
        <w:ind w:left="762" w:right="1464" w:firstLine="0"/>
        <w:jc w:val="left"/>
        <w:rPr>
          <w:sz w:val="22"/>
        </w:rPr>
      </w:pPr>
      <w:r>
        <w:rPr>
          <w:b/>
          <w:sz w:val="22"/>
        </w:rPr>
        <w:t>Figura 14. Lesiones histopatológicas en cerebro y médula espinal del Equino 1</w:t>
      </w:r>
      <w:r>
        <w:rPr>
          <w:sz w:val="22"/>
        </w:rPr>
        <w:t>. Tinción HE.10 X</w:t>
      </w:r>
    </w:p>
    <w:p>
      <w:pPr>
        <w:spacing w:after="0" w:line="261" w:lineRule="auto"/>
        <w:jc w:val="left"/>
        <w:rPr>
          <w:sz w:val="22"/>
        </w:rPr>
        <w:sectPr>
          <w:pgSz w:w="12240" w:h="15840"/>
          <w:pgMar w:header="0" w:footer="1104" w:top="1380" w:bottom="1320" w:left="940" w:right="740"/>
        </w:sectPr>
      </w:pPr>
    </w:p>
    <w:p>
      <w:pPr>
        <w:pStyle w:val="BodyText"/>
        <w:spacing w:line="360" w:lineRule="auto" w:before="54"/>
        <w:ind w:left="102" w:right="115"/>
        <w:jc w:val="both"/>
      </w:pPr>
      <w:r>
        <w:rPr/>
        <w:t>El equino 2 presentó un conteo de leucocitos elevado los días 14 al 17, los neutrófilos</w:t>
      </w:r>
      <w:r>
        <w:rPr>
          <w:spacing w:val="-6"/>
        </w:rPr>
        <w:t> </w:t>
      </w:r>
      <w:r>
        <w:rPr/>
        <w:t>en</w:t>
      </w:r>
      <w:r>
        <w:rPr>
          <w:spacing w:val="-8"/>
        </w:rPr>
        <w:t> </w:t>
      </w:r>
      <w:r>
        <w:rPr/>
        <w:t>banda</w:t>
      </w:r>
      <w:r>
        <w:rPr>
          <w:spacing w:val="-2"/>
        </w:rPr>
        <w:t> </w:t>
      </w:r>
      <w:r>
        <w:rPr/>
        <w:t>se</w:t>
      </w:r>
      <w:r>
        <w:rPr>
          <w:spacing w:val="-6"/>
        </w:rPr>
        <w:t> </w:t>
      </w:r>
      <w:r>
        <w:rPr/>
        <w:t>mantuvieron</w:t>
      </w:r>
      <w:r>
        <w:rPr>
          <w:spacing w:val="-6"/>
        </w:rPr>
        <w:t> </w:t>
      </w:r>
      <w:r>
        <w:rPr/>
        <w:t>elevados</w:t>
      </w:r>
      <w:r>
        <w:rPr>
          <w:spacing w:val="-6"/>
        </w:rPr>
        <w:t> </w:t>
      </w:r>
      <w:r>
        <w:rPr/>
        <w:t>durante</w:t>
      </w:r>
      <w:r>
        <w:rPr>
          <w:spacing w:val="-6"/>
        </w:rPr>
        <w:t> </w:t>
      </w:r>
      <w:r>
        <w:rPr/>
        <w:t>los</w:t>
      </w:r>
      <w:r>
        <w:rPr>
          <w:spacing w:val="-6"/>
        </w:rPr>
        <w:t> </w:t>
      </w:r>
      <w:r>
        <w:rPr/>
        <w:t>20</w:t>
      </w:r>
      <w:r>
        <w:rPr>
          <w:spacing w:val="-6"/>
        </w:rPr>
        <w:t> </w:t>
      </w:r>
      <w:r>
        <w:rPr/>
        <w:t>días</w:t>
      </w:r>
      <w:r>
        <w:rPr>
          <w:spacing w:val="-6"/>
        </w:rPr>
        <w:t> </w:t>
      </w:r>
      <w:r>
        <w:rPr/>
        <w:t>del</w:t>
      </w:r>
      <w:r>
        <w:rPr>
          <w:spacing w:val="-7"/>
        </w:rPr>
        <w:t> </w:t>
      </w:r>
      <w:r>
        <w:rPr/>
        <w:t>experimento, debido probablemente a la inflamación y la acumulación de pus en la herida quirúrgica del dispositivo medidor de temperatura. El valor de los eosinófilos y basófilos se mantuvo dentro de los parámetros normales. En cuanto a la formula roja el conteo de glóbulos rojos, hemoglobina y el hematocrito se vieron disminuidos durante todo el experimento. El equino presento títulos de anticuerpos a partir del día 8, hasta el día 20, coincidiendo con el aumento de la temperatura corporal. A partir del día 12, presento diarrea y postración. El día 16 se registró el titulo más alto (640). Fue eutanasiado el día 22 del experimento. Se tomaron muestras de tejido para aislamiento</w:t>
      </w:r>
      <w:r>
        <w:rPr>
          <w:spacing w:val="-18"/>
        </w:rPr>
        <w:t> </w:t>
      </w:r>
      <w:r>
        <w:rPr/>
        <w:t>viral.</w:t>
      </w:r>
    </w:p>
    <w:p>
      <w:pPr>
        <w:pStyle w:val="BodyText"/>
        <w:spacing w:before="163"/>
        <w:ind w:left="102"/>
        <w:jc w:val="both"/>
      </w:pPr>
      <w:r>
        <w:rPr/>
        <w:t>Fue posible aislar el virus de la muestra de suero del día 4 del experimento.</w:t>
      </w:r>
    </w:p>
    <w:p>
      <w:pPr>
        <w:pStyle w:val="BodyText"/>
        <w:spacing w:before="1"/>
        <w:rPr>
          <w:sz w:val="26"/>
        </w:rPr>
      </w:pPr>
    </w:p>
    <w:p>
      <w:pPr>
        <w:pStyle w:val="BodyText"/>
        <w:spacing w:line="360" w:lineRule="auto"/>
        <w:ind w:left="102" w:right="121"/>
        <w:jc w:val="both"/>
      </w:pPr>
      <w:r>
        <w:rPr/>
        <w:t>Fue posible realizar el aislamiento viral del encéfalo anterior, medio y de la médula espinal, mediante la observación del efecto citopático en monocapas de células Vero.</w:t>
      </w:r>
    </w:p>
    <w:p>
      <w:pPr>
        <w:pStyle w:val="BodyText"/>
        <w:spacing w:line="360" w:lineRule="auto" w:before="2"/>
        <w:ind w:left="102" w:right="123"/>
        <w:jc w:val="both"/>
      </w:pPr>
      <w:r>
        <w:rPr/>
        <w:t>El animal numero 3 a su llegada al ejido Tacoteno, presento un ligero cuadro de anorexia, que coincidió con la presencia de fiebre, un aumento en el conteo de neutrófilos en banda y de los eosinófilos, en días posteriores estos valores, se restablecieron y volvieron a encontrarse en los parámetros establecidos. Al igual que los equinos 1 y 2, los glóbulos rojos, la hemoglobina y el hematocrito, se encontraban por debajo de los valores normales. El día 9 el animal presento un título bajo de anticuerpos (20) que mantuvo hasta el final de la etapa experimental. Fue posible aislar el virus del suero del equino en los días 5,7 y 8.</w:t>
      </w:r>
    </w:p>
    <w:p>
      <w:pPr>
        <w:pStyle w:val="BodyText"/>
        <w:spacing w:line="360" w:lineRule="auto" w:before="5"/>
        <w:ind w:left="102" w:right="116"/>
        <w:jc w:val="both"/>
      </w:pPr>
      <w:r>
        <w:rPr/>
        <w:t>El equino número 4 presentó un aumento en el conteo de leucocitos, más específicamente</w:t>
      </w:r>
      <w:r>
        <w:rPr>
          <w:spacing w:val="-4"/>
        </w:rPr>
        <w:t> </w:t>
      </w:r>
      <w:r>
        <w:rPr/>
        <w:t>de</w:t>
      </w:r>
      <w:r>
        <w:rPr>
          <w:spacing w:val="-4"/>
        </w:rPr>
        <w:t> </w:t>
      </w:r>
      <w:r>
        <w:rPr/>
        <w:t>linfocitos</w:t>
      </w:r>
      <w:r>
        <w:rPr>
          <w:spacing w:val="-4"/>
        </w:rPr>
        <w:t> </w:t>
      </w:r>
      <w:r>
        <w:rPr/>
        <w:t>y</w:t>
      </w:r>
      <w:r>
        <w:rPr>
          <w:spacing w:val="-7"/>
        </w:rPr>
        <w:t> </w:t>
      </w:r>
      <w:r>
        <w:rPr/>
        <w:t>neutrófilos</w:t>
      </w:r>
      <w:r>
        <w:rPr>
          <w:spacing w:val="-7"/>
        </w:rPr>
        <w:t> </w:t>
      </w:r>
      <w:r>
        <w:rPr/>
        <w:t>en</w:t>
      </w:r>
      <w:r>
        <w:rPr>
          <w:spacing w:val="-6"/>
        </w:rPr>
        <w:t> </w:t>
      </w:r>
      <w:r>
        <w:rPr/>
        <w:t>banda,</w:t>
      </w:r>
      <w:r>
        <w:rPr>
          <w:spacing w:val="-4"/>
        </w:rPr>
        <w:t> </w:t>
      </w:r>
      <w:r>
        <w:rPr/>
        <w:t>que</w:t>
      </w:r>
      <w:r>
        <w:rPr>
          <w:spacing w:val="-4"/>
        </w:rPr>
        <w:t> </w:t>
      </w:r>
      <w:r>
        <w:rPr/>
        <w:t>coincidió</w:t>
      </w:r>
      <w:r>
        <w:rPr>
          <w:spacing w:val="-4"/>
        </w:rPr>
        <w:t> </w:t>
      </w:r>
      <w:r>
        <w:rPr/>
        <w:t>con</w:t>
      </w:r>
      <w:r>
        <w:rPr>
          <w:spacing w:val="-4"/>
        </w:rPr>
        <w:t> </w:t>
      </w:r>
      <w:r>
        <w:rPr/>
        <w:t>la</w:t>
      </w:r>
      <w:r>
        <w:rPr>
          <w:spacing w:val="-4"/>
        </w:rPr>
        <w:t> </w:t>
      </w:r>
      <w:r>
        <w:rPr/>
        <w:t>presencia de fiebre y diarrea, los primeros seis días de su llegada al predio. Los valores de eosinófilos y basófilos se encontraron dentro de los parámetros normales durante todo el experimento. En los días 11-13 el animal presento un ligero cuadro de constipación, que mejore a partir del día</w:t>
      </w:r>
      <w:r>
        <w:rPr>
          <w:spacing w:val="-14"/>
        </w:rPr>
        <w:t> </w:t>
      </w:r>
      <w:r>
        <w:rPr/>
        <w:t>15.</w:t>
      </w:r>
    </w:p>
    <w:p>
      <w:pPr>
        <w:pStyle w:val="BodyText"/>
        <w:spacing w:before="5"/>
        <w:ind w:left="102"/>
        <w:jc w:val="both"/>
      </w:pPr>
      <w:r>
        <w:rPr/>
        <w:t>La fiebre fue intermitente durante el resto de los días, llegando hasta los 40 °C.</w:t>
      </w:r>
    </w:p>
    <w:p>
      <w:pPr>
        <w:spacing w:after="0"/>
        <w:jc w:val="both"/>
        <w:sectPr>
          <w:footerReference w:type="default" r:id="rId54"/>
          <w:pgSz w:w="12240" w:h="15840"/>
          <w:pgMar w:footer="1113" w:header="0" w:top="1360" w:bottom="1300" w:left="1600" w:right="1580"/>
        </w:sectPr>
      </w:pPr>
    </w:p>
    <w:p>
      <w:pPr>
        <w:pStyle w:val="BodyText"/>
        <w:spacing w:line="360" w:lineRule="auto" w:before="54"/>
        <w:ind w:left="102" w:right="100"/>
        <w:jc w:val="both"/>
      </w:pPr>
      <w:r>
        <w:rPr/>
        <w:t>A partir del día 10 el equino comenzó a presentar títulos, los cuales aumentaron para el día 17, presentando valores de 80 y 160. El virus fue aislado del suero el día 7 de la etapa experimental.</w:t>
      </w:r>
    </w:p>
    <w:p>
      <w:pPr>
        <w:pStyle w:val="BodyText"/>
        <w:spacing w:line="360" w:lineRule="auto" w:before="5"/>
        <w:ind w:left="102" w:right="102"/>
        <w:jc w:val="both"/>
      </w:pPr>
      <w:r>
        <w:rPr/>
        <w:t>El equino número 5 presento fiebre desde el día 1 de la fase experimental, se mostraba decaído y al día 5 comenzó con diarrea y secreción ocular bilateral, que se extendió hasta el día 10, coincidiendo con una leucocitosis, específicamente un aumento de los neutrófilos en banda. Desde el día 7 al 11 presento un título de 20, posteriormente se registró título de 40 (días 12 al 17) y 160 (días 18 al 20). Del día 17</w:t>
      </w:r>
      <w:r>
        <w:rPr>
          <w:spacing w:val="-4"/>
        </w:rPr>
        <w:t> </w:t>
      </w:r>
      <w:r>
        <w:rPr/>
        <w:t>al</w:t>
      </w:r>
      <w:r>
        <w:rPr>
          <w:spacing w:val="-5"/>
        </w:rPr>
        <w:t> </w:t>
      </w:r>
      <w:r>
        <w:rPr/>
        <w:t>20</w:t>
      </w:r>
      <w:r>
        <w:rPr>
          <w:spacing w:val="-4"/>
        </w:rPr>
        <w:t> </w:t>
      </w:r>
      <w:r>
        <w:rPr/>
        <w:t>el</w:t>
      </w:r>
      <w:r>
        <w:rPr>
          <w:spacing w:val="-5"/>
        </w:rPr>
        <w:t> </w:t>
      </w:r>
      <w:r>
        <w:rPr/>
        <w:t>animal</w:t>
      </w:r>
      <w:r>
        <w:rPr>
          <w:spacing w:val="-5"/>
        </w:rPr>
        <w:t> </w:t>
      </w:r>
      <w:r>
        <w:rPr/>
        <w:t>se</w:t>
      </w:r>
      <w:r>
        <w:rPr>
          <w:spacing w:val="-4"/>
        </w:rPr>
        <w:t> </w:t>
      </w:r>
      <w:r>
        <w:rPr/>
        <w:t>encontraba</w:t>
      </w:r>
      <w:r>
        <w:rPr>
          <w:spacing w:val="-6"/>
        </w:rPr>
        <w:t> </w:t>
      </w:r>
      <w:r>
        <w:rPr/>
        <w:t>postrado</w:t>
      </w:r>
      <w:r>
        <w:rPr>
          <w:spacing w:val="-4"/>
        </w:rPr>
        <w:t> </w:t>
      </w:r>
      <w:r>
        <w:rPr/>
        <w:t>la</w:t>
      </w:r>
      <w:r>
        <w:rPr>
          <w:spacing w:val="-6"/>
        </w:rPr>
        <w:t> </w:t>
      </w:r>
      <w:r>
        <w:rPr/>
        <w:t>mayor</w:t>
      </w:r>
      <w:r>
        <w:rPr>
          <w:spacing w:val="-5"/>
        </w:rPr>
        <w:t> </w:t>
      </w:r>
      <w:r>
        <w:rPr/>
        <w:t>parte</w:t>
      </w:r>
      <w:r>
        <w:rPr>
          <w:spacing w:val="-6"/>
        </w:rPr>
        <w:t> </w:t>
      </w:r>
      <w:r>
        <w:rPr/>
        <w:t>del</w:t>
      </w:r>
      <w:r>
        <w:rPr>
          <w:spacing w:val="-5"/>
        </w:rPr>
        <w:t> </w:t>
      </w:r>
      <w:r>
        <w:rPr/>
        <w:t>día</w:t>
      </w:r>
      <w:r>
        <w:rPr>
          <w:spacing w:val="-4"/>
        </w:rPr>
        <w:t> </w:t>
      </w:r>
      <w:r>
        <w:rPr/>
        <w:t>y</w:t>
      </w:r>
      <w:r>
        <w:rPr>
          <w:spacing w:val="-7"/>
        </w:rPr>
        <w:t> </w:t>
      </w:r>
      <w:r>
        <w:rPr/>
        <w:t>solo</w:t>
      </w:r>
      <w:r>
        <w:rPr>
          <w:spacing w:val="-4"/>
        </w:rPr>
        <w:t> </w:t>
      </w:r>
      <w:r>
        <w:rPr/>
        <w:t>se</w:t>
      </w:r>
      <w:r>
        <w:rPr>
          <w:spacing w:val="-4"/>
        </w:rPr>
        <w:t> </w:t>
      </w:r>
      <w:r>
        <w:rPr/>
        <w:t>ponía</w:t>
      </w:r>
      <w:r>
        <w:rPr>
          <w:spacing w:val="-6"/>
        </w:rPr>
        <w:t> </w:t>
      </w:r>
      <w:r>
        <w:rPr/>
        <w:t>de pie para alimentarse o tomar agua, sin embargo para el día 21, se levantó y se mostró de mejor</w:t>
      </w:r>
      <w:r>
        <w:rPr>
          <w:spacing w:val="-7"/>
        </w:rPr>
        <w:t> </w:t>
      </w:r>
      <w:r>
        <w:rPr/>
        <w:t>ánimo.</w:t>
      </w:r>
    </w:p>
    <w:p>
      <w:pPr>
        <w:pStyle w:val="BodyText"/>
        <w:spacing w:line="360" w:lineRule="auto" w:before="5"/>
        <w:ind w:left="102" w:right="104"/>
        <w:jc w:val="both"/>
      </w:pPr>
      <w:r>
        <w:rPr/>
        <w:t>El Equino numero 6 presento leucocitosis y fiebre desde su llegada al predio hasta el final de la etapa experimental, al igual que una disminución en los eritrocitos, la hemoglobina y el hematocrito. A partir del día 7 su consumo de agua se vio disminuido considerablemente, por lo que se le tuvo que suministrar agua con una jeringa directamente. La adipsia continuó hasta el final de la etapa experimental, a partir</w:t>
      </w:r>
      <w:r>
        <w:rPr>
          <w:spacing w:val="-5"/>
        </w:rPr>
        <w:t> </w:t>
      </w:r>
      <w:r>
        <w:rPr/>
        <w:t>del</w:t>
      </w:r>
      <w:r>
        <w:rPr>
          <w:spacing w:val="-5"/>
        </w:rPr>
        <w:t> </w:t>
      </w:r>
      <w:r>
        <w:rPr/>
        <w:t>día</w:t>
      </w:r>
      <w:r>
        <w:rPr>
          <w:spacing w:val="-4"/>
        </w:rPr>
        <w:t> </w:t>
      </w:r>
      <w:r>
        <w:rPr/>
        <w:t>13</w:t>
      </w:r>
      <w:r>
        <w:rPr>
          <w:spacing w:val="-4"/>
        </w:rPr>
        <w:t> </w:t>
      </w:r>
      <w:r>
        <w:rPr/>
        <w:t>comenzó</w:t>
      </w:r>
      <w:r>
        <w:rPr>
          <w:spacing w:val="-4"/>
        </w:rPr>
        <w:t> </w:t>
      </w:r>
      <w:r>
        <w:rPr/>
        <w:t>a</w:t>
      </w:r>
      <w:r>
        <w:rPr>
          <w:spacing w:val="-4"/>
        </w:rPr>
        <w:t> </w:t>
      </w:r>
      <w:r>
        <w:rPr/>
        <w:t>presentarse</w:t>
      </w:r>
      <w:r>
        <w:rPr>
          <w:spacing w:val="-4"/>
        </w:rPr>
        <w:t> </w:t>
      </w:r>
      <w:r>
        <w:rPr/>
        <w:t>junto</w:t>
      </w:r>
      <w:r>
        <w:rPr>
          <w:spacing w:val="-6"/>
        </w:rPr>
        <w:t> </w:t>
      </w:r>
      <w:r>
        <w:rPr/>
        <w:t>con</w:t>
      </w:r>
      <w:r>
        <w:rPr>
          <w:spacing w:val="-4"/>
        </w:rPr>
        <w:t> </w:t>
      </w:r>
      <w:r>
        <w:rPr/>
        <w:t>disfagia</w:t>
      </w:r>
      <w:r>
        <w:rPr>
          <w:spacing w:val="-4"/>
        </w:rPr>
        <w:t> </w:t>
      </w:r>
      <w:r>
        <w:rPr/>
        <w:t>y</w:t>
      </w:r>
      <w:r>
        <w:rPr>
          <w:spacing w:val="-7"/>
        </w:rPr>
        <w:t> </w:t>
      </w:r>
      <w:r>
        <w:rPr/>
        <w:t>fotofobia</w:t>
      </w:r>
      <w:r>
        <w:rPr>
          <w:spacing w:val="-6"/>
        </w:rPr>
        <w:t> </w:t>
      </w:r>
      <w:r>
        <w:rPr/>
        <w:t>y</w:t>
      </w:r>
      <w:r>
        <w:rPr>
          <w:spacing w:val="-7"/>
        </w:rPr>
        <w:t> </w:t>
      </w:r>
      <w:r>
        <w:rPr/>
        <w:t>en</w:t>
      </w:r>
      <w:r>
        <w:rPr>
          <w:spacing w:val="-4"/>
        </w:rPr>
        <w:t> </w:t>
      </w:r>
      <w:r>
        <w:rPr/>
        <w:t>el</w:t>
      </w:r>
      <w:r>
        <w:rPr>
          <w:spacing w:val="-5"/>
        </w:rPr>
        <w:t> </w:t>
      </w:r>
      <w:r>
        <w:rPr/>
        <w:t>día</w:t>
      </w:r>
      <w:r>
        <w:rPr>
          <w:spacing w:val="-4"/>
        </w:rPr>
        <w:t> </w:t>
      </w:r>
      <w:r>
        <w:rPr/>
        <w:t>14 presentó también anorexia y secreción ocular. El animal presento títulos muy</w:t>
      </w:r>
      <w:r>
        <w:rPr>
          <w:spacing w:val="-26"/>
        </w:rPr>
        <w:t> </w:t>
      </w:r>
      <w:r>
        <w:rPr/>
        <w:t>bajos</w:t>
      </w:r>
    </w:p>
    <w:p>
      <w:pPr>
        <w:pStyle w:val="BodyText"/>
        <w:spacing w:before="2"/>
        <w:ind w:left="102"/>
        <w:jc w:val="both"/>
      </w:pPr>
      <w:r>
        <w:rPr/>
        <w:t>(20) los días 17 al 20.</w:t>
      </w:r>
    </w:p>
    <w:p>
      <w:pPr>
        <w:pStyle w:val="BodyText"/>
        <w:spacing w:line="360" w:lineRule="auto" w:before="139"/>
        <w:ind w:left="102" w:right="99"/>
        <w:jc w:val="both"/>
      </w:pPr>
      <w:r>
        <w:rPr/>
        <w:t>En el día 17, los signos neurológicos se acentuaron, presentando ataxia, tambaleo y</w:t>
      </w:r>
      <w:r>
        <w:rPr>
          <w:spacing w:val="-7"/>
        </w:rPr>
        <w:t> </w:t>
      </w:r>
      <w:r>
        <w:rPr/>
        <w:t>vueltas</w:t>
      </w:r>
      <w:r>
        <w:rPr>
          <w:spacing w:val="-7"/>
        </w:rPr>
        <w:t> </w:t>
      </w:r>
      <w:r>
        <w:rPr/>
        <w:t>en</w:t>
      </w:r>
      <w:r>
        <w:rPr>
          <w:spacing w:val="-6"/>
        </w:rPr>
        <w:t> </w:t>
      </w:r>
      <w:r>
        <w:rPr/>
        <w:t>círculos.</w:t>
      </w:r>
      <w:r>
        <w:rPr>
          <w:spacing w:val="-9"/>
        </w:rPr>
        <w:t> </w:t>
      </w:r>
      <w:r>
        <w:rPr/>
        <w:t>El</w:t>
      </w:r>
      <w:r>
        <w:rPr>
          <w:spacing w:val="-7"/>
        </w:rPr>
        <w:t> </w:t>
      </w:r>
      <w:r>
        <w:rPr/>
        <w:t>estado</w:t>
      </w:r>
      <w:r>
        <w:rPr>
          <w:spacing w:val="-8"/>
        </w:rPr>
        <w:t> </w:t>
      </w:r>
      <w:r>
        <w:rPr/>
        <w:t>del</w:t>
      </w:r>
      <w:r>
        <w:rPr>
          <w:spacing w:val="-10"/>
        </w:rPr>
        <w:t> </w:t>
      </w:r>
      <w:r>
        <w:rPr/>
        <w:t>animal</w:t>
      </w:r>
      <w:r>
        <w:rPr>
          <w:spacing w:val="-10"/>
        </w:rPr>
        <w:t> </w:t>
      </w:r>
      <w:r>
        <w:rPr/>
        <w:t>no</w:t>
      </w:r>
      <w:r>
        <w:rPr>
          <w:spacing w:val="-11"/>
        </w:rPr>
        <w:t> </w:t>
      </w:r>
      <w:r>
        <w:rPr/>
        <w:t>mejoro,</w:t>
      </w:r>
      <w:r>
        <w:rPr>
          <w:spacing w:val="-6"/>
        </w:rPr>
        <w:t> </w:t>
      </w:r>
      <w:r>
        <w:rPr/>
        <w:t>por</w:t>
      </w:r>
      <w:r>
        <w:rPr>
          <w:spacing w:val="-7"/>
        </w:rPr>
        <w:t> </w:t>
      </w:r>
      <w:r>
        <w:rPr/>
        <w:t>lo</w:t>
      </w:r>
      <w:r>
        <w:rPr>
          <w:spacing w:val="-9"/>
        </w:rPr>
        <w:t> </w:t>
      </w:r>
      <w:r>
        <w:rPr/>
        <w:t>que</w:t>
      </w:r>
      <w:r>
        <w:rPr>
          <w:spacing w:val="-6"/>
        </w:rPr>
        <w:t> </w:t>
      </w:r>
      <w:r>
        <w:rPr/>
        <w:t>se</w:t>
      </w:r>
      <w:r>
        <w:rPr>
          <w:spacing w:val="-6"/>
        </w:rPr>
        <w:t> </w:t>
      </w:r>
      <w:r>
        <w:rPr/>
        <w:t>tomó</w:t>
      </w:r>
      <w:r>
        <w:rPr>
          <w:spacing w:val="-8"/>
        </w:rPr>
        <w:t> </w:t>
      </w:r>
      <w:r>
        <w:rPr/>
        <w:t>la</w:t>
      </w:r>
      <w:r>
        <w:rPr>
          <w:spacing w:val="-9"/>
        </w:rPr>
        <w:t> </w:t>
      </w:r>
      <w:r>
        <w:rPr/>
        <w:t>decisión de eutanasiarlo. Se obtuvieron muestras de tejidos del sistema nervioso central y periférico, así como de nódulos linfáticos, corazón, bazo e</w:t>
      </w:r>
      <w:r>
        <w:rPr>
          <w:spacing w:val="-29"/>
        </w:rPr>
        <w:t> </w:t>
      </w:r>
      <w:r>
        <w:rPr/>
        <w:t>hígado.</w:t>
      </w:r>
    </w:p>
    <w:p>
      <w:pPr>
        <w:pStyle w:val="BodyText"/>
        <w:spacing w:line="360" w:lineRule="auto" w:before="5"/>
        <w:ind w:left="102" w:right="106"/>
        <w:jc w:val="both"/>
      </w:pPr>
      <w:r>
        <w:rPr/>
        <w:t>Fue posible observar daño citopático en cultivos de células Vero, empleando las muestras de encéfalo anterior, encéfalo posterior, cerebelo y médula espinal.</w:t>
      </w:r>
    </w:p>
    <w:p>
      <w:pPr>
        <w:pStyle w:val="BodyText"/>
        <w:spacing w:line="360" w:lineRule="auto" w:before="5"/>
        <w:ind w:left="102" w:right="104"/>
        <w:jc w:val="both"/>
      </w:pPr>
      <w:r>
        <w:rPr/>
        <w:t>El equino numero 7 presento diarrea el primer día que llego al predio, del día 2 al</w:t>
      </w:r>
      <w:r>
        <w:rPr>
          <w:spacing w:val="-26"/>
        </w:rPr>
        <w:t> </w:t>
      </w:r>
      <w:r>
        <w:rPr/>
        <w:t>5 presento</w:t>
      </w:r>
      <w:r>
        <w:rPr>
          <w:spacing w:val="-6"/>
        </w:rPr>
        <w:t> </w:t>
      </w:r>
      <w:r>
        <w:rPr/>
        <w:t>diarrea,</w:t>
      </w:r>
      <w:r>
        <w:rPr>
          <w:spacing w:val="-6"/>
        </w:rPr>
        <w:t> </w:t>
      </w:r>
      <w:r>
        <w:rPr/>
        <w:t>postración</w:t>
      </w:r>
      <w:r>
        <w:rPr>
          <w:spacing w:val="-5"/>
        </w:rPr>
        <w:t> </w:t>
      </w:r>
      <w:r>
        <w:rPr/>
        <w:t>y</w:t>
      </w:r>
      <w:r>
        <w:rPr>
          <w:spacing w:val="-7"/>
        </w:rPr>
        <w:t> </w:t>
      </w:r>
      <w:r>
        <w:rPr/>
        <w:t>fiebre.</w:t>
      </w:r>
      <w:r>
        <w:rPr>
          <w:spacing w:val="-6"/>
        </w:rPr>
        <w:t> </w:t>
      </w:r>
      <w:r>
        <w:rPr/>
        <w:t>A</w:t>
      </w:r>
      <w:r>
        <w:rPr>
          <w:spacing w:val="-6"/>
        </w:rPr>
        <w:t> </w:t>
      </w:r>
      <w:r>
        <w:rPr/>
        <w:t>partir</w:t>
      </w:r>
      <w:r>
        <w:rPr>
          <w:spacing w:val="-7"/>
        </w:rPr>
        <w:t> </w:t>
      </w:r>
      <w:r>
        <w:rPr/>
        <w:t>del</w:t>
      </w:r>
      <w:r>
        <w:rPr>
          <w:spacing w:val="-7"/>
        </w:rPr>
        <w:t> </w:t>
      </w:r>
      <w:r>
        <w:rPr/>
        <w:t>día</w:t>
      </w:r>
      <w:r>
        <w:rPr>
          <w:spacing w:val="-4"/>
        </w:rPr>
        <w:t> </w:t>
      </w:r>
      <w:r>
        <w:rPr/>
        <w:t>6</w:t>
      </w:r>
      <w:r>
        <w:rPr>
          <w:spacing w:val="-6"/>
        </w:rPr>
        <w:t> </w:t>
      </w:r>
      <w:r>
        <w:rPr/>
        <w:t>el</w:t>
      </w:r>
      <w:r>
        <w:rPr>
          <w:spacing w:val="-7"/>
        </w:rPr>
        <w:t> </w:t>
      </w:r>
      <w:r>
        <w:rPr/>
        <w:t>animal</w:t>
      </w:r>
      <w:r>
        <w:rPr>
          <w:spacing w:val="-7"/>
        </w:rPr>
        <w:t> </w:t>
      </w:r>
      <w:r>
        <w:rPr/>
        <w:t>no</w:t>
      </w:r>
      <w:r>
        <w:rPr>
          <w:spacing w:val="-8"/>
        </w:rPr>
        <w:t> </w:t>
      </w:r>
      <w:r>
        <w:rPr/>
        <w:t>presento</w:t>
      </w:r>
      <w:r>
        <w:rPr>
          <w:spacing w:val="-6"/>
        </w:rPr>
        <w:t> </w:t>
      </w:r>
      <w:r>
        <w:rPr/>
        <w:t>ningún signo clínico, en el hemograma se registró elevación en el conteo de neutrófilos en banda</w:t>
      </w:r>
      <w:r>
        <w:rPr>
          <w:spacing w:val="-7"/>
        </w:rPr>
        <w:t> </w:t>
      </w:r>
      <w:r>
        <w:rPr/>
        <w:t>y</w:t>
      </w:r>
      <w:r>
        <w:rPr>
          <w:spacing w:val="-10"/>
        </w:rPr>
        <w:t> </w:t>
      </w:r>
      <w:r>
        <w:rPr/>
        <w:t>disminución</w:t>
      </w:r>
      <w:r>
        <w:rPr>
          <w:spacing w:val="-9"/>
        </w:rPr>
        <w:t> </w:t>
      </w:r>
      <w:r>
        <w:rPr/>
        <w:t>de</w:t>
      </w:r>
      <w:r>
        <w:rPr>
          <w:spacing w:val="-7"/>
        </w:rPr>
        <w:t> </w:t>
      </w:r>
      <w:r>
        <w:rPr/>
        <w:t>los</w:t>
      </w:r>
      <w:r>
        <w:rPr>
          <w:spacing w:val="-7"/>
        </w:rPr>
        <w:t> </w:t>
      </w:r>
      <w:r>
        <w:rPr/>
        <w:t>glóbulos</w:t>
      </w:r>
      <w:r>
        <w:rPr>
          <w:spacing w:val="-8"/>
        </w:rPr>
        <w:t> </w:t>
      </w:r>
      <w:r>
        <w:rPr/>
        <w:t>rojos,</w:t>
      </w:r>
      <w:r>
        <w:rPr>
          <w:spacing w:val="-10"/>
        </w:rPr>
        <w:t> </w:t>
      </w:r>
      <w:r>
        <w:rPr/>
        <w:t>hemoglobina</w:t>
      </w:r>
      <w:r>
        <w:rPr>
          <w:spacing w:val="-7"/>
        </w:rPr>
        <w:t> </w:t>
      </w:r>
      <w:r>
        <w:rPr/>
        <w:t>y</w:t>
      </w:r>
      <w:r>
        <w:rPr>
          <w:spacing w:val="-10"/>
        </w:rPr>
        <w:t> </w:t>
      </w:r>
      <w:r>
        <w:rPr/>
        <w:t>hematocrito,</w:t>
      </w:r>
      <w:r>
        <w:rPr>
          <w:spacing w:val="-10"/>
        </w:rPr>
        <w:t> </w:t>
      </w:r>
      <w:r>
        <w:rPr/>
        <w:t>desde</w:t>
      </w:r>
      <w:r>
        <w:rPr>
          <w:spacing w:val="-7"/>
        </w:rPr>
        <w:t> </w:t>
      </w:r>
      <w:r>
        <w:rPr/>
        <w:t>el</w:t>
      </w:r>
      <w:r>
        <w:rPr>
          <w:spacing w:val="-11"/>
        </w:rPr>
        <w:t> </w:t>
      </w:r>
      <w:r>
        <w:rPr/>
        <w:t>día 1 hasta el día 20. Del día 8 en adelante el animal presento títulos de anticuerpos: de 20 (días 8,9 y 10), 40 (días 11 y 12), 160 (días 15 al 17) y 320 (días</w:t>
      </w:r>
      <w:r>
        <w:rPr>
          <w:spacing w:val="-19"/>
        </w:rPr>
        <w:t> </w:t>
      </w:r>
      <w:r>
        <w:rPr/>
        <w:t>16-20).</w:t>
      </w:r>
    </w:p>
    <w:p>
      <w:pPr>
        <w:spacing w:after="0" w:line="360" w:lineRule="auto"/>
        <w:jc w:val="both"/>
        <w:sectPr>
          <w:footerReference w:type="default" r:id="rId55"/>
          <w:pgSz w:w="12240" w:h="15840"/>
          <w:pgMar w:footer="1106" w:header="0" w:top="1360" w:bottom="1300" w:left="1600" w:right="1600"/>
          <w:pgNumType w:start="61"/>
        </w:sectPr>
      </w:pPr>
    </w:p>
    <w:p>
      <w:pPr>
        <w:pStyle w:val="BodyText"/>
        <w:spacing w:line="360" w:lineRule="auto" w:before="54"/>
        <w:ind w:left="102" w:right="100"/>
        <w:jc w:val="both"/>
      </w:pPr>
      <w:r>
        <w:rPr/>
        <w:t>Se realizó un análisis estadístico de los valores hematológicos de los siete equinos a lo largo de los 20 días de la etapa experimental, empleando una prueba de T de Student para determinar si existen diferencias significativas (p ≤ 0.05) entre cada variable. Los resultados se muestran en las siguientes figuras: (Tabla 4, Gráfico 1)</w:t>
      </w:r>
    </w:p>
    <w:p>
      <w:pPr>
        <w:spacing w:after="0" w:line="360" w:lineRule="auto"/>
        <w:jc w:val="both"/>
        <w:sectPr>
          <w:pgSz w:w="12240" w:h="15840"/>
          <w:pgMar w:header="0" w:footer="1106" w:top="1360" w:bottom="1320" w:left="1600" w:right="1600"/>
        </w:sectPr>
      </w:pPr>
    </w:p>
    <w:tbl>
      <w:tblPr>
        <w:tblW w:w="0" w:type="auto"/>
        <w:jc w:val="left"/>
        <w:tblInd w:w="102"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960"/>
        <w:gridCol w:w="958"/>
        <w:gridCol w:w="1124"/>
        <w:gridCol w:w="1126"/>
        <w:gridCol w:w="1124"/>
        <w:gridCol w:w="1176"/>
        <w:gridCol w:w="1126"/>
        <w:gridCol w:w="1123"/>
      </w:tblGrid>
      <w:tr>
        <w:trPr>
          <w:trHeight w:val="278" w:hRule="exact"/>
        </w:trPr>
        <w:tc>
          <w:tcPr>
            <w:tcW w:w="960" w:type="dxa"/>
          </w:tcPr>
          <w:p>
            <w:pPr/>
          </w:p>
        </w:tc>
        <w:tc>
          <w:tcPr>
            <w:tcW w:w="958" w:type="dxa"/>
          </w:tcPr>
          <w:p>
            <w:pPr>
              <w:pStyle w:val="TableParagraph"/>
              <w:spacing w:line="265" w:lineRule="exact"/>
              <w:ind w:left="100"/>
              <w:rPr>
                <w:rFonts w:ascii="Calibri"/>
                <w:b/>
                <w:sz w:val="22"/>
              </w:rPr>
            </w:pPr>
            <w:r>
              <w:rPr>
                <w:rFonts w:ascii="Calibri"/>
                <w:b/>
                <w:w w:val="100"/>
                <w:sz w:val="22"/>
              </w:rPr>
              <w:t>1</w:t>
            </w:r>
          </w:p>
        </w:tc>
        <w:tc>
          <w:tcPr>
            <w:tcW w:w="1124" w:type="dxa"/>
          </w:tcPr>
          <w:p>
            <w:pPr>
              <w:pStyle w:val="TableParagraph"/>
              <w:spacing w:line="265" w:lineRule="exact"/>
              <w:ind w:left="103"/>
              <w:rPr>
                <w:rFonts w:ascii="Calibri"/>
                <w:b/>
                <w:sz w:val="22"/>
              </w:rPr>
            </w:pPr>
            <w:r>
              <w:rPr>
                <w:rFonts w:ascii="Calibri"/>
                <w:b/>
                <w:w w:val="100"/>
                <w:sz w:val="22"/>
              </w:rPr>
              <w:t>2</w:t>
            </w:r>
          </w:p>
        </w:tc>
        <w:tc>
          <w:tcPr>
            <w:tcW w:w="1126" w:type="dxa"/>
          </w:tcPr>
          <w:p>
            <w:pPr>
              <w:pStyle w:val="TableParagraph"/>
              <w:spacing w:line="265" w:lineRule="exact"/>
              <w:ind w:left="103"/>
              <w:rPr>
                <w:rFonts w:ascii="Calibri"/>
                <w:b/>
                <w:sz w:val="22"/>
              </w:rPr>
            </w:pPr>
            <w:r>
              <w:rPr>
                <w:rFonts w:ascii="Calibri"/>
                <w:b/>
                <w:w w:val="100"/>
                <w:sz w:val="22"/>
              </w:rPr>
              <w:t>3</w:t>
            </w:r>
          </w:p>
        </w:tc>
        <w:tc>
          <w:tcPr>
            <w:tcW w:w="1124" w:type="dxa"/>
          </w:tcPr>
          <w:p>
            <w:pPr>
              <w:pStyle w:val="TableParagraph"/>
              <w:spacing w:line="265" w:lineRule="exact"/>
              <w:ind w:left="100"/>
              <w:rPr>
                <w:rFonts w:ascii="Calibri"/>
                <w:b/>
                <w:sz w:val="22"/>
              </w:rPr>
            </w:pPr>
            <w:r>
              <w:rPr>
                <w:rFonts w:ascii="Calibri"/>
                <w:b/>
                <w:w w:val="100"/>
                <w:sz w:val="22"/>
              </w:rPr>
              <w:t>4</w:t>
            </w:r>
          </w:p>
        </w:tc>
        <w:tc>
          <w:tcPr>
            <w:tcW w:w="1176" w:type="dxa"/>
          </w:tcPr>
          <w:p>
            <w:pPr>
              <w:pStyle w:val="TableParagraph"/>
              <w:spacing w:line="265" w:lineRule="exact"/>
              <w:ind w:left="103"/>
              <w:rPr>
                <w:rFonts w:ascii="Calibri"/>
                <w:b/>
                <w:sz w:val="22"/>
              </w:rPr>
            </w:pPr>
            <w:r>
              <w:rPr>
                <w:rFonts w:ascii="Calibri"/>
                <w:b/>
                <w:w w:val="100"/>
                <w:sz w:val="22"/>
              </w:rPr>
              <w:t>5</w:t>
            </w:r>
          </w:p>
        </w:tc>
        <w:tc>
          <w:tcPr>
            <w:tcW w:w="1126" w:type="dxa"/>
          </w:tcPr>
          <w:p>
            <w:pPr>
              <w:pStyle w:val="TableParagraph"/>
              <w:spacing w:line="265" w:lineRule="exact"/>
              <w:ind w:left="103"/>
              <w:rPr>
                <w:rFonts w:ascii="Calibri"/>
                <w:b/>
                <w:sz w:val="22"/>
              </w:rPr>
            </w:pPr>
            <w:r>
              <w:rPr>
                <w:rFonts w:ascii="Calibri"/>
                <w:b/>
                <w:w w:val="100"/>
                <w:sz w:val="22"/>
              </w:rPr>
              <w:t>6</w:t>
            </w:r>
          </w:p>
        </w:tc>
        <w:tc>
          <w:tcPr>
            <w:tcW w:w="1123" w:type="dxa"/>
          </w:tcPr>
          <w:p>
            <w:pPr>
              <w:pStyle w:val="TableParagraph"/>
              <w:spacing w:line="265" w:lineRule="exact"/>
              <w:ind w:left="100"/>
              <w:rPr>
                <w:rFonts w:ascii="Calibri"/>
                <w:b/>
                <w:sz w:val="22"/>
              </w:rPr>
            </w:pPr>
            <w:r>
              <w:rPr>
                <w:rFonts w:ascii="Calibri"/>
                <w:b/>
                <w:w w:val="100"/>
                <w:sz w:val="22"/>
              </w:rPr>
              <w:t>7</w:t>
            </w:r>
          </w:p>
        </w:tc>
      </w:tr>
      <w:tr>
        <w:trPr>
          <w:trHeight w:val="1666" w:hRule="exact"/>
        </w:trPr>
        <w:tc>
          <w:tcPr>
            <w:tcW w:w="960" w:type="dxa"/>
            <w:shd w:val="clear" w:color="auto" w:fill="F1F1F1"/>
          </w:tcPr>
          <w:p>
            <w:pPr>
              <w:pStyle w:val="TableParagraph"/>
              <w:spacing w:line="265" w:lineRule="exact"/>
              <w:ind w:left="103"/>
              <w:rPr>
                <w:rFonts w:ascii="Calibri"/>
                <w:b/>
                <w:sz w:val="22"/>
              </w:rPr>
            </w:pPr>
            <w:r>
              <w:rPr>
                <w:rFonts w:ascii="Calibri"/>
                <w:b/>
                <w:w w:val="100"/>
                <w:sz w:val="22"/>
              </w:rPr>
              <w:t>1</w:t>
            </w:r>
          </w:p>
        </w:tc>
        <w:tc>
          <w:tcPr>
            <w:tcW w:w="958" w:type="dxa"/>
            <w:shd w:val="clear" w:color="auto" w:fill="F1F1F1"/>
          </w:tcPr>
          <w:p>
            <w:pPr/>
          </w:p>
        </w:tc>
        <w:tc>
          <w:tcPr>
            <w:tcW w:w="1124" w:type="dxa"/>
            <w:shd w:val="clear" w:color="auto" w:fill="F1F1F1"/>
          </w:tcPr>
          <w:p>
            <w:pPr>
              <w:pStyle w:val="TableParagraph"/>
              <w:spacing w:line="360" w:lineRule="auto"/>
              <w:ind w:left="103" w:right="84"/>
              <w:rPr>
                <w:rFonts w:ascii="Arial" w:hAnsi="Arial"/>
                <w:sz w:val="16"/>
              </w:rPr>
            </w:pPr>
            <w:r>
              <w:rPr>
                <w:rFonts w:ascii="Arial" w:hAnsi="Arial"/>
                <w:sz w:val="16"/>
              </w:rPr>
              <w:t>Existen diferencias significativas p=0.009 en el conteo de basófilos.</w:t>
            </w:r>
          </w:p>
        </w:tc>
        <w:tc>
          <w:tcPr>
            <w:tcW w:w="1126" w:type="dxa"/>
            <w:shd w:val="clear" w:color="auto" w:fill="F1F1F1"/>
          </w:tcPr>
          <w:p>
            <w:pPr>
              <w:pStyle w:val="TableParagraph"/>
              <w:spacing w:line="360" w:lineRule="auto"/>
              <w:ind w:left="103" w:right="85"/>
              <w:rPr>
                <w:rFonts w:ascii="Arial" w:hAnsi="Arial"/>
                <w:sz w:val="16"/>
              </w:rPr>
            </w:pPr>
            <w:r>
              <w:rPr>
                <w:rFonts w:ascii="Arial" w:hAnsi="Arial"/>
                <w:sz w:val="16"/>
              </w:rPr>
              <w:t>Existen diferencias significativas p=0.006 en el conteo de basófilos.</w:t>
            </w:r>
          </w:p>
        </w:tc>
        <w:tc>
          <w:tcPr>
            <w:tcW w:w="1124" w:type="dxa"/>
            <w:shd w:val="clear" w:color="auto" w:fill="F1F1F1"/>
          </w:tcPr>
          <w:p>
            <w:pPr>
              <w:pStyle w:val="TableParagraph"/>
              <w:tabs>
                <w:tab w:pos="832" w:val="left" w:leader="none"/>
              </w:tabs>
              <w:spacing w:line="360" w:lineRule="auto"/>
              <w:ind w:left="100"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p=0.03 en el conteo</w:t>
              <w:tab/>
              <w:t>de basófilos.</w:t>
            </w:r>
          </w:p>
        </w:tc>
        <w:tc>
          <w:tcPr>
            <w:tcW w:w="1176" w:type="dxa"/>
            <w:shd w:val="clear" w:color="auto" w:fill="F1F1F1"/>
          </w:tcPr>
          <w:p>
            <w:pPr>
              <w:pStyle w:val="TableParagraph"/>
              <w:tabs>
                <w:tab w:pos="887" w:val="left" w:leader="none"/>
              </w:tabs>
              <w:spacing w:line="360" w:lineRule="auto"/>
              <w:ind w:left="103" w:right="98"/>
              <w:rPr>
                <w:rFonts w:ascii="Arial" w:hAnsi="Arial"/>
                <w:sz w:val="16"/>
              </w:rPr>
            </w:pPr>
            <w:r>
              <w:rPr>
                <w:rFonts w:ascii="Arial" w:hAnsi="Arial"/>
                <w:sz w:val="16"/>
              </w:rPr>
              <w:t>Existen diferencias significativas p=0.02 en el conteo</w:t>
              <w:tab/>
              <w:t>de basófilos.</w:t>
            </w:r>
          </w:p>
        </w:tc>
        <w:tc>
          <w:tcPr>
            <w:tcW w:w="1126" w:type="dxa"/>
            <w:shd w:val="clear" w:color="auto" w:fill="F1F1F1"/>
          </w:tcPr>
          <w:p>
            <w:pPr>
              <w:pStyle w:val="TableParagraph"/>
              <w:tabs>
                <w:tab w:pos="834" w:val="left" w:leader="none"/>
              </w:tabs>
              <w:spacing w:line="360" w:lineRule="auto"/>
              <w:ind w:left="103"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p=0.04 en el conteo</w:t>
              <w:tab/>
              <w:t>de basófilos.</w:t>
            </w:r>
          </w:p>
        </w:tc>
        <w:tc>
          <w:tcPr>
            <w:tcW w:w="1123" w:type="dxa"/>
            <w:shd w:val="clear" w:color="auto" w:fill="F1F1F1"/>
          </w:tcPr>
          <w:p>
            <w:pPr>
              <w:pStyle w:val="TableParagraph"/>
              <w:tabs>
                <w:tab w:pos="832" w:val="left" w:leader="none"/>
              </w:tabs>
              <w:spacing w:line="360" w:lineRule="auto"/>
              <w:ind w:left="100"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p=0.01 en el conteo</w:t>
              <w:tab/>
              <w:t>de basófilos.</w:t>
            </w:r>
          </w:p>
        </w:tc>
      </w:tr>
      <w:tr>
        <w:trPr>
          <w:trHeight w:val="1666" w:hRule="exact"/>
        </w:trPr>
        <w:tc>
          <w:tcPr>
            <w:tcW w:w="960" w:type="dxa"/>
          </w:tcPr>
          <w:p>
            <w:pPr>
              <w:pStyle w:val="TableParagraph"/>
              <w:spacing w:line="265" w:lineRule="exact"/>
              <w:ind w:left="103"/>
              <w:rPr>
                <w:rFonts w:ascii="Calibri"/>
                <w:b/>
                <w:sz w:val="22"/>
              </w:rPr>
            </w:pPr>
            <w:r>
              <w:rPr>
                <w:rFonts w:ascii="Calibri"/>
                <w:b/>
                <w:w w:val="100"/>
                <w:sz w:val="22"/>
              </w:rPr>
              <w:t>2</w:t>
            </w:r>
          </w:p>
        </w:tc>
        <w:tc>
          <w:tcPr>
            <w:tcW w:w="958" w:type="dxa"/>
          </w:tcPr>
          <w:p>
            <w:pPr/>
          </w:p>
        </w:tc>
        <w:tc>
          <w:tcPr>
            <w:tcW w:w="1124" w:type="dxa"/>
          </w:tcPr>
          <w:p>
            <w:pPr/>
          </w:p>
        </w:tc>
        <w:tc>
          <w:tcPr>
            <w:tcW w:w="1126" w:type="dxa"/>
          </w:tcPr>
          <w:p>
            <w:pPr>
              <w:pStyle w:val="TableParagraph"/>
              <w:tabs>
                <w:tab w:pos="834" w:val="left" w:leader="none"/>
              </w:tabs>
              <w:spacing w:line="360" w:lineRule="auto"/>
              <w:ind w:left="103"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p=0.01 en el conteo</w:t>
              <w:tab/>
              <w:t>de basófilos.</w:t>
            </w:r>
          </w:p>
        </w:tc>
        <w:tc>
          <w:tcPr>
            <w:tcW w:w="1124" w:type="dxa"/>
          </w:tcPr>
          <w:p>
            <w:pPr>
              <w:pStyle w:val="TableParagraph"/>
              <w:tabs>
                <w:tab w:pos="832" w:val="left" w:leader="none"/>
              </w:tabs>
              <w:spacing w:line="360" w:lineRule="auto"/>
              <w:ind w:left="100"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p=0.02 en el conteo</w:t>
              <w:tab/>
              <w:t>de basófilos.</w:t>
            </w:r>
          </w:p>
        </w:tc>
        <w:tc>
          <w:tcPr>
            <w:tcW w:w="1176" w:type="dxa"/>
          </w:tcPr>
          <w:p>
            <w:pPr>
              <w:pStyle w:val="TableParagraph"/>
              <w:tabs>
                <w:tab w:pos="887" w:val="left" w:leader="none"/>
              </w:tabs>
              <w:spacing w:line="360" w:lineRule="auto"/>
              <w:ind w:left="103" w:right="98"/>
              <w:rPr>
                <w:rFonts w:ascii="Arial" w:hAnsi="Arial"/>
                <w:sz w:val="16"/>
              </w:rPr>
            </w:pPr>
            <w:r>
              <w:rPr>
                <w:rFonts w:ascii="Arial" w:hAnsi="Arial"/>
                <w:sz w:val="16"/>
              </w:rPr>
              <w:t>Existen diferencias significativas p=0.01 en el conteo</w:t>
              <w:tab/>
              <w:t>de basófilos.</w:t>
            </w:r>
          </w:p>
        </w:tc>
        <w:tc>
          <w:tcPr>
            <w:tcW w:w="1126" w:type="dxa"/>
          </w:tcPr>
          <w:p>
            <w:pPr>
              <w:pStyle w:val="TableParagraph"/>
              <w:tabs>
                <w:tab w:pos="834" w:val="left" w:leader="none"/>
              </w:tabs>
              <w:spacing w:line="360" w:lineRule="auto"/>
              <w:ind w:left="103"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p=0.03 en el conteo</w:t>
              <w:tab/>
              <w:t>de basófilos.</w:t>
            </w:r>
          </w:p>
        </w:tc>
        <w:tc>
          <w:tcPr>
            <w:tcW w:w="1123" w:type="dxa"/>
          </w:tcPr>
          <w:p>
            <w:pPr>
              <w:pStyle w:val="TableParagraph"/>
              <w:spacing w:line="360" w:lineRule="auto"/>
              <w:ind w:left="100" w:right="86"/>
              <w:rPr>
                <w:rFonts w:ascii="Arial" w:hAnsi="Arial"/>
                <w:sz w:val="16"/>
              </w:rPr>
            </w:pPr>
            <w:r>
              <w:rPr>
                <w:rFonts w:ascii="Arial" w:hAnsi="Arial"/>
                <w:sz w:val="16"/>
              </w:rPr>
              <w:t>Existen diferencias significativas p=0.006 en el conteo de basófilos.</w:t>
            </w:r>
          </w:p>
        </w:tc>
      </w:tr>
      <w:tr>
        <w:trPr>
          <w:trHeight w:val="2494" w:hRule="exact"/>
        </w:trPr>
        <w:tc>
          <w:tcPr>
            <w:tcW w:w="960" w:type="dxa"/>
            <w:shd w:val="clear" w:color="auto" w:fill="F1F1F1"/>
          </w:tcPr>
          <w:p>
            <w:pPr>
              <w:pStyle w:val="TableParagraph"/>
              <w:spacing w:line="265" w:lineRule="exact"/>
              <w:ind w:left="103"/>
              <w:rPr>
                <w:rFonts w:ascii="Calibri"/>
                <w:b/>
                <w:sz w:val="22"/>
              </w:rPr>
            </w:pPr>
            <w:r>
              <w:rPr>
                <w:rFonts w:ascii="Calibri"/>
                <w:b/>
                <w:w w:val="100"/>
                <w:sz w:val="22"/>
              </w:rPr>
              <w:t>3</w:t>
            </w:r>
          </w:p>
        </w:tc>
        <w:tc>
          <w:tcPr>
            <w:tcW w:w="958" w:type="dxa"/>
            <w:shd w:val="clear" w:color="auto" w:fill="F1F1F1"/>
          </w:tcPr>
          <w:p>
            <w:pPr/>
          </w:p>
        </w:tc>
        <w:tc>
          <w:tcPr>
            <w:tcW w:w="1124" w:type="dxa"/>
            <w:shd w:val="clear" w:color="auto" w:fill="F1F1F1"/>
          </w:tcPr>
          <w:p>
            <w:pPr/>
          </w:p>
        </w:tc>
        <w:tc>
          <w:tcPr>
            <w:tcW w:w="1126" w:type="dxa"/>
            <w:shd w:val="clear" w:color="auto" w:fill="F1F1F1"/>
          </w:tcPr>
          <w:p>
            <w:pPr/>
          </w:p>
        </w:tc>
        <w:tc>
          <w:tcPr>
            <w:tcW w:w="1124" w:type="dxa"/>
            <w:shd w:val="clear" w:color="auto" w:fill="F1F1F1"/>
          </w:tcPr>
          <w:p>
            <w:pPr>
              <w:pStyle w:val="TableParagraph"/>
              <w:tabs>
                <w:tab w:pos="832" w:val="left" w:leader="none"/>
              </w:tabs>
              <w:spacing w:line="360" w:lineRule="auto"/>
              <w:ind w:left="100"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p=0.04 en el conteo</w:t>
              <w:tab/>
              <w:t>de basófilos.</w:t>
            </w:r>
          </w:p>
        </w:tc>
        <w:tc>
          <w:tcPr>
            <w:tcW w:w="1176" w:type="dxa"/>
            <w:shd w:val="clear" w:color="auto" w:fill="F1F1F1"/>
          </w:tcPr>
          <w:p>
            <w:pPr>
              <w:pStyle w:val="TableParagraph"/>
              <w:tabs>
                <w:tab w:pos="887" w:val="left" w:leader="none"/>
              </w:tabs>
              <w:spacing w:line="360" w:lineRule="auto"/>
              <w:ind w:left="103" w:right="98"/>
              <w:rPr>
                <w:rFonts w:ascii="Arial"/>
                <w:sz w:val="16"/>
              </w:rPr>
            </w:pPr>
            <w:r>
              <w:rPr>
                <w:rFonts w:ascii="Arial"/>
                <w:sz w:val="16"/>
              </w:rPr>
              <w:t>Existen diferencias significativas p=0.03 en el conteo</w:t>
              <w:tab/>
              <w:t>de</w:t>
            </w:r>
          </w:p>
          <w:p>
            <w:pPr>
              <w:pStyle w:val="TableParagraph"/>
              <w:spacing w:line="360" w:lineRule="auto" w:before="2"/>
              <w:ind w:left="103" w:right="98"/>
              <w:jc w:val="both"/>
              <w:rPr>
                <w:rFonts w:ascii="Arial" w:hAnsi="Arial"/>
                <w:sz w:val="16"/>
              </w:rPr>
            </w:pPr>
            <w:r>
              <w:rPr>
                <w:rFonts w:ascii="Arial" w:hAnsi="Arial"/>
                <w:sz w:val="16"/>
              </w:rPr>
              <w:t>basófilos  y p= 0.02 en el valor de hemoglobina.</w:t>
            </w:r>
          </w:p>
        </w:tc>
        <w:tc>
          <w:tcPr>
            <w:tcW w:w="1126" w:type="dxa"/>
            <w:shd w:val="clear" w:color="auto" w:fill="F1F1F1"/>
          </w:tcPr>
          <w:p>
            <w:pPr>
              <w:pStyle w:val="TableParagraph"/>
              <w:tabs>
                <w:tab w:pos="834" w:val="left" w:leader="none"/>
              </w:tabs>
              <w:spacing w:line="360" w:lineRule="auto"/>
              <w:ind w:left="103" w:right="101"/>
              <w:rPr>
                <w:rFonts w:ascii="Arial"/>
                <w:sz w:val="16"/>
              </w:rPr>
            </w:pPr>
            <w:r>
              <w:rPr>
                <w:rFonts w:ascii="Arial"/>
                <w:sz w:val="16"/>
              </w:rPr>
              <w:t>Existen diferencias </w:t>
            </w:r>
            <w:r>
              <w:rPr>
                <w:rFonts w:ascii="Arial"/>
                <w:spacing w:val="-1"/>
                <w:sz w:val="16"/>
              </w:rPr>
              <w:t>significativas </w:t>
            </w:r>
            <w:r>
              <w:rPr>
                <w:rFonts w:ascii="Arial"/>
                <w:sz w:val="16"/>
              </w:rPr>
              <w:t>p=0.03 en el conteo</w:t>
              <w:tab/>
              <w:t>de</w:t>
            </w:r>
          </w:p>
          <w:p>
            <w:pPr>
              <w:pStyle w:val="TableParagraph"/>
              <w:spacing w:line="360" w:lineRule="auto" w:before="2"/>
              <w:ind w:left="103" w:right="101"/>
              <w:jc w:val="both"/>
              <w:rPr>
                <w:rFonts w:ascii="Arial" w:hAnsi="Arial"/>
                <w:sz w:val="16"/>
              </w:rPr>
            </w:pPr>
            <w:r>
              <w:rPr>
                <w:rFonts w:ascii="Arial" w:hAnsi="Arial"/>
                <w:sz w:val="16"/>
              </w:rPr>
              <w:t>basófilos y p= 0.02 en</w:t>
            </w:r>
            <w:r>
              <w:rPr>
                <w:rFonts w:ascii="Arial" w:hAnsi="Arial"/>
                <w:spacing w:val="-26"/>
                <w:sz w:val="16"/>
              </w:rPr>
              <w:t> </w:t>
            </w:r>
            <w:r>
              <w:rPr>
                <w:rFonts w:ascii="Arial" w:hAnsi="Arial"/>
                <w:sz w:val="16"/>
              </w:rPr>
              <w:t>el conteo de eritrocitos.</w:t>
            </w:r>
          </w:p>
        </w:tc>
        <w:tc>
          <w:tcPr>
            <w:tcW w:w="1123" w:type="dxa"/>
            <w:shd w:val="clear" w:color="auto" w:fill="F1F1F1"/>
          </w:tcPr>
          <w:p>
            <w:pPr>
              <w:pStyle w:val="TableParagraph"/>
              <w:tabs>
                <w:tab w:pos="832" w:val="left" w:leader="none"/>
              </w:tabs>
              <w:spacing w:line="360" w:lineRule="auto"/>
              <w:ind w:left="100" w:right="101"/>
              <w:rPr>
                <w:rFonts w:ascii="Arial"/>
                <w:sz w:val="16"/>
              </w:rPr>
            </w:pPr>
            <w:r>
              <w:rPr>
                <w:rFonts w:ascii="Arial"/>
                <w:sz w:val="16"/>
              </w:rPr>
              <w:t>Existen diferencias </w:t>
            </w:r>
            <w:r>
              <w:rPr>
                <w:rFonts w:ascii="Arial"/>
                <w:spacing w:val="-1"/>
                <w:sz w:val="16"/>
              </w:rPr>
              <w:t>significativas </w:t>
            </w:r>
            <w:r>
              <w:rPr>
                <w:rFonts w:ascii="Arial"/>
                <w:sz w:val="16"/>
              </w:rPr>
              <w:t>p=0.02 en el conteo</w:t>
              <w:tab/>
              <w:t>de</w:t>
            </w:r>
          </w:p>
          <w:p>
            <w:pPr>
              <w:pStyle w:val="TableParagraph"/>
              <w:spacing w:line="360" w:lineRule="auto" w:before="2"/>
              <w:ind w:left="100" w:right="102"/>
              <w:jc w:val="both"/>
              <w:rPr>
                <w:rFonts w:ascii="Arial" w:hAnsi="Arial"/>
                <w:sz w:val="16"/>
              </w:rPr>
            </w:pPr>
            <w:r>
              <w:rPr>
                <w:rFonts w:ascii="Arial" w:hAnsi="Arial"/>
                <w:sz w:val="16"/>
              </w:rPr>
              <w:t>basófilos y p= 0.005 en el valor de temperatura.</w:t>
            </w:r>
          </w:p>
        </w:tc>
      </w:tr>
      <w:tr>
        <w:trPr>
          <w:trHeight w:val="2494" w:hRule="exact"/>
        </w:trPr>
        <w:tc>
          <w:tcPr>
            <w:tcW w:w="960" w:type="dxa"/>
          </w:tcPr>
          <w:p>
            <w:pPr>
              <w:pStyle w:val="TableParagraph"/>
              <w:spacing w:line="265" w:lineRule="exact"/>
              <w:ind w:left="103"/>
              <w:rPr>
                <w:rFonts w:ascii="Calibri"/>
                <w:b/>
                <w:sz w:val="22"/>
              </w:rPr>
            </w:pPr>
            <w:r>
              <w:rPr>
                <w:rFonts w:ascii="Calibri"/>
                <w:b/>
                <w:w w:val="100"/>
                <w:sz w:val="22"/>
              </w:rPr>
              <w:t>4</w:t>
            </w:r>
          </w:p>
        </w:tc>
        <w:tc>
          <w:tcPr>
            <w:tcW w:w="958" w:type="dxa"/>
          </w:tcPr>
          <w:p>
            <w:pPr/>
          </w:p>
        </w:tc>
        <w:tc>
          <w:tcPr>
            <w:tcW w:w="1124" w:type="dxa"/>
          </w:tcPr>
          <w:p>
            <w:pPr/>
          </w:p>
        </w:tc>
        <w:tc>
          <w:tcPr>
            <w:tcW w:w="1126" w:type="dxa"/>
          </w:tcPr>
          <w:p>
            <w:pPr/>
          </w:p>
        </w:tc>
        <w:tc>
          <w:tcPr>
            <w:tcW w:w="1124" w:type="dxa"/>
          </w:tcPr>
          <w:p>
            <w:pPr/>
          </w:p>
        </w:tc>
        <w:tc>
          <w:tcPr>
            <w:tcW w:w="1176" w:type="dxa"/>
          </w:tcPr>
          <w:p>
            <w:pPr>
              <w:pStyle w:val="TableParagraph"/>
              <w:tabs>
                <w:tab w:pos="887" w:val="left" w:leader="none"/>
              </w:tabs>
              <w:spacing w:line="360" w:lineRule="auto"/>
              <w:ind w:left="103" w:right="98"/>
              <w:rPr>
                <w:rFonts w:ascii="Arial" w:hAnsi="Arial"/>
                <w:sz w:val="16"/>
              </w:rPr>
            </w:pPr>
            <w:r>
              <w:rPr>
                <w:rFonts w:ascii="Arial" w:hAnsi="Arial"/>
                <w:sz w:val="16"/>
              </w:rPr>
              <w:t>Existen diferencias significativas p=0.01 en el conteo</w:t>
              <w:tab/>
              <w:t>de basófilos.</w:t>
            </w:r>
          </w:p>
        </w:tc>
        <w:tc>
          <w:tcPr>
            <w:tcW w:w="1126" w:type="dxa"/>
          </w:tcPr>
          <w:p>
            <w:pPr>
              <w:pStyle w:val="TableParagraph"/>
              <w:tabs>
                <w:tab w:pos="834" w:val="left" w:leader="none"/>
              </w:tabs>
              <w:spacing w:line="360" w:lineRule="auto"/>
              <w:ind w:left="103"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p=0.009 en el conteo de basófilos y p= 0.02 en</w:t>
            </w:r>
            <w:r>
              <w:rPr>
                <w:rFonts w:ascii="Arial" w:hAnsi="Arial"/>
                <w:spacing w:val="-26"/>
                <w:sz w:val="16"/>
              </w:rPr>
              <w:t> </w:t>
            </w:r>
            <w:r>
              <w:rPr>
                <w:rFonts w:ascii="Arial" w:hAnsi="Arial"/>
                <w:sz w:val="16"/>
              </w:rPr>
              <w:t>el conteo</w:t>
              <w:tab/>
              <w:t>de eritrocitos.</w:t>
            </w:r>
          </w:p>
        </w:tc>
        <w:tc>
          <w:tcPr>
            <w:tcW w:w="1123" w:type="dxa"/>
          </w:tcPr>
          <w:p>
            <w:pPr>
              <w:pStyle w:val="TableParagraph"/>
              <w:tabs>
                <w:tab w:pos="832" w:val="left" w:leader="none"/>
              </w:tabs>
              <w:spacing w:line="360" w:lineRule="auto"/>
              <w:ind w:left="100" w:right="101"/>
              <w:rPr>
                <w:rFonts w:ascii="Arial"/>
                <w:sz w:val="16"/>
              </w:rPr>
            </w:pPr>
            <w:r>
              <w:rPr>
                <w:rFonts w:ascii="Arial"/>
                <w:sz w:val="16"/>
              </w:rPr>
              <w:t>Existen diferencias </w:t>
            </w:r>
            <w:r>
              <w:rPr>
                <w:rFonts w:ascii="Arial"/>
                <w:spacing w:val="-1"/>
                <w:sz w:val="16"/>
              </w:rPr>
              <w:t>significativas </w:t>
            </w:r>
            <w:r>
              <w:rPr>
                <w:rFonts w:ascii="Arial"/>
                <w:sz w:val="16"/>
              </w:rPr>
              <w:t>p=0.02 en el conteo</w:t>
              <w:tab/>
              <w:t>de</w:t>
            </w:r>
          </w:p>
          <w:p>
            <w:pPr>
              <w:pStyle w:val="TableParagraph"/>
              <w:spacing w:line="360" w:lineRule="auto" w:before="2"/>
              <w:ind w:left="100" w:right="102"/>
              <w:jc w:val="both"/>
              <w:rPr>
                <w:rFonts w:ascii="Arial" w:hAnsi="Arial"/>
                <w:sz w:val="16"/>
              </w:rPr>
            </w:pPr>
            <w:r>
              <w:rPr>
                <w:rFonts w:ascii="Arial" w:hAnsi="Arial"/>
                <w:sz w:val="16"/>
              </w:rPr>
              <w:t>basófilos y p= 0.001 en el conteo de eritrocitos.</w:t>
            </w:r>
          </w:p>
        </w:tc>
      </w:tr>
      <w:tr>
        <w:trPr>
          <w:trHeight w:val="1666" w:hRule="exact"/>
        </w:trPr>
        <w:tc>
          <w:tcPr>
            <w:tcW w:w="960" w:type="dxa"/>
            <w:shd w:val="clear" w:color="auto" w:fill="F1F1F1"/>
          </w:tcPr>
          <w:p>
            <w:pPr>
              <w:pStyle w:val="TableParagraph"/>
              <w:spacing w:line="265" w:lineRule="exact"/>
              <w:ind w:left="103"/>
              <w:rPr>
                <w:rFonts w:ascii="Calibri"/>
                <w:b/>
                <w:sz w:val="22"/>
              </w:rPr>
            </w:pPr>
            <w:r>
              <w:rPr>
                <w:rFonts w:ascii="Calibri"/>
                <w:b/>
                <w:w w:val="100"/>
                <w:sz w:val="22"/>
              </w:rPr>
              <w:t>5</w:t>
            </w:r>
          </w:p>
        </w:tc>
        <w:tc>
          <w:tcPr>
            <w:tcW w:w="958" w:type="dxa"/>
            <w:shd w:val="clear" w:color="auto" w:fill="F1F1F1"/>
          </w:tcPr>
          <w:p>
            <w:pPr/>
          </w:p>
        </w:tc>
        <w:tc>
          <w:tcPr>
            <w:tcW w:w="1124" w:type="dxa"/>
            <w:shd w:val="clear" w:color="auto" w:fill="F1F1F1"/>
          </w:tcPr>
          <w:p>
            <w:pPr/>
          </w:p>
        </w:tc>
        <w:tc>
          <w:tcPr>
            <w:tcW w:w="1126" w:type="dxa"/>
            <w:shd w:val="clear" w:color="auto" w:fill="F1F1F1"/>
          </w:tcPr>
          <w:p>
            <w:pPr/>
          </w:p>
        </w:tc>
        <w:tc>
          <w:tcPr>
            <w:tcW w:w="1124" w:type="dxa"/>
            <w:shd w:val="clear" w:color="auto" w:fill="F1F1F1"/>
          </w:tcPr>
          <w:p>
            <w:pPr/>
          </w:p>
        </w:tc>
        <w:tc>
          <w:tcPr>
            <w:tcW w:w="1176" w:type="dxa"/>
            <w:shd w:val="clear" w:color="auto" w:fill="F1F1F1"/>
          </w:tcPr>
          <w:p>
            <w:pPr/>
          </w:p>
        </w:tc>
        <w:tc>
          <w:tcPr>
            <w:tcW w:w="1126" w:type="dxa"/>
            <w:shd w:val="clear" w:color="auto" w:fill="F1F1F1"/>
          </w:tcPr>
          <w:p>
            <w:pPr>
              <w:pStyle w:val="TableParagraph"/>
              <w:tabs>
                <w:tab w:pos="834" w:val="left" w:leader="none"/>
              </w:tabs>
              <w:spacing w:line="360" w:lineRule="auto"/>
              <w:ind w:left="103"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p=0.02 en el conteo</w:t>
              <w:tab/>
              <w:t>de basófilos.</w:t>
            </w:r>
          </w:p>
        </w:tc>
        <w:tc>
          <w:tcPr>
            <w:tcW w:w="1123" w:type="dxa"/>
            <w:shd w:val="clear" w:color="auto" w:fill="F1F1F1"/>
          </w:tcPr>
          <w:p>
            <w:pPr>
              <w:pStyle w:val="TableParagraph"/>
              <w:tabs>
                <w:tab w:pos="832" w:val="left" w:leader="none"/>
              </w:tabs>
              <w:spacing w:line="360" w:lineRule="auto"/>
              <w:ind w:left="100" w:right="101"/>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p=0.01 en el conteo</w:t>
              <w:tab/>
              <w:t>de basófilos.</w:t>
            </w:r>
          </w:p>
        </w:tc>
      </w:tr>
      <w:tr>
        <w:trPr>
          <w:trHeight w:val="1669" w:hRule="exact"/>
        </w:trPr>
        <w:tc>
          <w:tcPr>
            <w:tcW w:w="960" w:type="dxa"/>
          </w:tcPr>
          <w:p>
            <w:pPr>
              <w:pStyle w:val="TableParagraph"/>
              <w:spacing w:line="268" w:lineRule="exact"/>
              <w:ind w:left="103"/>
              <w:rPr>
                <w:rFonts w:ascii="Calibri"/>
                <w:b/>
                <w:sz w:val="22"/>
              </w:rPr>
            </w:pPr>
            <w:r>
              <w:rPr>
                <w:rFonts w:ascii="Calibri"/>
                <w:b/>
                <w:w w:val="100"/>
                <w:sz w:val="22"/>
              </w:rPr>
              <w:t>6</w:t>
            </w:r>
          </w:p>
        </w:tc>
        <w:tc>
          <w:tcPr>
            <w:tcW w:w="958" w:type="dxa"/>
          </w:tcPr>
          <w:p>
            <w:pPr/>
          </w:p>
        </w:tc>
        <w:tc>
          <w:tcPr>
            <w:tcW w:w="1124" w:type="dxa"/>
          </w:tcPr>
          <w:p>
            <w:pPr/>
          </w:p>
        </w:tc>
        <w:tc>
          <w:tcPr>
            <w:tcW w:w="1126" w:type="dxa"/>
          </w:tcPr>
          <w:p>
            <w:pPr/>
          </w:p>
        </w:tc>
        <w:tc>
          <w:tcPr>
            <w:tcW w:w="1124" w:type="dxa"/>
          </w:tcPr>
          <w:p>
            <w:pPr/>
          </w:p>
        </w:tc>
        <w:tc>
          <w:tcPr>
            <w:tcW w:w="1176" w:type="dxa"/>
          </w:tcPr>
          <w:p>
            <w:pPr/>
          </w:p>
        </w:tc>
        <w:tc>
          <w:tcPr>
            <w:tcW w:w="1126" w:type="dxa"/>
          </w:tcPr>
          <w:p>
            <w:pPr/>
          </w:p>
        </w:tc>
        <w:tc>
          <w:tcPr>
            <w:tcW w:w="1123" w:type="dxa"/>
          </w:tcPr>
          <w:p>
            <w:pPr>
              <w:pStyle w:val="TableParagraph"/>
              <w:ind w:left="100" w:right="102"/>
              <w:rPr>
                <w:rFonts w:ascii="Arial" w:hAnsi="Arial"/>
                <w:sz w:val="16"/>
              </w:rPr>
            </w:pPr>
            <w:r>
              <w:rPr>
                <w:rFonts w:ascii="Arial" w:hAnsi="Arial"/>
                <w:sz w:val="16"/>
              </w:rPr>
              <w:t>Existen diferencias </w:t>
            </w:r>
            <w:r>
              <w:rPr>
                <w:rFonts w:ascii="Arial" w:hAnsi="Arial"/>
                <w:spacing w:val="-1"/>
                <w:sz w:val="16"/>
              </w:rPr>
              <w:t>significativas </w:t>
            </w:r>
            <w:r>
              <w:rPr>
                <w:rFonts w:ascii="Arial" w:hAnsi="Arial"/>
                <w:sz w:val="16"/>
              </w:rPr>
              <w:t>p=0.03 en el conteo de basófilos y p= 0.02 en el conteo de eritrocitos</w:t>
            </w:r>
          </w:p>
        </w:tc>
      </w:tr>
    </w:tbl>
    <w:p>
      <w:pPr>
        <w:pStyle w:val="BodyText"/>
        <w:rPr>
          <w:sz w:val="20"/>
        </w:rPr>
      </w:pPr>
    </w:p>
    <w:p>
      <w:pPr>
        <w:pStyle w:val="BodyText"/>
        <w:spacing w:before="187"/>
        <w:ind w:left="102"/>
      </w:pPr>
      <w:r>
        <w:rPr/>
        <w:t>Tabla 4. Resultados de la prueba de T student.</w:t>
      </w:r>
    </w:p>
    <w:p>
      <w:pPr>
        <w:spacing w:after="0"/>
        <w:sectPr>
          <w:pgSz w:w="12240" w:h="15840"/>
          <w:pgMar w:header="0" w:footer="1106" w:top="1100" w:bottom="1300" w:left="1600" w:right="1700"/>
        </w:sectPr>
      </w:pPr>
    </w:p>
    <w:p>
      <w:pPr>
        <w:pStyle w:val="BodyText"/>
        <w:ind w:left="116"/>
        <w:rPr>
          <w:sz w:val="20"/>
        </w:rPr>
      </w:pPr>
      <w:r>
        <w:rPr/>
        <w:pict>
          <v:group style="position:absolute;margin-left:59.744999pt;margin-top:279.945007pt;width:256.3500pt;height:156.65pt;mso-position-horizontal-relative:page;mso-position-vertical-relative:page;z-index:-136144" coordorigin="1195,5599" coordsize="5127,3133">
            <v:shape style="position:absolute;left:1728;top:7183;width:4366;height:312" coordorigin="1728,7183" coordsize="4366,312" path="m1728,7183l6094,7183m1728,7495l6094,7495e" filled="false" stroked="true" strokeweight=".72pt" strokecolor="#d9d9d9">
              <v:path arrowok="t"/>
            </v:shape>
            <v:shape style="position:absolute;left:1836;top:6998;width:4150;height:497" coordorigin="1836,6998" coordsize="4150,497" path="m1836,7495l2054,7495,2273,7495,2491,7092,2710,7152,2928,7495,3146,7495,3365,7495,3583,7495,3802,6998,4020,7495,4238,7495,4457,7495,5767,7495,5986,7495e" filled="false" stroked="true" strokeweight="2.16pt" strokecolor="#5b9bd4">
              <v:path arrowok="t"/>
            </v:shape>
            <v:shape style="position:absolute;left:1778;top:7437;width:115;height:115" type="#_x0000_t75" stroked="false">
              <v:imagedata r:id="rId56" o:title=""/>
            </v:shape>
            <v:shape style="position:absolute;left:1997;top:7437;width:115;height:115" type="#_x0000_t75" stroked="false">
              <v:imagedata r:id="rId57" o:title=""/>
            </v:shape>
            <v:shape style="position:absolute;left:2215;top:7437;width:115;height:115" type="#_x0000_t75" stroked="false">
              <v:imagedata r:id="rId57" o:title=""/>
            </v:shape>
            <v:shape style="position:absolute;left:2434;top:7034;width:115;height:115" type="#_x0000_t75" stroked="false">
              <v:imagedata r:id="rId57" o:title=""/>
            </v:shape>
            <v:shape style="position:absolute;left:2652;top:7094;width:115;height:115" type="#_x0000_t75" stroked="false">
              <v:imagedata r:id="rId58" o:title=""/>
            </v:shape>
            <v:shape style="position:absolute;left:2870;top:7437;width:115;height:115" type="#_x0000_t75" stroked="false">
              <v:imagedata r:id="rId58" o:title=""/>
            </v:shape>
            <v:shape style="position:absolute;left:3089;top:7437;width:115;height:115" type="#_x0000_t75" stroked="false">
              <v:imagedata r:id="rId58" o:title=""/>
            </v:shape>
            <v:shape style="position:absolute;left:3307;top:7437;width:115;height:115" type="#_x0000_t75" stroked="false">
              <v:imagedata r:id="rId58" o:title=""/>
            </v:shape>
            <v:shape style="position:absolute;left:3526;top:7437;width:115;height:115" type="#_x0000_t75" stroked="false">
              <v:imagedata r:id="rId58" o:title=""/>
            </v:shape>
            <v:line style="position:absolute" from="1728,6874" to="6094,6874" stroked="true" strokeweight=".72pt" strokecolor="#d9d9d9"/>
            <v:shape style="position:absolute;left:3744;top:6940;width:115;height:115" type="#_x0000_t75" stroked="false">
              <v:imagedata r:id="rId59" o:title=""/>
            </v:shape>
            <v:shape style="position:absolute;left:3962;top:7437;width:115;height:115" type="#_x0000_t75" stroked="false">
              <v:imagedata r:id="rId57" o:title=""/>
            </v:shape>
            <v:shape style="position:absolute;left:4181;top:7437;width:115;height:115" type="#_x0000_t75" stroked="false">
              <v:imagedata r:id="rId57" o:title=""/>
            </v:shape>
            <v:shape style="position:absolute;left:4399;top:7437;width:115;height:115" type="#_x0000_t75" stroked="false">
              <v:imagedata r:id="rId58" o:title=""/>
            </v:shape>
            <v:shape style="position:absolute;left:4618;top:7437;width:115;height:115" type="#_x0000_t75" stroked="false">
              <v:imagedata r:id="rId58" o:title=""/>
            </v:shape>
            <v:shape style="position:absolute;left:4836;top:7437;width:115;height:115" type="#_x0000_t75" stroked="false">
              <v:imagedata r:id="rId58" o:title=""/>
            </v:shape>
            <v:shape style="position:absolute;left:5054;top:7437;width:115;height:115" type="#_x0000_t75" stroked="false">
              <v:imagedata r:id="rId58" o:title=""/>
            </v:shape>
            <v:shape style="position:absolute;left:5273;top:7437;width:115;height:115" type="#_x0000_t75" stroked="false">
              <v:imagedata r:id="rId58" o:title=""/>
            </v:shape>
            <v:shape style="position:absolute;left:5491;top:7437;width:115;height:115" type="#_x0000_t75" stroked="false">
              <v:imagedata r:id="rId57" o:title=""/>
            </v:shape>
            <v:shape style="position:absolute;left:5710;top:7437;width:115;height:115" type="#_x0000_t75" stroked="false">
              <v:imagedata r:id="rId57" o:title=""/>
            </v:shape>
            <v:shape style="position:absolute;left:5928;top:7437;width:115;height:115" type="#_x0000_t75" stroked="false">
              <v:imagedata r:id="rId57" o:title=""/>
            </v:shape>
            <v:line style="position:absolute" from="1728,6562" to="6094,6562" stroked="true" strokeweight=".72pt" strokecolor="#d9d9d9"/>
            <v:shape style="position:absolute;left:1836;top:6562;width:4150;height:934" coordorigin="1836,6562" coordsize="4150,934" path="m1836,7495l2054,6562,2273,7092,2491,7495,2710,7495,2928,7495,3146,7495,3365,7246,3583,7495,3802,7246,4020,7495,5767,7495,5986,7495e" filled="false" stroked="true" strokeweight="2.16pt" strokecolor="#ec7c30">
              <v:path arrowok="t"/>
            </v:shape>
            <v:shape style="position:absolute;left:1778;top:7437;width:115;height:115" type="#_x0000_t75" stroked="false">
              <v:imagedata r:id="rId60" o:title=""/>
            </v:shape>
            <v:shape style="position:absolute;left:1997;top:6503;width:115;height:115" type="#_x0000_t75" stroked="false">
              <v:imagedata r:id="rId61" o:title=""/>
            </v:shape>
            <v:shape style="position:absolute;left:2215;top:7034;width:115;height:115" type="#_x0000_t75" stroked="false">
              <v:imagedata r:id="rId61" o:title=""/>
            </v:shape>
            <v:shape style="position:absolute;left:2434;top:7437;width:115;height:115" type="#_x0000_t75" stroked="false">
              <v:imagedata r:id="rId61" o:title=""/>
            </v:shape>
            <v:shape style="position:absolute;left:2652;top:7437;width:115;height:115" type="#_x0000_t75" stroked="false">
              <v:imagedata r:id="rId62" o:title=""/>
            </v:shape>
            <v:shape style="position:absolute;left:2870;top:7437;width:115;height:115" type="#_x0000_t75" stroked="false">
              <v:imagedata r:id="rId62" o:title=""/>
            </v:shape>
            <v:shape style="position:absolute;left:3089;top:7437;width:115;height:115" type="#_x0000_t75" stroked="false">
              <v:imagedata r:id="rId62" o:title=""/>
            </v:shape>
            <v:shape style="position:absolute;left:3307;top:7187;width:115;height:115" type="#_x0000_t75" stroked="false">
              <v:imagedata r:id="rId63" o:title=""/>
            </v:shape>
            <v:shape style="position:absolute;left:3526;top:7437;width:115;height:115" type="#_x0000_t75" stroked="false">
              <v:imagedata r:id="rId62" o:title=""/>
            </v:shape>
            <v:shape style="position:absolute;left:3744;top:7187;width:115;height:115" type="#_x0000_t75" stroked="false">
              <v:imagedata r:id="rId64" o:title=""/>
            </v:shape>
            <v:shape style="position:absolute;left:3962;top:7437;width:115;height:115" type="#_x0000_t75" stroked="false">
              <v:imagedata r:id="rId61" o:title=""/>
            </v:shape>
            <v:shape style="position:absolute;left:4181;top:7437;width:115;height:115" type="#_x0000_t75" stroked="false">
              <v:imagedata r:id="rId61" o:title=""/>
            </v:shape>
            <v:shape style="position:absolute;left:4399;top:7437;width:115;height:115" type="#_x0000_t75" stroked="false">
              <v:imagedata r:id="rId62" o:title=""/>
            </v:shape>
            <v:shape style="position:absolute;left:4618;top:7437;width:115;height:115" type="#_x0000_t75" stroked="false">
              <v:imagedata r:id="rId62" o:title=""/>
            </v:shape>
            <v:shape style="position:absolute;left:4836;top:7437;width:115;height:115" type="#_x0000_t75" stroked="false">
              <v:imagedata r:id="rId62" o:title=""/>
            </v:shape>
            <v:shape style="position:absolute;left:5054;top:7437;width:115;height:115" type="#_x0000_t75" stroked="false">
              <v:imagedata r:id="rId62" o:title=""/>
            </v:shape>
            <v:shape style="position:absolute;left:5273;top:7437;width:115;height:115" type="#_x0000_t75" stroked="false">
              <v:imagedata r:id="rId62" o:title=""/>
            </v:shape>
            <v:shape style="position:absolute;left:5491;top:7437;width:115;height:115" type="#_x0000_t75" stroked="false">
              <v:imagedata r:id="rId61" o:title=""/>
            </v:shape>
            <v:shape style="position:absolute;left:5710;top:7437;width:115;height:115" type="#_x0000_t75" stroked="false">
              <v:imagedata r:id="rId61" o:title=""/>
            </v:shape>
            <v:shape style="position:absolute;left:5928;top:7437;width:115;height:115" type="#_x0000_t75" stroked="false">
              <v:imagedata r:id="rId61" o:title=""/>
            </v:shape>
            <v:shape style="position:absolute;left:1836;top:7092;width:4150;height:404" coordorigin="1836,7092" coordsize="4150,404" path="m1836,7495l2054,7495,2273,7495,2491,7495,2710,7214,2928,7495,3146,7308,3365,7495,3583,7495,3802,7092,4020,7495,5767,7495,5986,7495e" filled="false" stroked="true" strokeweight="2.16pt" strokecolor="#a4a4a4">
              <v:path arrowok="t"/>
            </v:shape>
            <v:shape style="position:absolute;left:1778;top:7437;width:115;height:115" type="#_x0000_t75" stroked="false">
              <v:imagedata r:id="rId65" o:title=""/>
            </v:shape>
            <v:shape style="position:absolute;left:1997;top:7437;width:115;height:115" type="#_x0000_t75" stroked="false">
              <v:imagedata r:id="rId66" o:title=""/>
            </v:shape>
            <v:shape style="position:absolute;left:2215;top:7437;width:115;height:115" type="#_x0000_t75" stroked="false">
              <v:imagedata r:id="rId66" o:title=""/>
            </v:shape>
            <v:shape style="position:absolute;left:2434;top:7437;width:115;height:115" type="#_x0000_t75" stroked="false">
              <v:imagedata r:id="rId66" o:title=""/>
            </v:shape>
            <v:shape style="position:absolute;left:2652;top:7156;width:115;height:115" type="#_x0000_t75" stroked="false">
              <v:imagedata r:id="rId67" o:title=""/>
            </v:shape>
            <v:shape style="position:absolute;left:2870;top:7437;width:115;height:115" type="#_x0000_t75" stroked="false">
              <v:imagedata r:id="rId67" o:title=""/>
            </v:shape>
            <v:shape style="position:absolute;left:3089;top:7250;width:115;height:115" type="#_x0000_t75" stroked="false">
              <v:imagedata r:id="rId67" o:title=""/>
            </v:shape>
            <v:shape style="position:absolute;left:3307;top:7437;width:115;height:115" type="#_x0000_t75" stroked="false">
              <v:imagedata r:id="rId67" o:title=""/>
            </v:shape>
            <v:shape style="position:absolute;left:3526;top:7437;width:115;height:115" type="#_x0000_t75" stroked="false">
              <v:imagedata r:id="rId67" o:title=""/>
            </v:shape>
            <v:shape style="position:absolute;left:3744;top:7034;width:115;height:115" type="#_x0000_t75" stroked="false">
              <v:imagedata r:id="rId66" o:title=""/>
            </v:shape>
            <v:shape style="position:absolute;left:3962;top:7437;width:115;height:115" type="#_x0000_t75" stroked="false">
              <v:imagedata r:id="rId66" o:title=""/>
            </v:shape>
            <v:shape style="position:absolute;left:4181;top:7437;width:115;height:115" type="#_x0000_t75" stroked="false">
              <v:imagedata r:id="rId66" o:title=""/>
            </v:shape>
            <v:shape style="position:absolute;left:4399;top:7437;width:115;height:115" type="#_x0000_t75" stroked="false">
              <v:imagedata r:id="rId67" o:title=""/>
            </v:shape>
            <v:shape style="position:absolute;left:4618;top:7437;width:115;height:115" type="#_x0000_t75" stroked="false">
              <v:imagedata r:id="rId67" o:title=""/>
            </v:shape>
            <v:shape style="position:absolute;left:4836;top:7437;width:115;height:115" type="#_x0000_t75" stroked="false">
              <v:imagedata r:id="rId67" o:title=""/>
            </v:shape>
            <v:shape style="position:absolute;left:5054;top:7437;width:115;height:115" type="#_x0000_t75" stroked="false">
              <v:imagedata r:id="rId67" o:title=""/>
            </v:shape>
            <v:shape style="position:absolute;left:5273;top:7437;width:115;height:115" type="#_x0000_t75" stroked="false">
              <v:imagedata r:id="rId67" o:title=""/>
            </v:shape>
            <v:shape style="position:absolute;left:5491;top:7437;width:115;height:115" type="#_x0000_t75" stroked="false">
              <v:imagedata r:id="rId66" o:title=""/>
            </v:shape>
            <v:shape style="position:absolute;left:5710;top:7437;width:115;height:115" type="#_x0000_t75" stroked="false">
              <v:imagedata r:id="rId66" o:title=""/>
            </v:shape>
            <v:shape style="position:absolute;left:5928;top:7437;width:115;height:115" type="#_x0000_t75" stroked="false">
              <v:imagedata r:id="rId66" o:title=""/>
            </v:shape>
            <v:shape style="position:absolute;left:1836;top:6530;width:4150;height:965" coordorigin="1836,6530" coordsize="4150,965" path="m1836,7495l2054,7495,2273,7495,2491,6530,2710,7495,2928,7495,3146,6624,3365,7152,3583,7495,3802,7183,4020,7152,4238,7123,4457,7495,4675,7495,4894,7061,5112,7495,5330,7495,5549,7495,5767,7495,5986,7495e" filled="false" stroked="true" strokeweight="2.16pt" strokecolor="#ffc000">
              <v:path arrowok="t"/>
            </v:shape>
            <v:shape style="position:absolute;left:1778;top:7437;width:115;height:115" type="#_x0000_t75" stroked="false">
              <v:imagedata r:id="rId68" o:title=""/>
            </v:shape>
            <v:shape style="position:absolute;left:1997;top:7437;width:115;height:115" type="#_x0000_t75" stroked="false">
              <v:imagedata r:id="rId69" o:title=""/>
            </v:shape>
            <v:shape style="position:absolute;left:2215;top:7437;width:115;height:115" type="#_x0000_t75" stroked="false">
              <v:imagedata r:id="rId69" o:title=""/>
            </v:shape>
            <v:shape style="position:absolute;left:2434;top:6472;width:115;height:115" type="#_x0000_t75" stroked="false">
              <v:imagedata r:id="rId69" o:title=""/>
            </v:shape>
            <v:shape style="position:absolute;left:2652;top:7437;width:115;height:115" type="#_x0000_t75" stroked="false">
              <v:imagedata r:id="rId70" o:title=""/>
            </v:shape>
            <v:shape style="position:absolute;left:2870;top:7437;width:115;height:115" type="#_x0000_t75" stroked="false">
              <v:imagedata r:id="rId70" o:title=""/>
            </v:shape>
            <v:shape style="position:absolute;left:3089;top:6566;width:115;height:115" type="#_x0000_t75" stroked="false">
              <v:imagedata r:id="rId71" o:title=""/>
            </v:shape>
            <v:shape style="position:absolute;left:3307;top:7094;width:115;height:115" type="#_x0000_t75" stroked="false">
              <v:imagedata r:id="rId70" o:title=""/>
            </v:shape>
            <v:shape style="position:absolute;left:3526;top:7437;width:115;height:115" type="#_x0000_t75" stroked="false">
              <v:imagedata r:id="rId70" o:title=""/>
            </v:shape>
            <v:shape style="position:absolute;left:3744;top:7125;width:115;height:115" type="#_x0000_t75" stroked="false">
              <v:imagedata r:id="rId69" o:title=""/>
            </v:shape>
            <v:shape style="position:absolute;left:3962;top:7094;width:115;height:115" type="#_x0000_t75" stroked="false">
              <v:imagedata r:id="rId69" o:title=""/>
            </v:shape>
            <v:shape style="position:absolute;left:4181;top:7065;width:115;height:115" type="#_x0000_t75" stroked="false">
              <v:imagedata r:id="rId69" o:title=""/>
            </v:shape>
            <v:shape style="position:absolute;left:4399;top:7437;width:115;height:115" type="#_x0000_t75" stroked="false">
              <v:imagedata r:id="rId70" o:title=""/>
            </v:shape>
            <v:shape style="position:absolute;left:4618;top:7437;width:115;height:115" type="#_x0000_t75" stroked="false">
              <v:imagedata r:id="rId70" o:title=""/>
            </v:shape>
            <v:shape style="position:absolute;left:4836;top:7002;width:115;height:115" type="#_x0000_t75" stroked="false">
              <v:imagedata r:id="rId70" o:title=""/>
            </v:shape>
            <v:shape style="position:absolute;left:5054;top:7437;width:115;height:115" type="#_x0000_t75" stroked="false">
              <v:imagedata r:id="rId70" o:title=""/>
            </v:shape>
            <v:shape style="position:absolute;left:5273;top:7437;width:115;height:115" type="#_x0000_t75" stroked="false">
              <v:imagedata r:id="rId70" o:title=""/>
            </v:shape>
            <v:shape style="position:absolute;left:5491;top:7437;width:115;height:115" type="#_x0000_t75" stroked="false">
              <v:imagedata r:id="rId69" o:title=""/>
            </v:shape>
            <v:shape style="position:absolute;left:5710;top:7437;width:115;height:115" type="#_x0000_t75" stroked="false">
              <v:imagedata r:id="rId69" o:title=""/>
            </v:shape>
            <v:shape style="position:absolute;left:5928;top:7437;width:115;height:115" type="#_x0000_t75" stroked="false">
              <v:imagedata r:id="rId69" o:title=""/>
            </v:shape>
            <v:shape style="position:absolute;left:1836;top:6967;width:4150;height:528" coordorigin="1836,6967" coordsize="4150,528" path="m1836,7183l2054,7152,2273,7495,2491,7123,2710,7246,2928,7277,3146,7277,3365,7495,3583,7495,3802,6967,4020,7183,4238,7495,4457,7495,4675,7495,4894,7495,5112,7495,5330,7092,5549,7495,5767,7495,5986,7495e" filled="false" stroked="true" strokeweight="2.16pt" strokecolor="#4471c4">
              <v:path arrowok="t"/>
            </v:shape>
            <v:shape style="position:absolute;left:1778;top:7125;width:115;height:115" type="#_x0000_t75" stroked="false">
              <v:imagedata r:id="rId72" o:title=""/>
            </v:shape>
            <v:shape style="position:absolute;left:1997;top:7094;width:115;height:115" type="#_x0000_t75" stroked="false">
              <v:imagedata r:id="rId73" o:title=""/>
            </v:shape>
            <v:shape style="position:absolute;left:2215;top:7437;width:115;height:115" type="#_x0000_t75" stroked="false">
              <v:imagedata r:id="rId73" o:title=""/>
            </v:shape>
            <v:shape style="position:absolute;left:2434;top:7065;width:115;height:115" type="#_x0000_t75" stroked="false">
              <v:imagedata r:id="rId73" o:title=""/>
            </v:shape>
            <v:shape style="position:absolute;left:2652;top:7187;width:115;height:115" type="#_x0000_t75" stroked="false">
              <v:imagedata r:id="rId74" o:title=""/>
            </v:shape>
            <v:shape style="position:absolute;left:2870;top:7218;width:115;height:115" type="#_x0000_t75" stroked="false">
              <v:imagedata r:id="rId74" o:title=""/>
            </v:shape>
            <v:shape style="position:absolute;left:3089;top:7218;width:115;height:115" type="#_x0000_t75" stroked="false">
              <v:imagedata r:id="rId74" o:title=""/>
            </v:shape>
            <v:shape style="position:absolute;left:3307;top:7437;width:115;height:115" type="#_x0000_t75" stroked="false">
              <v:imagedata r:id="rId75" o:title=""/>
            </v:shape>
            <v:shape style="position:absolute;left:3526;top:7437;width:115;height:115" type="#_x0000_t75" stroked="false">
              <v:imagedata r:id="rId75" o:title=""/>
            </v:shape>
            <v:shape style="position:absolute;left:3744;top:6909;width:115;height:115" type="#_x0000_t75" stroked="false">
              <v:imagedata r:id="rId76" o:title=""/>
            </v:shape>
            <v:shape style="position:absolute;left:3962;top:7125;width:115;height:115" type="#_x0000_t75" stroked="false">
              <v:imagedata r:id="rId73" o:title=""/>
            </v:shape>
            <v:shape style="position:absolute;left:4181;top:7437;width:115;height:115" type="#_x0000_t75" stroked="false">
              <v:imagedata r:id="rId73" o:title=""/>
            </v:shape>
            <v:shape style="position:absolute;left:4399;top:7437;width:115;height:115" type="#_x0000_t75" stroked="false">
              <v:imagedata r:id="rId75" o:title=""/>
            </v:shape>
            <v:shape style="position:absolute;left:4618;top:7437;width:115;height:115" type="#_x0000_t75" stroked="false">
              <v:imagedata r:id="rId75" o:title=""/>
            </v:shape>
            <v:shape style="position:absolute;left:4836;top:7437;width:115;height:115" type="#_x0000_t75" stroked="false">
              <v:imagedata r:id="rId75" o:title=""/>
            </v:shape>
            <v:shape style="position:absolute;left:5054;top:7437;width:115;height:115" type="#_x0000_t75" stroked="false">
              <v:imagedata r:id="rId75" o:title=""/>
            </v:shape>
            <v:shape style="position:absolute;left:5273;top:7034;width:115;height:115" type="#_x0000_t75" stroked="false">
              <v:imagedata r:id="rId75" o:title=""/>
            </v:shape>
            <v:shape style="position:absolute;left:5491;top:7437;width:115;height:115" type="#_x0000_t75" stroked="false">
              <v:imagedata r:id="rId73" o:title=""/>
            </v:shape>
            <v:shape style="position:absolute;left:5710;top:7437;width:115;height:115" type="#_x0000_t75" stroked="false">
              <v:imagedata r:id="rId73" o:title=""/>
            </v:shape>
            <v:shape style="position:absolute;left:5928;top:7437;width:115;height:115" type="#_x0000_t75" stroked="false">
              <v:imagedata r:id="rId73" o:title=""/>
            </v:shape>
            <v:shape style="position:absolute;left:1836;top:6437;width:4150;height:1059" coordorigin="1836,6437" coordsize="4150,1059" path="m1836,6874l2054,7495,2273,7495,2491,7495,2710,7495,2928,7402,3146,6967,3365,6967,3583,7152,3802,7183,4020,7339,4238,7495,4457,7495,4675,7495,4894,6905,5112,7495,5330,7495,5549,6437,5767,7495,5986,7495e" filled="false" stroked="true" strokeweight="2.16pt" strokecolor="#6fac46">
              <v:path arrowok="t"/>
            </v:shape>
            <v:shape style="position:absolute;left:1778;top:6815;width:115;height:115" type="#_x0000_t75" stroked="false">
              <v:imagedata r:id="rId77" o:title=""/>
            </v:shape>
            <v:shape style="position:absolute;left:1997;top:7437;width:115;height:115" type="#_x0000_t75" stroked="false">
              <v:imagedata r:id="rId78" o:title=""/>
            </v:shape>
            <v:shape style="position:absolute;left:2215;top:7437;width:115;height:115" type="#_x0000_t75" stroked="false">
              <v:imagedata r:id="rId78" o:title=""/>
            </v:shape>
            <v:shape style="position:absolute;left:2434;top:7437;width:115;height:115" type="#_x0000_t75" stroked="false">
              <v:imagedata r:id="rId78" o:title=""/>
            </v:shape>
            <v:shape style="position:absolute;left:2652;top:7437;width:115;height:115" type="#_x0000_t75" stroked="false">
              <v:imagedata r:id="rId79" o:title=""/>
            </v:shape>
            <v:shape style="position:absolute;left:2870;top:7343;width:115;height:115" type="#_x0000_t75" stroked="false">
              <v:imagedata r:id="rId79" o:title=""/>
            </v:shape>
            <v:shape style="position:absolute;left:3089;top:6909;width:115;height:115" type="#_x0000_t75" stroked="false">
              <v:imagedata r:id="rId80" o:title=""/>
            </v:shape>
            <v:shape style="position:absolute;left:3307;top:6909;width:115;height:115" type="#_x0000_t75" stroked="false">
              <v:imagedata r:id="rId80" o:title=""/>
            </v:shape>
            <v:shape style="position:absolute;left:3526;top:7094;width:115;height:115" type="#_x0000_t75" stroked="false">
              <v:imagedata r:id="rId79" o:title=""/>
            </v:shape>
            <v:shape style="position:absolute;left:3744;top:7125;width:115;height:115" type="#_x0000_t75" stroked="false">
              <v:imagedata r:id="rId78" o:title=""/>
            </v:shape>
            <v:shape style="position:absolute;left:3962;top:7281;width:115;height:115" type="#_x0000_t75" stroked="false">
              <v:imagedata r:id="rId78" o:title=""/>
            </v:shape>
            <v:shape style="position:absolute;left:4181;top:7437;width:115;height:115" type="#_x0000_t75" stroked="false">
              <v:imagedata r:id="rId78" o:title=""/>
            </v:shape>
            <v:shape style="position:absolute;left:4399;top:7437;width:115;height:115" type="#_x0000_t75" stroked="false">
              <v:imagedata r:id="rId79" o:title=""/>
            </v:shape>
            <v:shape style="position:absolute;left:4618;top:7437;width:115;height:115" type="#_x0000_t75" stroked="false">
              <v:imagedata r:id="rId79" o:title=""/>
            </v:shape>
            <v:shape style="position:absolute;left:4836;top:6846;width:115;height:115" type="#_x0000_t75" stroked="false">
              <v:imagedata r:id="rId79" o:title=""/>
            </v:shape>
            <v:shape style="position:absolute;left:5054;top:7437;width:115;height:115" type="#_x0000_t75" stroked="false">
              <v:imagedata r:id="rId79" o:title=""/>
            </v:shape>
            <v:shape style="position:absolute;left:5273;top:7437;width:115;height:115" type="#_x0000_t75" stroked="false">
              <v:imagedata r:id="rId79" o:title=""/>
            </v:shape>
            <v:shape style="position:absolute;left:5491;top:6378;width:115;height:115" type="#_x0000_t75" stroked="false">
              <v:imagedata r:id="rId81" o:title=""/>
            </v:shape>
            <v:shape style="position:absolute;left:5710;top:7437;width:115;height:115" type="#_x0000_t75" stroked="false">
              <v:imagedata r:id="rId78" o:title=""/>
            </v:shape>
            <v:shape style="position:absolute;left:5928;top:7437;width:115;height:115" type="#_x0000_t75" stroked="false">
              <v:imagedata r:id="rId78" o:title=""/>
            </v:shape>
            <v:shape style="position:absolute;left:1836;top:6936;width:4150;height:560" coordorigin="1836,6936" coordsize="4150,560" path="m1836,7495l2054,7495,2273,7495,2491,6936,2710,7339,2928,7402,3146,7339,3365,6967,3583,7152,3802,7495,4020,7339,4238,7495,4457,7495,4675,7495,4894,7246,5112,7495,5330,7495,5549,7495,5767,7495,5986,7495e" filled="false" stroked="true" strokeweight="2.16pt" strokecolor="#245e91">
              <v:path arrowok="t"/>
            </v:shape>
            <v:shape style="position:absolute;left:1778;top:7437;width:115;height:115" type="#_x0000_t75" stroked="false">
              <v:imagedata r:id="rId82" o:title=""/>
            </v:shape>
            <v:shape style="position:absolute;left:1997;top:7437;width:115;height:115" type="#_x0000_t75" stroked="false">
              <v:imagedata r:id="rId83" o:title=""/>
            </v:shape>
            <v:shape style="position:absolute;left:2215;top:7437;width:115;height:115" type="#_x0000_t75" stroked="false">
              <v:imagedata r:id="rId83" o:title=""/>
            </v:shape>
            <v:shape style="position:absolute;left:2434;top:6878;width:115;height:115" type="#_x0000_t75" stroked="false">
              <v:imagedata r:id="rId83" o:title=""/>
            </v:shape>
            <v:shape style="position:absolute;left:2652;top:7281;width:115;height:115" type="#_x0000_t75" stroked="false">
              <v:imagedata r:id="rId84" o:title=""/>
            </v:shape>
            <v:shape style="position:absolute;left:2870;top:7343;width:115;height:115" type="#_x0000_t75" stroked="false">
              <v:imagedata r:id="rId84" o:title=""/>
            </v:shape>
            <v:shape style="position:absolute;left:3089;top:7281;width:115;height:115" type="#_x0000_t75" stroked="false">
              <v:imagedata r:id="rId84" o:title=""/>
            </v:shape>
            <v:shape style="position:absolute;left:3307;top:6909;width:115;height:115" type="#_x0000_t75" stroked="false">
              <v:imagedata r:id="rId85" o:title=""/>
            </v:shape>
            <v:shape style="position:absolute;left:3526;top:7094;width:115;height:115" type="#_x0000_t75" stroked="false">
              <v:imagedata r:id="rId84" o:title=""/>
            </v:shape>
            <v:shape style="position:absolute;left:3744;top:7437;width:115;height:115" type="#_x0000_t75" stroked="false">
              <v:imagedata r:id="rId83" o:title=""/>
            </v:shape>
            <v:shape style="position:absolute;left:3962;top:7281;width:115;height:115" type="#_x0000_t75" stroked="false">
              <v:imagedata r:id="rId83" o:title=""/>
            </v:shape>
            <v:shape style="position:absolute;left:4181;top:7437;width:115;height:115" type="#_x0000_t75" stroked="false">
              <v:imagedata r:id="rId83" o:title=""/>
            </v:shape>
            <v:shape style="position:absolute;left:4399;top:7437;width:115;height:115" type="#_x0000_t75" stroked="false">
              <v:imagedata r:id="rId84" o:title=""/>
            </v:shape>
            <v:shape style="position:absolute;left:4618;top:7437;width:115;height:115" type="#_x0000_t75" stroked="false">
              <v:imagedata r:id="rId84" o:title=""/>
            </v:shape>
            <v:shape style="position:absolute;left:4836;top:7187;width:115;height:115" type="#_x0000_t75" stroked="false">
              <v:imagedata r:id="rId85" o:title=""/>
            </v:shape>
            <v:shape style="position:absolute;left:5054;top:7437;width:115;height:115" type="#_x0000_t75" stroked="false">
              <v:imagedata r:id="rId84" o:title=""/>
            </v:shape>
            <v:shape style="position:absolute;left:5273;top:7437;width:115;height:115" type="#_x0000_t75" stroked="false">
              <v:imagedata r:id="rId84" o:title=""/>
            </v:shape>
            <v:shape style="position:absolute;left:5491;top:7437;width:115;height:115" type="#_x0000_t75" stroked="false">
              <v:imagedata r:id="rId83" o:title=""/>
            </v:shape>
            <v:shape style="position:absolute;left:5710;top:7437;width:115;height:115" type="#_x0000_t75" stroked="false">
              <v:imagedata r:id="rId83" o:title=""/>
            </v:shape>
            <v:shape style="position:absolute;left:5928;top:7437;width:115;height:115" type="#_x0000_t75" stroked="false">
              <v:imagedata r:id="rId83" o:title=""/>
            </v:shape>
            <v:line style="position:absolute" from="1728,6250" to="6094,6250" stroked="true" strokeweight=".72pt" strokecolor="#d9d9d9"/>
            <v:shape style="position:absolute;left:1570;top:8069;width:427;height:115" type="#_x0000_t75" stroked="false">
              <v:imagedata r:id="rId86" o:title=""/>
            </v:shape>
            <v:shape style="position:absolute;left:2686;top:8069;width:427;height:115" type="#_x0000_t75" stroked="false">
              <v:imagedata r:id="rId87" o:title=""/>
            </v:shape>
            <v:shape style="position:absolute;left:3799;top:8069;width:427;height:115" type="#_x0000_t75" stroked="false">
              <v:imagedata r:id="rId88" o:title=""/>
            </v:shape>
            <v:shape style="position:absolute;left:4915;top:8069;width:427;height:115" type="#_x0000_t75" stroked="false">
              <v:imagedata r:id="rId89" o:title=""/>
            </v:shape>
            <v:shape style="position:absolute;left:1570;top:8407;width:427;height:115" type="#_x0000_t75" stroked="false">
              <v:imagedata r:id="rId90" o:title=""/>
            </v:shape>
            <v:shape style="position:absolute;left:2686;top:8407;width:427;height:115" type="#_x0000_t75" stroked="false">
              <v:imagedata r:id="rId91" o:title=""/>
            </v:shape>
            <v:shape style="position:absolute;left:3799;top:8407;width:427;height:115" type="#_x0000_t75" stroked="false">
              <v:imagedata r:id="rId92" o:title=""/>
            </v:shape>
            <v:rect style="position:absolute;left:1202;top:5606;width:5112;height:3118" filled="false" stroked="true" strokeweight=".72pt" strokecolor="#d9d9d9"/>
            <v:shape style="position:absolute;left:3080;top:5797;width:1358;height:200" type="#_x0000_t202" filled="false" stroked="false">
              <v:textbox inset="0,0,0,0">
                <w:txbxContent>
                  <w:p>
                    <w:pPr>
                      <w:spacing w:line="199" w:lineRule="exact" w:before="0"/>
                      <w:ind w:left="0" w:right="-16" w:firstLine="0"/>
                      <w:jc w:val="left"/>
                      <w:rPr>
                        <w:rFonts w:ascii="Calibri"/>
                        <w:sz w:val="20"/>
                      </w:rPr>
                    </w:pPr>
                    <w:r>
                      <w:rPr>
                        <w:rFonts w:ascii="Calibri"/>
                        <w:color w:val="585858"/>
                        <w:sz w:val="20"/>
                      </w:rPr>
                      <w:t>Basophils</w:t>
                    </w:r>
                    <w:r>
                      <w:rPr>
                        <w:rFonts w:ascii="Calibri"/>
                        <w:color w:val="585858"/>
                        <w:spacing w:val="-6"/>
                        <w:sz w:val="20"/>
                      </w:rPr>
                      <w:t> </w:t>
                    </w:r>
                    <w:r>
                      <w:rPr>
                        <w:rFonts w:ascii="Calibri"/>
                        <w:color w:val="585858"/>
                        <w:sz w:val="20"/>
                      </w:rPr>
                      <w:t>counts</w:t>
                    </w:r>
                  </w:p>
                </w:txbxContent>
              </v:textbox>
              <w10:wrap type="none"/>
            </v:shape>
            <v:shape style="position:absolute;left:1333;top:6166;width:228;height:1427" type="#_x0000_t202" filled="false" stroked="false">
              <v:textbox inset="0,0,0,0">
                <w:txbxContent>
                  <w:p>
                    <w:pPr>
                      <w:spacing w:line="183" w:lineRule="exact" w:before="0"/>
                      <w:ind w:left="0" w:right="0" w:firstLine="0"/>
                      <w:jc w:val="center"/>
                      <w:rPr>
                        <w:rFonts w:ascii="Calibri"/>
                        <w:sz w:val="18"/>
                      </w:rPr>
                    </w:pPr>
                    <w:r>
                      <w:rPr>
                        <w:rFonts w:ascii="Calibri"/>
                        <w:color w:val="585858"/>
                        <w:sz w:val="18"/>
                      </w:rPr>
                      <w:t>0.4</w:t>
                    </w:r>
                  </w:p>
                  <w:p>
                    <w:pPr>
                      <w:spacing w:before="92"/>
                      <w:ind w:left="0" w:right="0" w:firstLine="0"/>
                      <w:jc w:val="center"/>
                      <w:rPr>
                        <w:rFonts w:ascii="Calibri"/>
                        <w:sz w:val="18"/>
                      </w:rPr>
                    </w:pPr>
                    <w:r>
                      <w:rPr>
                        <w:rFonts w:ascii="Calibri"/>
                        <w:color w:val="585858"/>
                        <w:sz w:val="18"/>
                      </w:rPr>
                      <w:t>0.3</w:t>
                    </w:r>
                  </w:p>
                  <w:p>
                    <w:pPr>
                      <w:spacing w:before="91"/>
                      <w:ind w:left="0" w:right="0" w:firstLine="0"/>
                      <w:jc w:val="center"/>
                      <w:rPr>
                        <w:rFonts w:ascii="Calibri"/>
                        <w:sz w:val="18"/>
                      </w:rPr>
                    </w:pPr>
                    <w:r>
                      <w:rPr>
                        <w:rFonts w:ascii="Calibri"/>
                        <w:color w:val="585858"/>
                        <w:sz w:val="18"/>
                      </w:rPr>
                      <w:t>0.2</w:t>
                    </w:r>
                  </w:p>
                  <w:p>
                    <w:pPr>
                      <w:spacing w:before="92"/>
                      <w:ind w:left="0" w:right="0" w:firstLine="0"/>
                      <w:jc w:val="center"/>
                      <w:rPr>
                        <w:rFonts w:ascii="Calibri"/>
                        <w:sz w:val="18"/>
                      </w:rPr>
                    </w:pPr>
                    <w:r>
                      <w:rPr>
                        <w:rFonts w:ascii="Calibri"/>
                        <w:color w:val="585858"/>
                        <w:sz w:val="18"/>
                      </w:rPr>
                      <w:t>0.1</w:t>
                    </w:r>
                  </w:p>
                  <w:p>
                    <w:pPr>
                      <w:spacing w:line="216" w:lineRule="exact" w:before="92"/>
                      <w:ind w:left="135" w:right="0" w:firstLine="0"/>
                      <w:jc w:val="center"/>
                      <w:rPr>
                        <w:rFonts w:ascii="Calibri"/>
                        <w:sz w:val="18"/>
                      </w:rPr>
                    </w:pPr>
                    <w:r>
                      <w:rPr>
                        <w:rFonts w:ascii="Calibri"/>
                        <w:color w:val="585858"/>
                        <w:sz w:val="18"/>
                      </w:rPr>
                      <w:t>0</w:t>
                    </w:r>
                  </w:p>
                </w:txbxContent>
              </v:textbox>
              <w10:wrap type="none"/>
            </v:shape>
            <v:shape style="position:absolute;left:1791;top:7647;width:4286;height:180" type="#_x0000_t202" filled="false" stroked="false">
              <v:textbox inset="0,0,0,0">
                <w:txbxContent>
                  <w:p>
                    <w:pPr>
                      <w:spacing w:line="180" w:lineRule="exact" w:before="0"/>
                      <w:ind w:left="0" w:right="-4" w:firstLine="0"/>
                      <w:jc w:val="left"/>
                      <w:rPr>
                        <w:rFonts w:ascii="Calibri"/>
                        <w:sz w:val="18"/>
                      </w:rPr>
                    </w:pPr>
                    <w:r>
                      <w:rPr>
                        <w:rFonts w:ascii="Calibri"/>
                        <w:color w:val="585858"/>
                        <w:sz w:val="18"/>
                      </w:rPr>
                      <w:t>1   2   3   4   5   6   7   8   9  10 11 12 13 14 15 16 17 18 19</w:t>
                    </w:r>
                    <w:r>
                      <w:rPr>
                        <w:rFonts w:ascii="Calibri"/>
                        <w:color w:val="585858"/>
                        <w:spacing w:val="-24"/>
                        <w:sz w:val="18"/>
                      </w:rPr>
                      <w:t> </w:t>
                    </w:r>
                    <w:r>
                      <w:rPr>
                        <w:rFonts w:ascii="Calibri"/>
                        <w:color w:val="585858"/>
                        <w:sz w:val="18"/>
                      </w:rPr>
                      <w:t>20</w:t>
                    </w:r>
                  </w:p>
                </w:txbxContent>
              </v:textbox>
              <w10:wrap type="none"/>
            </v:shape>
            <v:shape style="position:absolute;left:2017;top:804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3132;top:804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4247;top:804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5361;top:8046;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pict>
          <v:group style="position:absolute;margin-left:323.265015pt;margin-top:112.544998pt;width:256.3500pt;height:156.75pt;mso-position-horizontal-relative:page;mso-position-vertical-relative:page;z-index:-135520" coordorigin="6465,2251" coordsize="5127,3135">
            <v:line style="position:absolute" from="6953,3526" to="11364,3526" stroked="true" strokeweight=".72pt" strokecolor="#d9d9d9"/>
            <v:shape style="position:absolute;left:7063;top:3576;width:4191;height:387" coordorigin="7063,3576" coordsize="4191,387" path="m7063,3650l7284,3602,7505,3602,7726,3650,7946,3576,8167,3826,8388,3826,8606,3826,8827,3775,9048,3962,9269,3950,9490,3602,9710,3912,9931,3787,10152,3725,10373,3763,10594,3677,10814,3739,11033,3638,11254,3650e" filled="false" stroked="true" strokeweight="2.16pt" strokecolor="#5b9bd4">
              <v:path arrowok="t"/>
            </v:shape>
            <v:shape style="position:absolute;left:7006;top:3594;width:115;height:115" type="#_x0000_t75" stroked="false">
              <v:imagedata r:id="rId93" o:title=""/>
            </v:shape>
            <v:shape style="position:absolute;left:7227;top:3546;width:115;height:115" type="#_x0000_t75" stroked="false">
              <v:imagedata r:id="rId94" o:title=""/>
            </v:shape>
            <v:shape style="position:absolute;left:7448;top:3546;width:115;height:115" type="#_x0000_t75" stroked="false">
              <v:imagedata r:id="rId94" o:title=""/>
            </v:shape>
            <v:shape style="position:absolute;left:7669;top:3594;width:115;height:115" type="#_x0000_t75" stroked="false">
              <v:imagedata r:id="rId95" o:title=""/>
            </v:shape>
            <v:shape style="position:absolute;left:7890;top:3519;width:115;height:115" type="#_x0000_t75" stroked="false">
              <v:imagedata r:id="rId95" o:title=""/>
            </v:shape>
            <v:shape style="position:absolute;left:8110;top:3769;width:115;height:115" type="#_x0000_t75" stroked="false">
              <v:imagedata r:id="rId96" o:title=""/>
            </v:shape>
            <v:shape style="position:absolute;left:8331;top:3769;width:115;height:115" type="#_x0000_t75" stroked="false">
              <v:imagedata r:id="rId94" o:title=""/>
            </v:shape>
            <v:shape style="position:absolute;left:8550;top:3769;width:115;height:115" type="#_x0000_t75" stroked="false">
              <v:imagedata r:id="rId94" o:title=""/>
            </v:shape>
            <v:shape style="position:absolute;left:8770;top:3719;width:115;height:115" type="#_x0000_t75" stroked="false">
              <v:imagedata r:id="rId96" o:title=""/>
            </v:shape>
            <v:shape style="position:absolute;left:8991;top:3906;width:115;height:115" type="#_x0000_t75" stroked="false">
              <v:imagedata r:id="rId94" o:title=""/>
            </v:shape>
            <v:shape style="position:absolute;left:9212;top:3894;width:115;height:115" type="#_x0000_t75" stroked="false">
              <v:imagedata r:id="rId93" o:title=""/>
            </v:shape>
            <v:shape style="position:absolute;left:9433;top:3546;width:115;height:115" type="#_x0000_t75" stroked="false">
              <v:imagedata r:id="rId94" o:title=""/>
            </v:shape>
            <v:shape style="position:absolute;left:9654;top:3855;width:115;height:115" type="#_x0000_t75" stroked="false">
              <v:imagedata r:id="rId96" o:title=""/>
            </v:shape>
            <v:shape style="position:absolute;left:9874;top:3731;width:115;height:115" type="#_x0000_t75" stroked="false">
              <v:imagedata r:id="rId95" o:title=""/>
            </v:shape>
            <v:shape style="position:absolute;left:10095;top:3668;width:115;height:115" type="#_x0000_t75" stroked="false">
              <v:imagedata r:id="rId94" o:title=""/>
            </v:shape>
            <v:shape style="position:absolute;left:10316;top:3707;width:115;height:115" type="#_x0000_t75" stroked="false">
              <v:imagedata r:id="rId93" o:title=""/>
            </v:shape>
            <v:shape style="position:absolute;left:10537;top:3620;width:115;height:115" type="#_x0000_t75" stroked="false">
              <v:imagedata r:id="rId94" o:title=""/>
            </v:shape>
            <v:shape style="position:absolute;left:10758;top:3683;width:115;height:115" type="#_x0000_t75" stroked="false">
              <v:imagedata r:id="rId96" o:title=""/>
            </v:shape>
            <v:shape style="position:absolute;left:10976;top:3582;width:115;height:115" type="#_x0000_t75" stroked="false">
              <v:imagedata r:id="rId96" o:title=""/>
            </v:shape>
            <v:shape style="position:absolute;left:11197;top:3594;width:115;height:115" type="#_x0000_t75" stroked="false">
              <v:imagedata r:id="rId95" o:title=""/>
            </v:shape>
            <v:shape style="position:absolute;left:7063;top:3427;width:4191;height:574" coordorigin="7063,3427" coordsize="4191,574" path="m7063,3540l7284,3490,7505,3427,7726,3787,7946,3713,8167,3802,8388,3775,8606,3787,8827,3739,9048,3725,9269,3938,9490,3588,9710,4001,9931,3427,10152,3552,10373,3626,10594,3552,10814,3775,11033,3602,11254,3626e" filled="false" stroked="true" strokeweight="2.16pt" strokecolor="#ec7c30">
              <v:path arrowok="t"/>
            </v:shape>
            <v:shape style="position:absolute;left:7006;top:3483;width:115;height:115" type="#_x0000_t75" stroked="false">
              <v:imagedata r:id="rId97" o:title=""/>
            </v:shape>
            <v:shape style="position:absolute;left:7227;top:3433;width:115;height:115" type="#_x0000_t75" stroked="false">
              <v:imagedata r:id="rId98" o:title=""/>
            </v:shape>
            <v:shape style="position:absolute;left:7448;top:3371;width:115;height:115" type="#_x0000_t75" stroked="false">
              <v:imagedata r:id="rId99" o:title=""/>
            </v:shape>
            <v:shape style="position:absolute;left:7669;top:3731;width:115;height:115" type="#_x0000_t75" stroked="false">
              <v:imagedata r:id="rId99" o:title=""/>
            </v:shape>
            <v:shape style="position:absolute;left:7890;top:3656;width:115;height:115" type="#_x0000_t75" stroked="false">
              <v:imagedata r:id="rId99" o:title=""/>
            </v:shape>
            <v:shape style="position:absolute;left:8110;top:3745;width:115;height:115" type="#_x0000_t75" stroked="false">
              <v:imagedata r:id="rId97" o:title=""/>
            </v:shape>
            <v:shape style="position:absolute;left:8331;top:3719;width:115;height:115" type="#_x0000_t75" stroked="false">
              <v:imagedata r:id="rId98" o:title=""/>
            </v:shape>
            <v:shape style="position:absolute;left:8550;top:3731;width:115;height:115" type="#_x0000_t75" stroked="false">
              <v:imagedata r:id="rId99" o:title=""/>
            </v:shape>
            <v:shape style="position:absolute;left:8770;top:3683;width:115;height:115" type="#_x0000_t75" stroked="false">
              <v:imagedata r:id="rId100" o:title=""/>
            </v:shape>
            <v:shape style="position:absolute;left:8991;top:3668;width:115;height:115" type="#_x0000_t75" stroked="false">
              <v:imagedata r:id="rId98" o:title=""/>
            </v:shape>
            <v:shape style="position:absolute;left:9212;top:3882;width:115;height:115" type="#_x0000_t75" stroked="false">
              <v:imagedata r:id="rId100" o:title=""/>
            </v:shape>
            <v:shape style="position:absolute;left:9433;top:3531;width:115;height:115" type="#_x0000_t75" stroked="false">
              <v:imagedata r:id="rId98" o:title=""/>
            </v:shape>
            <v:shape style="position:absolute;left:9654;top:3944;width:115;height:115" type="#_x0000_t75" stroked="false">
              <v:imagedata r:id="rId100" o:title=""/>
            </v:shape>
            <v:shape style="position:absolute;left:9874;top:3371;width:115;height:115" type="#_x0000_t75" stroked="false">
              <v:imagedata r:id="rId99" o:title=""/>
            </v:shape>
            <v:shape style="position:absolute;left:10095;top:3495;width:115;height:115" type="#_x0000_t75" stroked="false">
              <v:imagedata r:id="rId98" o:title=""/>
            </v:shape>
            <v:shape style="position:absolute;left:10316;top:3570;width:115;height:115" type="#_x0000_t75" stroked="false">
              <v:imagedata r:id="rId100" o:title=""/>
            </v:shape>
            <v:shape style="position:absolute;left:10537;top:3495;width:115;height:115" type="#_x0000_t75" stroked="false">
              <v:imagedata r:id="rId98" o:title=""/>
            </v:shape>
            <v:shape style="position:absolute;left:10758;top:3719;width:115;height:115" type="#_x0000_t75" stroked="false">
              <v:imagedata r:id="rId100" o:title=""/>
            </v:shape>
            <v:shape style="position:absolute;left:10976;top:3546;width:115;height:115" type="#_x0000_t75" stroked="false">
              <v:imagedata r:id="rId100" o:title=""/>
            </v:shape>
            <v:shape style="position:absolute;left:11197;top:3570;width:115;height:115" type="#_x0000_t75" stroked="false">
              <v:imagedata r:id="rId98" o:title=""/>
            </v:shape>
            <v:shape style="position:absolute;left:7063;top:3490;width:4191;height:387" coordorigin="7063,3490" coordsize="4191,387" path="m7063,3576l7284,3588,7505,3614,7726,3689,7946,3763,8167,3802,8388,3876,8606,3775,8827,3814,9048,3802,9269,3763,9490,3490,9710,3725,9931,3689,10152,3689,10373,3650,10594,3564,10814,3701,11033,3814,11254,3665e" filled="false" stroked="true" strokeweight="2.16pt" strokecolor="#a4a4a4">
              <v:path arrowok="t"/>
            </v:shape>
            <v:shape style="position:absolute;left:7006;top:3519;width:115;height:115" type="#_x0000_t75" stroked="false">
              <v:imagedata r:id="rId101" o:title=""/>
            </v:shape>
            <v:shape style="position:absolute;left:7227;top:3531;width:115;height:115" type="#_x0000_t75" stroked="false">
              <v:imagedata r:id="rId102" o:title=""/>
            </v:shape>
            <v:shape style="position:absolute;left:7448;top:3558;width:115;height:115" type="#_x0000_t75" stroked="false">
              <v:imagedata r:id="rId103" o:title=""/>
            </v:shape>
            <v:shape style="position:absolute;left:7669;top:3632;width:115;height:115" type="#_x0000_t75" stroked="false">
              <v:imagedata r:id="rId103" o:title=""/>
            </v:shape>
            <v:shape style="position:absolute;left:7890;top:3707;width:115;height:115" type="#_x0000_t75" stroked="false">
              <v:imagedata r:id="rId103" o:title=""/>
            </v:shape>
            <v:shape style="position:absolute;left:8110;top:3745;width:115;height:115" type="#_x0000_t75" stroked="false">
              <v:imagedata r:id="rId101" o:title=""/>
            </v:shape>
            <v:shape style="position:absolute;left:8331;top:3819;width:115;height:115" type="#_x0000_t75" stroked="false">
              <v:imagedata r:id="rId103" o:title=""/>
            </v:shape>
            <v:shape style="position:absolute;left:8550;top:3719;width:115;height:115" type="#_x0000_t75" stroked="false">
              <v:imagedata r:id="rId102" o:title=""/>
            </v:shape>
            <v:shape style="position:absolute;left:8770;top:3757;width:115;height:115" type="#_x0000_t75" stroked="false">
              <v:imagedata r:id="rId104" o:title=""/>
            </v:shape>
            <v:shape style="position:absolute;left:8991;top:3745;width:115;height:115" type="#_x0000_t75" stroked="false">
              <v:imagedata r:id="rId103" o:title=""/>
            </v:shape>
            <v:shape style="position:absolute;left:9212;top:3707;width:115;height:115" type="#_x0000_t75" stroked="false">
              <v:imagedata r:id="rId101" o:title=""/>
            </v:shape>
            <v:shape style="position:absolute;left:9433;top:3433;width:115;height:115" type="#_x0000_t75" stroked="false">
              <v:imagedata r:id="rId102" o:title=""/>
            </v:shape>
            <v:shape style="position:absolute;left:9654;top:3668;width:115;height:115" type="#_x0000_t75" stroked="false">
              <v:imagedata r:id="rId104" o:title=""/>
            </v:shape>
            <v:shape style="position:absolute;left:9874;top:3632;width:115;height:115" type="#_x0000_t75" stroked="false">
              <v:imagedata r:id="rId103" o:title=""/>
            </v:shape>
            <v:shape style="position:absolute;left:10095;top:3632;width:115;height:115" type="#_x0000_t75" stroked="false">
              <v:imagedata r:id="rId103" o:title=""/>
            </v:shape>
            <v:shape style="position:absolute;left:10316;top:3594;width:115;height:115" type="#_x0000_t75" stroked="false">
              <v:imagedata r:id="rId101" o:title=""/>
            </v:shape>
            <v:shape style="position:absolute;left:10537;top:3507;width:115;height:115" type="#_x0000_t75" stroked="false">
              <v:imagedata r:id="rId102" o:title=""/>
            </v:shape>
            <v:shape style="position:absolute;left:10758;top:3644;width:115;height:115" type="#_x0000_t75" stroked="false">
              <v:imagedata r:id="rId104" o:title=""/>
            </v:shape>
            <v:shape style="position:absolute;left:10976;top:3757;width:115;height:115" type="#_x0000_t75" stroked="false">
              <v:imagedata r:id="rId104" o:title=""/>
            </v:shape>
            <v:shape style="position:absolute;left:11197;top:3608;width:115;height:115" type="#_x0000_t75" stroked="false">
              <v:imagedata r:id="rId102" o:title=""/>
            </v:shape>
            <v:shape style="position:absolute;left:7063;top:3154;width:4191;height:723" coordorigin="7063,3154" coordsize="4191,723" path="m7063,3302l7284,3314,7505,3154,7726,3365,7946,3377,8167,3576,8388,3526,8606,3626,8827,3689,9048,3576,9269,3588,9490,3451,9710,3876,9931,3326,10152,3588,10373,3302,10594,3216,10814,3353,11033,3353,11254,3389e" filled="false" stroked="true" strokeweight="2.16pt" strokecolor="#ffc000">
              <v:path arrowok="t"/>
            </v:shape>
            <v:shape style="position:absolute;left:7006;top:3246;width:115;height:115" type="#_x0000_t75" stroked="false">
              <v:imagedata r:id="rId105" o:title=""/>
            </v:shape>
            <v:shape style="position:absolute;left:7227;top:3258;width:115;height:115" type="#_x0000_t75" stroked="false">
              <v:imagedata r:id="rId106" o:title=""/>
            </v:shape>
            <v:shape style="position:absolute;left:7448;top:3097;width:115;height:115" type="#_x0000_t75" stroked="false">
              <v:imagedata r:id="rId107" o:title=""/>
            </v:shape>
            <v:shape style="position:absolute;left:7669;top:3308;width:115;height:115" type="#_x0000_t75" stroked="false">
              <v:imagedata r:id="rId107" o:title=""/>
            </v:shape>
            <v:shape style="position:absolute;left:7890;top:3320;width:115;height:115" type="#_x0000_t75" stroked="false">
              <v:imagedata r:id="rId107" o:title=""/>
            </v:shape>
            <v:shape style="position:absolute;left:8110;top:3519;width:115;height:115" type="#_x0000_t75" stroked="false">
              <v:imagedata r:id="rId108" o:title=""/>
            </v:shape>
            <v:shape style="position:absolute;left:8331;top:3469;width:115;height:115" type="#_x0000_t75" stroked="false">
              <v:imagedata r:id="rId107" o:title=""/>
            </v:shape>
            <v:shape style="position:absolute;left:8550;top:3570;width:115;height:115" type="#_x0000_t75" stroked="false">
              <v:imagedata r:id="rId107" o:title=""/>
            </v:shape>
            <v:shape style="position:absolute;left:8770;top:3632;width:115;height:115" type="#_x0000_t75" stroked="false">
              <v:imagedata r:id="rId108" o:title=""/>
            </v:shape>
            <v:shape style="position:absolute;left:8991;top:3519;width:115;height:115" type="#_x0000_t75" stroked="false">
              <v:imagedata r:id="rId106" o:title=""/>
            </v:shape>
            <v:shape style="position:absolute;left:9212;top:3531;width:115;height:115" type="#_x0000_t75" stroked="false">
              <v:imagedata r:id="rId105" o:title=""/>
            </v:shape>
            <v:shape style="position:absolute;left:9433;top:3395;width:115;height:115" type="#_x0000_t75" stroked="false">
              <v:imagedata r:id="rId107" o:title=""/>
            </v:shape>
            <v:shape style="position:absolute;left:9654;top:3819;width:115;height:115" type="#_x0000_t75" stroked="false">
              <v:imagedata r:id="rId108" o:title=""/>
            </v:shape>
            <v:shape style="position:absolute;left:9874;top:3270;width:115;height:115" type="#_x0000_t75" stroked="false">
              <v:imagedata r:id="rId107" o:title=""/>
            </v:shape>
            <v:shape style="position:absolute;left:10095;top:3531;width:115;height:115" type="#_x0000_t75" stroked="false">
              <v:imagedata r:id="rId107" o:title=""/>
            </v:shape>
            <v:shape style="position:absolute;left:10316;top:3246;width:115;height:115" type="#_x0000_t75" stroked="false">
              <v:imagedata r:id="rId105" o:title=""/>
            </v:shape>
            <v:shape style="position:absolute;left:10537;top:3159;width:115;height:115" type="#_x0000_t75" stroked="false">
              <v:imagedata r:id="rId106" o:title=""/>
            </v:shape>
            <v:shape style="position:absolute;left:10758;top:3296;width:115;height:115" type="#_x0000_t75" stroked="false">
              <v:imagedata r:id="rId108" o:title=""/>
            </v:shape>
            <v:shape style="position:absolute;left:10976;top:3296;width:115;height:115" type="#_x0000_t75" stroked="false">
              <v:imagedata r:id="rId108" o:title=""/>
            </v:shape>
            <v:shape style="position:absolute;left:11197;top:3332;width:115;height:115" type="#_x0000_t75" stroked="false">
              <v:imagedata r:id="rId106" o:title=""/>
            </v:shape>
            <v:shape style="position:absolute;left:7063;top:3490;width:4191;height:512" coordorigin="7063,3490" coordsize="4191,512" path="m7063,3638l7284,3763,7505,3564,7726,3838,7946,3912,8167,3938,8388,4001,8606,3962,8827,3974,9048,3926,9269,3850,9490,3490,9710,3751,9931,3713,10152,3725,10373,3739,10594,3665,10814,3751,11033,3725,11254,3713e" filled="false" stroked="true" strokeweight="2.16pt" strokecolor="#4471c4">
              <v:path arrowok="t"/>
            </v:shape>
            <v:shape style="position:absolute;left:7006;top:3582;width:115;height:115" type="#_x0000_t75" stroked="false">
              <v:imagedata r:id="rId109" o:title=""/>
            </v:shape>
            <v:shape style="position:absolute;left:7227;top:3707;width:115;height:115" type="#_x0000_t75" stroked="false">
              <v:imagedata r:id="rId110" o:title=""/>
            </v:shape>
            <v:shape style="position:absolute;left:7448;top:3507;width:115;height:115" type="#_x0000_t75" stroked="false">
              <v:imagedata r:id="rId111" o:title=""/>
            </v:shape>
            <v:shape style="position:absolute;left:7669;top:3781;width:115;height:115" type="#_x0000_t75" stroked="false">
              <v:imagedata r:id="rId111" o:title=""/>
            </v:shape>
            <v:shape style="position:absolute;left:7890;top:3855;width:115;height:115" type="#_x0000_t75" stroked="false">
              <v:imagedata r:id="rId111" o:title=""/>
            </v:shape>
            <v:shape style="position:absolute;left:8110;top:3882;width:115;height:115" type="#_x0000_t75" stroked="false">
              <v:imagedata r:id="rId109" o:title=""/>
            </v:shape>
            <v:shape style="position:absolute;left:8331;top:3944;width:115;height:115" type="#_x0000_t75" stroked="false">
              <v:imagedata r:id="rId111" o:title=""/>
            </v:shape>
            <v:shape style="position:absolute;left:8550;top:3906;width:115;height:115" type="#_x0000_t75" stroked="false">
              <v:imagedata r:id="rId111" o:title=""/>
            </v:shape>
            <v:shape style="position:absolute;left:8770;top:3918;width:115;height:115" type="#_x0000_t75" stroked="false">
              <v:imagedata r:id="rId112" o:title=""/>
            </v:shape>
            <v:shape style="position:absolute;left:8991;top:3870;width:115;height:115" type="#_x0000_t75" stroked="false">
              <v:imagedata r:id="rId111" o:title=""/>
            </v:shape>
            <v:shape style="position:absolute;left:9212;top:3793;width:115;height:115" type="#_x0000_t75" stroked="false">
              <v:imagedata r:id="rId109" o:title=""/>
            </v:shape>
            <v:shape style="position:absolute;left:9433;top:3433;width:115;height:115" type="#_x0000_t75" stroked="false">
              <v:imagedata r:id="rId111" o:title=""/>
            </v:shape>
            <v:shape style="position:absolute;left:9654;top:3695;width:115;height:115" type="#_x0000_t75" stroked="false">
              <v:imagedata r:id="rId109" o:title=""/>
            </v:shape>
            <v:shape style="position:absolute;left:9874;top:3656;width:115;height:115" type="#_x0000_t75" stroked="false">
              <v:imagedata r:id="rId110" o:title=""/>
            </v:shape>
            <v:shape style="position:absolute;left:10095;top:3668;width:115;height:115" type="#_x0000_t75" stroked="false">
              <v:imagedata r:id="rId111" o:title=""/>
            </v:shape>
            <v:shape style="position:absolute;left:10316;top:3683;width:115;height:115" type="#_x0000_t75" stroked="false">
              <v:imagedata r:id="rId109" o:title=""/>
            </v:shape>
            <v:shape style="position:absolute;left:10537;top:3608;width:115;height:115" type="#_x0000_t75" stroked="false">
              <v:imagedata r:id="rId111" o:title=""/>
            </v:shape>
            <v:shape style="position:absolute;left:10758;top:3695;width:115;height:115" type="#_x0000_t75" stroked="false">
              <v:imagedata r:id="rId109" o:title=""/>
            </v:shape>
            <v:shape style="position:absolute;left:10976;top:3668;width:115;height:115" type="#_x0000_t75" stroked="false">
              <v:imagedata r:id="rId109" o:title=""/>
            </v:shape>
            <v:shape style="position:absolute;left:11197;top:3656;width:115;height:115" type="#_x0000_t75" stroked="false">
              <v:imagedata r:id="rId110" o:title=""/>
            </v:shape>
            <v:shape style="position:absolute;left:7063;top:3202;width:4191;height:737" coordorigin="7063,3202" coordsize="4191,737" path="m7063,3451l7284,3326,7505,3202,7726,3626,7946,3665,8167,3713,8388,3713,8606,3701,8827,3826,9048,3802,9269,3938,9490,3725,9710,3826,9931,3689,10152,3614,10373,3677,10594,3514,10814,3701,11033,3725,11254,3701e" filled="false" stroked="true" strokeweight="2.16pt" strokecolor="#6fac46">
              <v:path arrowok="t"/>
            </v:shape>
            <v:shape style="position:absolute;left:7006;top:3395;width:115;height:115" type="#_x0000_t75" stroked="false">
              <v:imagedata r:id="rId113" o:title=""/>
            </v:shape>
            <v:shape style="position:absolute;left:7227;top:3270;width:115;height:115" type="#_x0000_t75" stroked="false">
              <v:imagedata r:id="rId114" o:title=""/>
            </v:shape>
            <v:shape style="position:absolute;left:7448;top:3145;width:115;height:115" type="#_x0000_t75" stroked="false">
              <v:imagedata r:id="rId115" o:title=""/>
            </v:shape>
            <v:shape style="position:absolute;left:7669;top:3570;width:115;height:115" type="#_x0000_t75" stroked="false">
              <v:imagedata r:id="rId114" o:title=""/>
            </v:shape>
            <v:shape style="position:absolute;left:7890;top:3608;width:115;height:115" type="#_x0000_t75" stroked="false">
              <v:imagedata r:id="rId114" o:title=""/>
            </v:shape>
            <v:shape style="position:absolute;left:8110;top:3656;width:115;height:115" type="#_x0000_t75" stroked="false">
              <v:imagedata r:id="rId116" o:title=""/>
            </v:shape>
            <v:shape style="position:absolute;left:8331;top:3656;width:115;height:115" type="#_x0000_t75" stroked="false">
              <v:imagedata r:id="rId115" o:title=""/>
            </v:shape>
            <v:shape style="position:absolute;left:8550;top:3644;width:115;height:115" type="#_x0000_t75" stroked="false">
              <v:imagedata r:id="rId114" o:title=""/>
            </v:shape>
            <v:shape style="position:absolute;left:8770;top:3769;width:115;height:115" type="#_x0000_t75" stroked="false">
              <v:imagedata r:id="rId113" o:title=""/>
            </v:shape>
            <v:shape style="position:absolute;left:8991;top:3745;width:115;height:115" type="#_x0000_t75" stroked="false">
              <v:imagedata r:id="rId115" o:title=""/>
            </v:shape>
            <v:shape style="position:absolute;left:9212;top:3882;width:115;height:115" type="#_x0000_t75" stroked="false">
              <v:imagedata r:id="rId113" o:title=""/>
            </v:shape>
            <v:shape style="position:absolute;left:9433;top:3668;width:115;height:115" type="#_x0000_t75" stroked="false">
              <v:imagedata r:id="rId114" o:title=""/>
            </v:shape>
            <v:shape style="position:absolute;left:9654;top:3769;width:115;height:115" type="#_x0000_t75" stroked="false">
              <v:imagedata r:id="rId113" o:title=""/>
            </v:shape>
            <v:shape style="position:absolute;left:9874;top:3632;width:115;height:115" type="#_x0000_t75" stroked="false">
              <v:imagedata r:id="rId115" o:title=""/>
            </v:shape>
            <v:shape style="position:absolute;left:10095;top:3558;width:115;height:115" type="#_x0000_t75" stroked="false">
              <v:imagedata r:id="rId115" o:title=""/>
            </v:shape>
            <v:shape style="position:absolute;left:10316;top:3620;width:115;height:115" type="#_x0000_t75" stroked="false">
              <v:imagedata r:id="rId113" o:title=""/>
            </v:shape>
            <v:shape style="position:absolute;left:10537;top:3457;width:115;height:115" type="#_x0000_t75" stroked="false">
              <v:imagedata r:id="rId114" o:title=""/>
            </v:shape>
            <v:shape style="position:absolute;left:10758;top:3644;width:115;height:115" type="#_x0000_t75" stroked="false">
              <v:imagedata r:id="rId113" o:title=""/>
            </v:shape>
            <v:shape style="position:absolute;left:10976;top:3668;width:115;height:115" type="#_x0000_t75" stroked="false">
              <v:imagedata r:id="rId113" o:title=""/>
            </v:shape>
            <v:shape style="position:absolute;left:11197;top:3644;width:115;height:115" type="#_x0000_t75" stroked="false">
              <v:imagedata r:id="rId114" o:title=""/>
            </v:shape>
            <v:shape style="position:absolute;left:7063;top:3713;width:4191;height:312" coordorigin="7063,3713" coordsize="4191,312" path="m7063,3826l7284,3787,7505,3763,7726,3900,7946,4025,8167,4001,8388,3989,8606,4013,8827,3950,9048,3950,9269,3900,9490,3713,9710,3751,9931,3864,10152,3876,10373,3814,10594,3850,10814,3850,11033,3775,11254,3876e" filled="false" stroked="true" strokeweight="2.16pt" strokecolor="#245e91">
              <v:path arrowok="t"/>
            </v:shape>
            <v:shape style="position:absolute;left:7006;top:3769;width:115;height:115" type="#_x0000_t75" stroked="false">
              <v:imagedata r:id="rId117" o:title=""/>
            </v:shape>
            <v:shape style="position:absolute;left:7227;top:3731;width:115;height:115" type="#_x0000_t75" stroked="false">
              <v:imagedata r:id="rId118" o:title=""/>
            </v:shape>
            <v:shape style="position:absolute;left:7448;top:3707;width:115;height:115" type="#_x0000_t75" stroked="false">
              <v:imagedata r:id="rId118" o:title=""/>
            </v:shape>
            <v:shape style="position:absolute;left:7669;top:3843;width:115;height:115" type="#_x0000_t75" stroked="false">
              <v:imagedata r:id="rId118" o:title=""/>
            </v:shape>
            <v:line style="position:absolute" from="6953,4150" to="11364,4150" stroked="true" strokeweight=".72pt" strokecolor="#d9d9d9"/>
            <v:shape style="position:absolute;left:7890;top:3968;width:115;height:115" type="#_x0000_t75" stroked="false">
              <v:imagedata r:id="rId119" o:title=""/>
            </v:shape>
            <v:shape style="position:absolute;left:8110;top:3944;width:115;height:115" type="#_x0000_t75" stroked="false">
              <v:imagedata r:id="rId117" o:title=""/>
            </v:shape>
            <v:shape style="position:absolute;left:8331;top:3932;width:115;height:115" type="#_x0000_t75" stroked="false">
              <v:imagedata r:id="rId118" o:title=""/>
            </v:shape>
            <v:shape style="position:absolute;left:8550;top:3956;width:115;height:115" type="#_x0000_t75" stroked="false">
              <v:imagedata r:id="rId118" o:title=""/>
            </v:shape>
            <v:shape style="position:absolute;left:8770;top:3894;width:115;height:115" type="#_x0000_t75" stroked="false">
              <v:imagedata r:id="rId120" o:title=""/>
            </v:shape>
            <v:shape style="position:absolute;left:8991;top:3894;width:115;height:115" type="#_x0000_t75" stroked="false">
              <v:imagedata r:id="rId118" o:title=""/>
            </v:shape>
            <v:shape style="position:absolute;left:9212;top:3843;width:115;height:115" type="#_x0000_t75" stroked="false">
              <v:imagedata r:id="rId120" o:title=""/>
            </v:shape>
            <v:shape style="position:absolute;left:9433;top:3656;width:115;height:115" type="#_x0000_t75" stroked="false">
              <v:imagedata r:id="rId118" o:title=""/>
            </v:shape>
            <v:shape style="position:absolute;left:9654;top:3695;width:115;height:115" type="#_x0000_t75" stroked="false">
              <v:imagedata r:id="rId117" o:title=""/>
            </v:shape>
            <v:shape style="position:absolute;left:9874;top:3807;width:115;height:115" type="#_x0000_t75" stroked="false">
              <v:imagedata r:id="rId119" o:title=""/>
            </v:shape>
            <v:shape style="position:absolute;left:10095;top:3819;width:115;height:115" type="#_x0000_t75" stroked="false">
              <v:imagedata r:id="rId118" o:title=""/>
            </v:shape>
            <v:shape style="position:absolute;left:10316;top:3757;width:115;height:115" type="#_x0000_t75" stroked="false">
              <v:imagedata r:id="rId117" o:title=""/>
            </v:shape>
            <v:shape style="position:absolute;left:10537;top:3793;width:115;height:115" type="#_x0000_t75" stroked="false">
              <v:imagedata r:id="rId119" o:title=""/>
            </v:shape>
            <v:shape style="position:absolute;left:10758;top:3793;width:115;height:115" type="#_x0000_t75" stroked="false">
              <v:imagedata r:id="rId117" o:title=""/>
            </v:shape>
            <v:shape style="position:absolute;left:10976;top:3719;width:115;height:115" type="#_x0000_t75" stroked="false">
              <v:imagedata r:id="rId117" o:title=""/>
            </v:shape>
            <v:shape style="position:absolute;left:11197;top:3819;width:115;height:115" type="#_x0000_t75" stroked="false">
              <v:imagedata r:id="rId118" o:title=""/>
            </v:shape>
            <v:line style="position:absolute" from="6953,2904" to="11364,2904" stroked="true" strokeweight=".72pt" strokecolor="#d9d9d9"/>
            <v:shape style="position:absolute;left:6842;top:4723;width:427;height:115" type="#_x0000_t75" stroked="false">
              <v:imagedata r:id="rId121" o:title=""/>
            </v:shape>
            <v:shape style="position:absolute;left:7956;top:4723;width:427;height:115" type="#_x0000_t75" stroked="false">
              <v:imagedata r:id="rId122" o:title=""/>
            </v:shape>
            <v:shape style="position:absolute;left:9070;top:4723;width:427;height:115" type="#_x0000_t75" stroked="false">
              <v:imagedata r:id="rId88" o:title=""/>
            </v:shape>
            <v:shape style="position:absolute;left:10186;top:4723;width:427;height:115" type="#_x0000_t75" stroked="false">
              <v:imagedata r:id="rId89" o:title=""/>
            </v:shape>
            <v:shape style="position:absolute;left:6842;top:5062;width:427;height:115" type="#_x0000_t75" stroked="false">
              <v:imagedata r:id="rId123" o:title=""/>
            </v:shape>
            <v:shape style="position:absolute;left:7956;top:5062;width:427;height:115" type="#_x0000_t75" stroked="false">
              <v:imagedata r:id="rId124" o:title=""/>
            </v:shape>
            <v:shape style="position:absolute;left:9070;top:5062;width:427;height:115" type="#_x0000_t75" stroked="false">
              <v:imagedata r:id="rId125" o:title=""/>
            </v:shape>
            <v:rect style="position:absolute;left:6473;top:2258;width:5112;height:3120" filled="false" stroked="true" strokeweight=".72pt" strokecolor="#d9d9d9"/>
            <v:shape style="position:absolute;left:8201;top:2450;width:1660;height:200" type="#_x0000_t202" filled="false" stroked="false">
              <v:textbox inset="0,0,0,0">
                <w:txbxContent>
                  <w:p>
                    <w:pPr>
                      <w:spacing w:line="199" w:lineRule="exact" w:before="0"/>
                      <w:ind w:left="0" w:right="-15" w:firstLine="0"/>
                      <w:jc w:val="left"/>
                      <w:rPr>
                        <w:rFonts w:ascii="Calibri"/>
                        <w:sz w:val="20"/>
                      </w:rPr>
                    </w:pPr>
                    <w:r>
                      <w:rPr>
                        <w:rFonts w:ascii="Calibri"/>
                        <w:color w:val="585858"/>
                        <w:sz w:val="20"/>
                      </w:rPr>
                      <w:t>Lymphocytes</w:t>
                    </w:r>
                    <w:r>
                      <w:rPr>
                        <w:rFonts w:ascii="Calibri"/>
                        <w:color w:val="585858"/>
                        <w:spacing w:val="-6"/>
                        <w:sz w:val="20"/>
                      </w:rPr>
                      <w:t> </w:t>
                    </w:r>
                    <w:r>
                      <w:rPr>
                        <w:rFonts w:ascii="Calibri"/>
                        <w:color w:val="585858"/>
                        <w:sz w:val="20"/>
                      </w:rPr>
                      <w:t>counts</w:t>
                    </w:r>
                  </w:p>
                </w:txbxContent>
              </v:textbox>
              <w10:wrap type="none"/>
            </v:shape>
            <v:shape style="position:absolute;left:6605;top:2819;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w:t>
                    </w:r>
                  </w:p>
                </w:txbxContent>
              </v:textbox>
              <w10:wrap type="none"/>
            </v:shape>
            <v:shape style="position:absolute;left:6696;top:3443;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5</w:t>
                    </w:r>
                  </w:p>
                </w:txbxContent>
              </v:textbox>
              <w10:wrap type="none"/>
            </v:shape>
            <v:shape style="position:absolute;left:6696;top:4066;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7019;top:4300;width:4329;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w:t>
                    </w:r>
                  </w:p>
                </w:txbxContent>
              </v:textbox>
              <w10:wrap type="none"/>
            </v:shape>
            <v:shape style="position:absolute;left:7289;top:4699;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8404;top:4699;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9518;top:4699;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10633;top:4699;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pict>
          <v:group style="position:absolute;margin-left:59.025002pt;margin-top:111.824997pt;width:256.25pt;height:156.9pt;mso-position-horizontal-relative:page;mso-position-vertical-relative:page;z-index:-135328" coordorigin="1181,2236" coordsize="5125,3138">
            <v:line style="position:absolute" from="1668,3720" to="6077,3720" stroked="true" strokeweight=".72pt" strokecolor="#d9d9d9"/>
            <v:shape style="position:absolute;left:1778;top:3542;width:4188;height:336" coordorigin="1778,3542" coordsize="4188,336" path="m1778,3590l1999,3578,2220,3653,2441,3554,2659,3583,2880,3667,3101,3703,3322,3715,3542,3650,3763,3857,3984,3878,4205,3720,4423,3794,4644,3686,4865,3634,5086,3679,5306,3629,5527,3658,5748,3542,5966,3590e" filled="false" stroked="true" strokeweight="2.16pt" strokecolor="#5b9bd4">
              <v:path arrowok="t"/>
            </v:shape>
            <v:shape style="position:absolute;left:1722;top:3533;width:115;height:115" type="#_x0000_t75" stroked="false">
              <v:imagedata r:id="rId126" o:title=""/>
            </v:shape>
            <v:shape style="position:absolute;left:1943;top:3521;width:115;height:115" type="#_x0000_t75" stroked="false">
              <v:imagedata r:id="rId127" o:title=""/>
            </v:shape>
            <v:shape style="position:absolute;left:2163;top:3596;width:115;height:115" type="#_x0000_t75" stroked="false">
              <v:imagedata r:id="rId128" o:title=""/>
            </v:shape>
            <v:shape style="position:absolute;left:2384;top:3497;width:115;height:115" type="#_x0000_t75" stroked="false">
              <v:imagedata r:id="rId129" o:title=""/>
            </v:shape>
            <v:shape style="position:absolute;left:2603;top:3526;width:115;height:115" type="#_x0000_t75" stroked="false">
              <v:imagedata r:id="rId130" o:title=""/>
            </v:shape>
            <v:shape style="position:absolute;left:2823;top:3610;width:115;height:115" type="#_x0000_t75" stroked="false">
              <v:imagedata r:id="rId128" o:title=""/>
            </v:shape>
            <v:shape style="position:absolute;left:3044;top:3646;width:115;height:115" type="#_x0000_t75" stroked="false">
              <v:imagedata r:id="rId130" o:title=""/>
            </v:shape>
            <v:shape style="position:absolute;left:3265;top:3658;width:115;height:115" type="#_x0000_t75" stroked="false">
              <v:imagedata r:id="rId131" o:title=""/>
            </v:shape>
            <v:shape style="position:absolute;left:3486;top:3593;width:115;height:115" type="#_x0000_t75" stroked="false">
              <v:imagedata r:id="rId130" o:title=""/>
            </v:shape>
            <v:shape style="position:absolute;left:3707;top:3800;width:115;height:115" type="#_x0000_t75" stroked="false">
              <v:imagedata r:id="rId131" o:title=""/>
            </v:shape>
            <v:shape style="position:absolute;left:3927;top:3821;width:115;height:115" type="#_x0000_t75" stroked="false">
              <v:imagedata r:id="rId129" o:title=""/>
            </v:shape>
            <v:shape style="position:absolute;left:4148;top:3663;width:115;height:115" type="#_x0000_t75" stroked="false">
              <v:imagedata r:id="rId129" o:title=""/>
            </v:shape>
            <v:shape style="position:absolute;left:4367;top:3737;width:115;height:115" type="#_x0000_t75" stroked="false">
              <v:imagedata r:id="rId128" o:title=""/>
            </v:shape>
            <v:shape style="position:absolute;left:4587;top:3629;width:115;height:115" type="#_x0000_t75" stroked="false">
              <v:imagedata r:id="rId130" o:title=""/>
            </v:shape>
            <v:shape style="position:absolute;left:4808;top:3576;width:115;height:115" type="#_x0000_t75" stroked="false">
              <v:imagedata r:id="rId130" o:title=""/>
            </v:shape>
            <v:shape style="position:absolute;left:5029;top:3622;width:115;height:115" type="#_x0000_t75" stroked="false">
              <v:imagedata r:id="rId130" o:title=""/>
            </v:shape>
            <v:shape style="position:absolute;left:5250;top:3572;width:115;height:115" type="#_x0000_t75" stroked="false">
              <v:imagedata r:id="rId129" o:title=""/>
            </v:shape>
            <v:shape style="position:absolute;left:5471;top:3600;width:115;height:115" type="#_x0000_t75" stroked="false">
              <v:imagedata r:id="rId131" o:title=""/>
            </v:shape>
            <v:shape style="position:absolute;left:5691;top:3485;width:115;height:115" type="#_x0000_t75" stroked="false">
              <v:imagedata r:id="rId130" o:title=""/>
            </v:shape>
            <v:shape style="position:absolute;left:5910;top:3533;width:115;height:115" type="#_x0000_t75" stroked="false">
              <v:imagedata r:id="rId130" o:title=""/>
            </v:shape>
            <v:shape style="position:absolute;left:1778;top:3514;width:4188;height:411" coordorigin="1778,3514" coordsize="4188,411" path="m1778,3650l1999,3514,2220,3588,2441,3782,2659,3778,2880,3833,3101,3833,3322,3792,3542,3763,3763,3766,3984,3917,4205,3583,4423,3924,4644,3526,4865,3588,5086,3550,5306,3542,5527,3701,5748,3578,5966,3590e" filled="false" stroked="true" strokeweight="2.16pt" strokecolor="#ec7c30">
              <v:path arrowok="t"/>
            </v:shape>
            <v:shape style="position:absolute;left:1722;top:3593;width:115;height:115" type="#_x0000_t75" stroked="false">
              <v:imagedata r:id="rId132" o:title=""/>
            </v:shape>
            <v:shape style="position:absolute;left:1943;top:3456;width:115;height:115" type="#_x0000_t75" stroked="false">
              <v:imagedata r:id="rId133" o:title=""/>
            </v:shape>
            <v:shape style="position:absolute;left:2163;top:3531;width:115;height:115" type="#_x0000_t75" stroked="false">
              <v:imagedata r:id="rId134" o:title=""/>
            </v:shape>
            <v:shape style="position:absolute;left:2384;top:3725;width:115;height:115" type="#_x0000_t75" stroked="false">
              <v:imagedata r:id="rId135" o:title=""/>
            </v:shape>
            <v:shape style="position:absolute;left:2603;top:3720;width:115;height:115" type="#_x0000_t75" stroked="false">
              <v:imagedata r:id="rId135" o:title=""/>
            </v:shape>
            <v:shape style="position:absolute;left:2823;top:3776;width:115;height:115" type="#_x0000_t75" stroked="false">
              <v:imagedata r:id="rId136" o:title=""/>
            </v:shape>
            <v:shape style="position:absolute;left:3044;top:3776;width:115;height:115" type="#_x0000_t75" stroked="false">
              <v:imagedata r:id="rId137" o:title=""/>
            </v:shape>
            <v:shape style="position:absolute;left:3265;top:3735;width:115;height:115" type="#_x0000_t75" stroked="false">
              <v:imagedata r:id="rId134" o:title=""/>
            </v:shape>
            <v:shape style="position:absolute;left:3486;top:3706;width:115;height:115" type="#_x0000_t75" stroked="false">
              <v:imagedata r:id="rId135" o:title=""/>
            </v:shape>
            <v:shape style="position:absolute;left:3707;top:3708;width:115;height:115" type="#_x0000_t75" stroked="false">
              <v:imagedata r:id="rId136" o:title=""/>
            </v:shape>
            <v:shape style="position:absolute;left:3927;top:3860;width:115;height:115" type="#_x0000_t75" stroked="false">
              <v:imagedata r:id="rId135" o:title=""/>
            </v:shape>
            <v:shape style="position:absolute;left:4148;top:3526;width:115;height:115" type="#_x0000_t75" stroked="false">
              <v:imagedata r:id="rId135" o:title=""/>
            </v:shape>
            <v:shape style="position:absolute;left:4367;top:3867;width:115;height:115" type="#_x0000_t75" stroked="false">
              <v:imagedata r:id="rId134" o:title=""/>
            </v:shape>
            <v:shape style="position:absolute;left:4587;top:3468;width:115;height:115" type="#_x0000_t75" stroked="false">
              <v:imagedata r:id="rId137" o:title=""/>
            </v:shape>
            <v:shape style="position:absolute;left:4808;top:3531;width:115;height:115" type="#_x0000_t75" stroked="false">
              <v:imagedata r:id="rId135" o:title=""/>
            </v:shape>
            <v:shape style="position:absolute;left:5471;top:3644;width:115;height:115" type="#_x0000_t75" stroked="false">
              <v:imagedata r:id="rId134" o:title=""/>
            </v:shape>
            <v:shape style="position:absolute;left:5910;top:3533;width:115;height:115" type="#_x0000_t75" stroked="false">
              <v:imagedata r:id="rId135" o:title=""/>
            </v:shape>
            <v:shape style="position:absolute;left:1778;top:3646;width:4188;height:226" coordorigin="1778,3646" coordsize="4188,226" path="m1778,3691l1999,3691,2220,3732,2441,3749,2659,3749,2880,3840,3101,3871,3322,3821,3542,3838,3763,3857,3984,3792,4205,3754,4423,3778,4644,3758,4865,3674,5086,3646,5306,3658,5527,3696,5748,3670,5966,3708e" filled="false" stroked="true" strokeweight="2.16pt" strokecolor="#a4a4a4">
              <v:path arrowok="t"/>
            </v:shape>
            <v:shape style="position:absolute;left:1722;top:3634;width:115;height:115" type="#_x0000_t75" stroked="false">
              <v:imagedata r:id="rId138" o:title=""/>
            </v:shape>
            <v:shape style="position:absolute;left:1943;top:3634;width:115;height:115" type="#_x0000_t75" stroked="false">
              <v:imagedata r:id="rId139" o:title=""/>
            </v:shape>
            <v:shape style="position:absolute;left:2163;top:3675;width:115;height:115" type="#_x0000_t75" stroked="false">
              <v:imagedata r:id="rId140" o:title=""/>
            </v:shape>
            <v:shape style="position:absolute;left:2384;top:3692;width:115;height:115" type="#_x0000_t75" stroked="false">
              <v:imagedata r:id="rId141" o:title=""/>
            </v:shape>
            <v:shape style="position:absolute;left:2603;top:3692;width:115;height:115" type="#_x0000_t75" stroked="false">
              <v:imagedata r:id="rId141" o:title=""/>
            </v:shape>
            <v:shape style="position:absolute;left:2823;top:3783;width:115;height:115" type="#_x0000_t75" stroked="false">
              <v:imagedata r:id="rId142" o:title=""/>
            </v:shape>
            <v:shape style="position:absolute;left:3044;top:3814;width:115;height:115" type="#_x0000_t75" stroked="false">
              <v:imagedata r:id="rId143" o:title=""/>
            </v:shape>
            <v:shape style="position:absolute;left:3265;top:3764;width:115;height:115" type="#_x0000_t75" stroked="false">
              <v:imagedata r:id="rId140" o:title=""/>
            </v:shape>
            <v:shape style="position:absolute;left:3486;top:3780;width:115;height:115" type="#_x0000_t75" stroked="false">
              <v:imagedata r:id="rId143" o:title=""/>
            </v:shape>
            <v:shape style="position:absolute;left:3707;top:3800;width:115;height:115" type="#_x0000_t75" stroked="false">
              <v:imagedata r:id="rId140" o:title=""/>
            </v:shape>
            <v:shape style="position:absolute;left:3927;top:3735;width:115;height:115" type="#_x0000_t75" stroked="false">
              <v:imagedata r:id="rId143" o:title=""/>
            </v:shape>
            <v:shape style="position:absolute;left:4148;top:3696;width:115;height:115" type="#_x0000_t75" stroked="false">
              <v:imagedata r:id="rId143" o:title=""/>
            </v:shape>
            <v:shape style="position:absolute;left:4367;top:3720;width:115;height:115" type="#_x0000_t75" stroked="false">
              <v:imagedata r:id="rId140" o:title=""/>
            </v:shape>
            <v:shape style="position:absolute;left:4587;top:3701;width:115;height:115" type="#_x0000_t75" stroked="false">
              <v:imagedata r:id="rId141" o:title=""/>
            </v:shape>
            <v:shape style="position:absolute;left:4808;top:3617;width:115;height:115" type="#_x0000_t75" stroked="false">
              <v:imagedata r:id="rId141" o:title=""/>
            </v:shape>
            <v:shape style="position:absolute;left:5029;top:3492;width:115;height:211" type="#_x0000_t75" stroked="false">
              <v:imagedata r:id="rId144" o:title=""/>
            </v:shape>
            <v:shape style="position:absolute;left:5250;top:3485;width:115;height:230" type="#_x0000_t75" stroked="false">
              <v:imagedata r:id="rId145" o:title=""/>
            </v:shape>
            <v:shape style="position:absolute;left:5471;top:3639;width:115;height:115" type="#_x0000_t75" stroked="false">
              <v:imagedata r:id="rId142" o:title=""/>
            </v:shape>
            <v:shape style="position:absolute;left:5691;top:3521;width:115;height:206" type="#_x0000_t75" stroked="false">
              <v:imagedata r:id="rId146" o:title=""/>
            </v:shape>
            <v:shape style="position:absolute;left:5910;top:3651;width:115;height:115" type="#_x0000_t75" stroked="false">
              <v:imagedata r:id="rId143" o:title=""/>
            </v:shape>
            <v:line style="position:absolute" from="1668,3305" to="6077,3305" stroked="true" strokeweight=".72pt" strokecolor="#d9d9d9"/>
            <v:shape style="position:absolute;left:1778;top:3247;width:4188;height:500" coordorigin="1778,3247" coordsize="4188,500" path="m1778,3389l1999,3300,2220,3247,2441,3480,2659,3367,2880,3562,3101,3545,3322,3641,3542,3720,3763,3701,3984,3670,4205,3622,4423,3746,4644,3451,4865,3526,5086,3401,5306,3379,5527,3358,5748,3475,5966,3526e" filled="false" stroked="true" strokeweight="2.16pt" strokecolor="#ffc000">
              <v:path arrowok="t"/>
            </v:shape>
            <v:shape style="position:absolute;left:1722;top:3332;width:115;height:115" type="#_x0000_t75" stroked="false">
              <v:imagedata r:id="rId147" o:title=""/>
            </v:shape>
            <v:shape style="position:absolute;left:1943;top:3243;width:115;height:115" type="#_x0000_t75" stroked="false">
              <v:imagedata r:id="rId148" o:title=""/>
            </v:shape>
            <v:shape style="position:absolute;left:2163;top:3190;width:115;height:115" type="#_x0000_t75" stroked="false">
              <v:imagedata r:id="rId149" o:title=""/>
            </v:shape>
            <v:shape style="position:absolute;left:2384;top:3423;width:115;height:115" type="#_x0000_t75" stroked="false">
              <v:imagedata r:id="rId150" o:title=""/>
            </v:shape>
            <v:shape style="position:absolute;left:2603;top:3310;width:115;height:115" type="#_x0000_t75" stroked="false">
              <v:imagedata r:id="rId150" o:title=""/>
            </v:shape>
            <v:shape style="position:absolute;left:2823;top:3504;width:115;height:115" type="#_x0000_t75" stroked="false">
              <v:imagedata r:id="rId149" o:title=""/>
            </v:shape>
            <v:shape style="position:absolute;left:3044;top:3488;width:115;height:115" type="#_x0000_t75" stroked="false">
              <v:imagedata r:id="rId151" o:title=""/>
            </v:shape>
            <v:shape style="position:absolute;left:3265;top:3584;width:115;height:115" type="#_x0000_t75" stroked="false">
              <v:imagedata r:id="rId152" o:title=""/>
            </v:shape>
            <v:shape style="position:absolute;left:3486;top:3663;width:115;height:115" type="#_x0000_t75" stroked="false">
              <v:imagedata r:id="rId150" o:title=""/>
            </v:shape>
            <v:shape style="position:absolute;left:3707;top:3644;width:115;height:115" type="#_x0000_t75" stroked="false">
              <v:imagedata r:id="rId152" o:title=""/>
            </v:shape>
            <v:shape style="position:absolute;left:3927;top:3612;width:115;height:115" type="#_x0000_t75" stroked="false">
              <v:imagedata r:id="rId151" o:title=""/>
            </v:shape>
            <v:shape style="position:absolute;left:4148;top:3564;width:115;height:115" type="#_x0000_t75" stroked="false">
              <v:imagedata r:id="rId150" o:title=""/>
            </v:shape>
            <v:shape style="position:absolute;left:4367;top:3689;width:115;height:115" type="#_x0000_t75" stroked="false">
              <v:imagedata r:id="rId152" o:title=""/>
            </v:shape>
            <v:shape style="position:absolute;left:4587;top:3394;width:115;height:115" type="#_x0000_t75" stroked="false">
              <v:imagedata r:id="rId151" o:title=""/>
            </v:shape>
            <v:shape style="position:absolute;left:4808;top:3468;width:115;height:115" type="#_x0000_t75" stroked="false">
              <v:imagedata r:id="rId150" o:title=""/>
            </v:shape>
            <v:shape style="position:absolute;left:5029;top:3344;width:115;height:115" type="#_x0000_t75" stroked="false">
              <v:imagedata r:id="rId151" o:title=""/>
            </v:shape>
            <v:shape style="position:absolute;left:5250;top:3322;width:115;height:115" type="#_x0000_t75" stroked="false">
              <v:imagedata r:id="rId151" o:title=""/>
            </v:shape>
            <v:shape style="position:absolute;left:5471;top:3300;width:115;height:115" type="#_x0000_t75" stroked="false">
              <v:imagedata r:id="rId152" o:title=""/>
            </v:shape>
            <v:shape style="position:absolute;left:5691;top:3418;width:115;height:115" type="#_x0000_t75" stroked="false">
              <v:imagedata r:id="rId151" o:title=""/>
            </v:shape>
            <v:shape style="position:absolute;left:5910;top:3468;width:115;height:115" type="#_x0000_t75" stroked="false">
              <v:imagedata r:id="rId150" o:title=""/>
            </v:shape>
            <v:shape style="position:absolute;left:1778;top:3350;width:4188;height:476" coordorigin="1778,3350" coordsize="4188,476" path="m1778,3528l1999,3650,2220,3538,2441,3612,2659,3787,2880,3826,3101,3816,3322,3799,3542,3826,3763,3775,3984,3701,4205,3629,4423,3650,4644,3658,4865,3629,5086,3600,5306,3576,5527,3566,5748,3454,5966,3350e" filled="false" stroked="true" strokeweight="2.16pt" strokecolor="#4471c4">
              <v:path arrowok="t"/>
            </v:shape>
            <v:shape style="position:absolute;left:1722;top:3471;width:115;height:115" type="#_x0000_t75" stroked="false">
              <v:imagedata r:id="rId153" o:title=""/>
            </v:shape>
            <v:shape style="position:absolute;left:1943;top:3593;width:115;height:115" type="#_x0000_t75" stroked="false">
              <v:imagedata r:id="rId154" o:title=""/>
            </v:shape>
            <v:shape style="position:absolute;left:2163;top:3480;width:115;height:115" type="#_x0000_t75" stroked="false">
              <v:imagedata r:id="rId155" o:title=""/>
            </v:shape>
            <v:shape style="position:absolute;left:2384;top:3555;width:115;height:115" type="#_x0000_t75" stroked="false">
              <v:imagedata r:id="rId156" o:title=""/>
            </v:shape>
            <v:shape style="position:absolute;left:2603;top:3730;width:115;height:115" type="#_x0000_t75" stroked="false">
              <v:imagedata r:id="rId157" o:title=""/>
            </v:shape>
            <v:shape style="position:absolute;left:2823;top:3768;width:115;height:115" type="#_x0000_t75" stroked="false">
              <v:imagedata r:id="rId158" o:title=""/>
            </v:shape>
            <v:shape style="position:absolute;left:3044;top:3759;width:115;height:115" type="#_x0000_t75" stroked="false">
              <v:imagedata r:id="rId157" o:title=""/>
            </v:shape>
            <v:shape style="position:absolute;left:3265;top:3742;width:115;height:115" type="#_x0000_t75" stroked="false">
              <v:imagedata r:id="rId155" o:title=""/>
            </v:shape>
            <v:shape style="position:absolute;left:3486;top:3768;width:115;height:115" type="#_x0000_t75" stroked="false">
              <v:imagedata r:id="rId157" o:title=""/>
            </v:shape>
            <v:shape style="position:absolute;left:3707;top:3718;width:115;height:115" type="#_x0000_t75" stroked="false">
              <v:imagedata r:id="rId155" o:title=""/>
            </v:shape>
            <v:shape style="position:absolute;left:3927;top:3644;width:115;height:115" type="#_x0000_t75" stroked="false">
              <v:imagedata r:id="rId156" o:title=""/>
            </v:shape>
            <v:shape style="position:absolute;left:4148;top:3572;width:115;height:115" type="#_x0000_t75" stroked="false">
              <v:imagedata r:id="rId157" o:title=""/>
            </v:shape>
            <v:shape style="position:absolute;left:4367;top:3593;width:115;height:115" type="#_x0000_t75" stroked="false">
              <v:imagedata r:id="rId155" o:title=""/>
            </v:shape>
            <v:shape style="position:absolute;left:4587;top:3600;width:115;height:115" type="#_x0000_t75" stroked="false">
              <v:imagedata r:id="rId156" o:title=""/>
            </v:shape>
            <v:shape style="position:absolute;left:4808;top:3572;width:115;height:115" type="#_x0000_t75" stroked="false">
              <v:imagedata r:id="rId157" o:title=""/>
            </v:shape>
            <v:shape style="position:absolute;left:5029;top:3543;width:115;height:115" type="#_x0000_t75" stroked="false">
              <v:imagedata r:id="rId157" o:title=""/>
            </v:shape>
            <v:shape style="position:absolute;left:5250;top:3519;width:115;height:115" type="#_x0000_t75" stroked="false">
              <v:imagedata r:id="rId157" o:title=""/>
            </v:shape>
            <v:shape style="position:absolute;left:5471;top:3509;width:115;height:115" type="#_x0000_t75" stroked="false">
              <v:imagedata r:id="rId155" o:title=""/>
            </v:shape>
            <v:shape style="position:absolute;left:5691;top:3396;width:115;height:115" type="#_x0000_t75" stroked="false">
              <v:imagedata r:id="rId156" o:title=""/>
            </v:shape>
            <v:shape style="position:absolute;left:5910;top:3293;width:115;height:115" type="#_x0000_t75" stroked="false">
              <v:imagedata r:id="rId156" o:title=""/>
            </v:shape>
            <v:shape style="position:absolute;left:1778;top:3142;width:4188;height:641" coordorigin="1778,3142" coordsize="4188,641" path="m1778,3367l1999,3288,2220,3142,2441,3288,2659,3329,2880,3396,3101,3396,3322,3425,3542,3576,3763,3725,3984,3782,4205,3667,4423,3650,4644,3420,4865,3312,5086,3451,5306,3420,5527,3430,5748,3420,5966,3418e" filled="false" stroked="true" strokeweight="2.16pt" strokecolor="#6fac46">
              <v:path arrowok="t"/>
            </v:shape>
            <v:shape style="position:absolute;left:1722;top:3310;width:115;height:115" type="#_x0000_t75" stroked="false">
              <v:imagedata r:id="rId159" o:title=""/>
            </v:shape>
            <v:shape style="position:absolute;left:1943;top:3231;width:115;height:115" type="#_x0000_t75" stroked="false">
              <v:imagedata r:id="rId160" o:title=""/>
            </v:shape>
            <v:shape style="position:absolute;left:2163;top:3084;width:115;height:115" type="#_x0000_t75" stroked="false">
              <v:imagedata r:id="rId161" o:title=""/>
            </v:shape>
            <v:shape style="position:absolute;left:2384;top:3231;width:115;height:115" type="#_x0000_t75" stroked="false">
              <v:imagedata r:id="rId162" o:title=""/>
            </v:shape>
            <v:shape style="position:absolute;left:2603;top:3272;width:115;height:115" type="#_x0000_t75" stroked="false">
              <v:imagedata r:id="rId163" o:title=""/>
            </v:shape>
            <v:shape style="position:absolute;left:2823;top:3339;width:115;height:115" type="#_x0000_t75" stroked="false">
              <v:imagedata r:id="rId161" o:title=""/>
            </v:shape>
            <v:shape style="position:absolute;left:3044;top:3339;width:115;height:115" type="#_x0000_t75" stroked="false">
              <v:imagedata r:id="rId164" o:title=""/>
            </v:shape>
            <v:shape style="position:absolute;left:3265;top:3368;width:115;height:115" type="#_x0000_t75" stroked="false">
              <v:imagedata r:id="rId165" o:title=""/>
            </v:shape>
            <v:shape style="position:absolute;left:3486;top:3519;width:115;height:115" type="#_x0000_t75" stroked="false">
              <v:imagedata r:id="rId164" o:title=""/>
            </v:shape>
            <v:shape style="position:absolute;left:3707;top:3668;width:115;height:115" type="#_x0000_t75" stroked="false">
              <v:imagedata r:id="rId165" o:title=""/>
            </v:shape>
            <v:shape style="position:absolute;left:3927;top:3725;width:115;height:115" type="#_x0000_t75" stroked="false">
              <v:imagedata r:id="rId162" o:title=""/>
            </v:shape>
            <v:shape style="position:absolute;left:4148;top:3610;width:115;height:115" type="#_x0000_t75" stroked="false">
              <v:imagedata r:id="rId164" o:title=""/>
            </v:shape>
            <v:shape style="position:absolute;left:4367;top:3593;width:115;height:115" type="#_x0000_t75" stroked="false">
              <v:imagedata r:id="rId165" o:title=""/>
            </v:shape>
            <v:shape style="position:absolute;left:4587;top:3363;width:115;height:115" type="#_x0000_t75" stroked="false">
              <v:imagedata r:id="rId164" o:title=""/>
            </v:shape>
            <v:shape style="position:absolute;left:4808;top:3255;width:115;height:115" type="#_x0000_t75" stroked="false">
              <v:imagedata r:id="rId162" o:title=""/>
            </v:shape>
            <v:shape style="position:absolute;left:5029;top:3394;width:115;height:115" type="#_x0000_t75" stroked="false">
              <v:imagedata r:id="rId162" o:title=""/>
            </v:shape>
            <v:shape style="position:absolute;left:5250;top:3363;width:115;height:115" type="#_x0000_t75" stroked="false">
              <v:imagedata r:id="rId166" o:title=""/>
            </v:shape>
            <v:shape style="position:absolute;left:5471;top:3372;width:115;height:115" type="#_x0000_t75" stroked="false">
              <v:imagedata r:id="rId165" o:title=""/>
            </v:shape>
            <v:shape style="position:absolute;left:5691;top:3363;width:115;height:115" type="#_x0000_t75" stroked="false">
              <v:imagedata r:id="rId167" o:title=""/>
            </v:shape>
            <v:shape style="position:absolute;left:5910;top:3360;width:115;height:115" type="#_x0000_t75" stroked="false">
              <v:imagedata r:id="rId162" o:title=""/>
            </v:shape>
            <v:shape style="position:absolute;left:1778;top:3588;width:4188;height:387" coordorigin="1778,3588" coordsize="4188,387" path="m1778,3720l1999,3686,2220,3691,2441,3758,2659,3907,2880,3974,3101,3924,3322,3924,3542,3900,3763,3878,3984,3902,4205,3845,4423,3874,4644,3770,4865,3770,5086,3715,5306,3588,5527,3600,5748,3754,5966,3794e" filled="false" stroked="true" strokeweight="2.16pt" strokecolor="#245e91">
              <v:path arrowok="t"/>
            </v:shape>
            <v:shape style="position:absolute;left:1722;top:3663;width:115;height:115" type="#_x0000_t75" stroked="false">
              <v:imagedata r:id="rId168" o:title=""/>
            </v:shape>
            <v:shape style="position:absolute;left:1943;top:3629;width:115;height:115" type="#_x0000_t75" stroked="false">
              <v:imagedata r:id="rId169" o:title=""/>
            </v:shape>
            <v:shape style="position:absolute;left:2163;top:3634;width:115;height:115" type="#_x0000_t75" stroked="false">
              <v:imagedata r:id="rId170" o:title=""/>
            </v:shape>
            <v:shape style="position:absolute;left:2384;top:3701;width:115;height:115" type="#_x0000_t75" stroked="false">
              <v:imagedata r:id="rId171" o:title=""/>
            </v:shape>
            <v:shape style="position:absolute;left:2603;top:3850;width:115;height:115" type="#_x0000_t75" stroked="false">
              <v:imagedata r:id="rId171" o:title=""/>
            </v:shape>
            <v:shape style="position:absolute;left:2823;top:3917;width:115;height:115" type="#_x0000_t75" stroked="false">
              <v:imagedata r:id="rId172" o:title=""/>
            </v:shape>
            <v:shape style="position:absolute;left:3044;top:3867;width:115;height:115" type="#_x0000_t75" stroked="false">
              <v:imagedata r:id="rId173" o:title=""/>
            </v:shape>
            <v:shape style="position:absolute;left:3265;top:3867;width:115;height:115" type="#_x0000_t75" stroked="false">
              <v:imagedata r:id="rId170" o:title=""/>
            </v:shape>
            <v:shape style="position:absolute;left:3486;top:3843;width:115;height:115" type="#_x0000_t75" stroked="false">
              <v:imagedata r:id="rId171" o:title=""/>
            </v:shape>
            <v:shape style="position:absolute;left:3707;top:3821;width:115;height:115" type="#_x0000_t75" stroked="false">
              <v:imagedata r:id="rId172" o:title=""/>
            </v:shape>
            <v:shape style="position:absolute;left:3927;top:3845;width:115;height:115" type="#_x0000_t75" stroked="false">
              <v:imagedata r:id="rId174" o:title=""/>
            </v:shape>
            <v:shape style="position:absolute;left:4148;top:3788;width:115;height:115" type="#_x0000_t75" stroked="false">
              <v:imagedata r:id="rId175" o:title=""/>
            </v:shape>
            <v:shape style="position:absolute;left:4367;top:3816;width:115;height:115" type="#_x0000_t75" stroked="false">
              <v:imagedata r:id="rId170" o:title=""/>
            </v:shape>
            <v:shape style="position:absolute;left:4587;top:3713;width:115;height:115" type="#_x0000_t75" stroked="false">
              <v:imagedata r:id="rId175" o:title=""/>
            </v:shape>
            <v:shape style="position:absolute;left:4808;top:3713;width:115;height:115" type="#_x0000_t75" stroked="false">
              <v:imagedata r:id="rId176" o:title=""/>
            </v:shape>
            <v:shape style="position:absolute;left:5029;top:3658;width:115;height:115" type="#_x0000_t75" stroked="false">
              <v:imagedata r:id="rId176" o:title=""/>
            </v:shape>
            <v:shape style="position:absolute;left:5250;top:3531;width:115;height:115" type="#_x0000_t75" stroked="false">
              <v:imagedata r:id="rId176" o:title=""/>
            </v:shape>
            <v:shape style="position:absolute;left:5471;top:3543;width:115;height:115" type="#_x0000_t75" stroked="false">
              <v:imagedata r:id="rId172" o:title=""/>
            </v:shape>
            <v:shape style="position:absolute;left:5691;top:3696;width:115;height:115" type="#_x0000_t75" stroked="false">
              <v:imagedata r:id="rId177" o:title=""/>
            </v:shape>
            <v:shape style="position:absolute;left:5910;top:3737;width:115;height:115" type="#_x0000_t75" stroked="false">
              <v:imagedata r:id="rId171" o:title=""/>
            </v:shape>
            <v:shape style="position:absolute;left:1668;top:2890;width:4409;height:1248" coordorigin="1668,2890" coordsize="4409,1248" path="m1668,2890l6077,2890m1668,4138l6077,4138e" filled="false" stroked="true" strokeweight=".72pt" strokecolor="#d9d9d9">
              <v:path arrowok="t"/>
            </v:shape>
            <v:shape style="position:absolute;left:1555;top:4711;width:427;height:115" type="#_x0000_t75" stroked="false">
              <v:imagedata r:id="rId178" o:title=""/>
            </v:shape>
            <v:shape style="position:absolute;left:2671;top:4711;width:427;height:115" type="#_x0000_t75" stroked="false">
              <v:imagedata r:id="rId179" o:title=""/>
            </v:shape>
            <v:shape style="position:absolute;left:3785;top:4711;width:427;height:115" type="#_x0000_t75" stroked="false">
              <v:imagedata r:id="rId180" o:title=""/>
            </v:shape>
            <v:shape style="position:absolute;left:4898;top:4711;width:427;height:115" type="#_x0000_t75" stroked="false">
              <v:imagedata r:id="rId181" o:title=""/>
            </v:shape>
            <v:shape style="position:absolute;left:1555;top:5047;width:427;height:115" type="#_x0000_t75" stroked="false">
              <v:imagedata r:id="rId90" o:title=""/>
            </v:shape>
            <v:shape style="position:absolute;left:2671;top:5047;width:427;height:115" type="#_x0000_t75" stroked="false">
              <v:imagedata r:id="rId91" o:title=""/>
            </v:shape>
            <v:shape style="position:absolute;left:3785;top:5047;width:427;height:115" type="#_x0000_t75" stroked="false">
              <v:imagedata r:id="rId182" o:title=""/>
            </v:shape>
            <v:rect style="position:absolute;left:1188;top:2244;width:5110;height:3122" filled="false" stroked="true" strokeweight=".72pt" strokecolor="#d9d9d9"/>
            <v:shape style="position:absolute;left:3035;top:2435;width:1416;height:200" type="#_x0000_t202" filled="false" stroked="false">
              <v:textbox inset="0,0,0,0">
                <w:txbxContent>
                  <w:p>
                    <w:pPr>
                      <w:spacing w:line="199" w:lineRule="exact" w:before="0"/>
                      <w:ind w:left="0" w:right="-13" w:firstLine="0"/>
                      <w:jc w:val="left"/>
                      <w:rPr>
                        <w:rFonts w:ascii="Calibri"/>
                        <w:sz w:val="20"/>
                      </w:rPr>
                    </w:pPr>
                    <w:r>
                      <w:rPr>
                        <w:rFonts w:ascii="Calibri"/>
                        <w:color w:val="585858"/>
                        <w:sz w:val="20"/>
                      </w:rPr>
                      <w:t>Leukocyte</w:t>
                    </w:r>
                    <w:r>
                      <w:rPr>
                        <w:rFonts w:ascii="Calibri"/>
                        <w:color w:val="585858"/>
                        <w:spacing w:val="-9"/>
                        <w:sz w:val="20"/>
                      </w:rPr>
                      <w:t> </w:t>
                    </w:r>
                    <w:r>
                      <w:rPr>
                        <w:rFonts w:ascii="Calibri"/>
                        <w:color w:val="585858"/>
                        <w:sz w:val="20"/>
                      </w:rPr>
                      <w:t>counts</w:t>
                    </w:r>
                  </w:p>
                </w:txbxContent>
              </v:textbox>
              <w10:wrap type="none"/>
            </v:shape>
            <v:shape style="position:absolute;left:1319;top:2805;width:183;height:1429"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30</w:t>
                    </w:r>
                  </w:p>
                  <w:p>
                    <w:pPr>
                      <w:spacing w:line="240" w:lineRule="auto" w:before="0"/>
                      <w:rPr>
                        <w:sz w:val="17"/>
                      </w:rPr>
                    </w:pPr>
                  </w:p>
                  <w:p>
                    <w:pPr>
                      <w:spacing w:before="0"/>
                      <w:ind w:left="0" w:right="-20" w:firstLine="0"/>
                      <w:jc w:val="left"/>
                      <w:rPr>
                        <w:rFonts w:ascii="Calibri"/>
                        <w:sz w:val="18"/>
                      </w:rPr>
                    </w:pPr>
                    <w:r>
                      <w:rPr>
                        <w:rFonts w:ascii="Calibri"/>
                        <w:color w:val="585858"/>
                        <w:sz w:val="18"/>
                      </w:rPr>
                      <w:t>20</w:t>
                    </w:r>
                  </w:p>
                  <w:p>
                    <w:pPr>
                      <w:spacing w:line="240" w:lineRule="auto" w:before="1"/>
                      <w:rPr>
                        <w:sz w:val="17"/>
                      </w:rPr>
                    </w:pPr>
                  </w:p>
                  <w:p>
                    <w:pPr>
                      <w:spacing w:before="0"/>
                      <w:ind w:left="0" w:right="-20" w:firstLine="0"/>
                      <w:jc w:val="left"/>
                      <w:rPr>
                        <w:rFonts w:ascii="Calibri"/>
                        <w:sz w:val="18"/>
                      </w:rPr>
                    </w:pPr>
                    <w:r>
                      <w:rPr>
                        <w:rFonts w:ascii="Calibri"/>
                        <w:color w:val="585858"/>
                        <w:sz w:val="18"/>
                      </w:rPr>
                      <w:t>10</w:t>
                    </w:r>
                  </w:p>
                  <w:p>
                    <w:pPr>
                      <w:spacing w:line="240" w:lineRule="auto" w:before="1"/>
                      <w:rPr>
                        <w:sz w:val="17"/>
                      </w:rPr>
                    </w:pPr>
                  </w:p>
                  <w:p>
                    <w:pPr>
                      <w:spacing w:line="216" w:lineRule="exact" w:before="0"/>
                      <w:ind w:left="91" w:right="0" w:firstLine="0"/>
                      <w:jc w:val="left"/>
                      <w:rPr>
                        <w:rFonts w:ascii="Calibri"/>
                        <w:sz w:val="18"/>
                      </w:rPr>
                    </w:pPr>
                    <w:r>
                      <w:rPr>
                        <w:rFonts w:ascii="Calibri"/>
                        <w:color w:val="585858"/>
                        <w:sz w:val="18"/>
                      </w:rPr>
                      <w:t>0</w:t>
                    </w:r>
                  </w:p>
                </w:txbxContent>
              </v:textbox>
              <w10:wrap type="none"/>
            </v:shape>
            <v:shape style="position:absolute;left:1733;top:4287;width:4327;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w:t>
                    </w:r>
                  </w:p>
                </w:txbxContent>
              </v:textbox>
              <w10:wrap type="none"/>
            </v:shape>
            <v:shape style="position:absolute;left:2002;top:468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3117;top:468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4232;top:4686;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5346;top:4686;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pict>
          <v:group style="position:absolute;margin-left:323.265015pt;margin-top:280.665009pt;width:256.25pt;height:156.75pt;mso-position-horizontal-relative:page;mso-position-vertical-relative:page;z-index:-135136" coordorigin="6465,5613" coordsize="5125,3135">
            <v:shape style="position:absolute;left:6862;top:7200;width:4500;height:312" coordorigin="6862,7200" coordsize="4500,312" path="m6862,7200l11362,7200m6862,7512l11362,7512e" filled="false" stroked="true" strokeweight=".72pt" strokecolor="#d9d9d9">
              <v:path arrowok="t"/>
            </v:shape>
            <v:shape style="position:absolute;left:6974;top:7169;width:4275;height:315" coordorigin="6974,7169" coordsize="4275,315" path="m6974,7481l7200,7344,7423,7330,7649,7294,7874,7409,8100,7284,8326,7462,8549,7450,8774,7440,9000,7418,9226,7483,9449,7370,9674,7320,9900,7210,10126,7169,10349,7169,10574,7450,10800,7315,11026,7418,11249,7390e" filled="false" stroked="true" strokeweight="2.16pt" strokecolor="#5b9bd4">
              <v:path arrowok="t"/>
            </v:shape>
            <v:shape style="position:absolute;left:6918;top:7423;width:115;height:115" type="#_x0000_t75" stroked="false">
              <v:imagedata r:id="rId96" o:title=""/>
            </v:shape>
            <v:shape style="position:absolute;left:7143;top:7286;width:115;height:115" type="#_x0000_t75" stroked="false">
              <v:imagedata r:id="rId93" o:title=""/>
            </v:shape>
            <v:shape style="position:absolute;left:7366;top:7272;width:115;height:115" type="#_x0000_t75" stroked="false">
              <v:imagedata r:id="rId96" o:title=""/>
            </v:shape>
            <v:shape style="position:absolute;left:7592;top:7236;width:115;height:115" type="#_x0000_t75" stroked="false">
              <v:imagedata r:id="rId96" o:title=""/>
            </v:shape>
            <v:shape style="position:absolute;left:7818;top:7351;width:115;height:115" type="#_x0000_t75" stroked="false">
              <v:imagedata r:id="rId96" o:title=""/>
            </v:shape>
            <v:shape style="position:absolute;left:8043;top:7226;width:115;height:115" type="#_x0000_t75" stroked="false">
              <v:imagedata r:id="rId93" o:title=""/>
            </v:shape>
            <v:shape style="position:absolute;left:8269;top:7404;width:115;height:115" type="#_x0000_t75" stroked="false">
              <v:imagedata r:id="rId95" o:title=""/>
            </v:shape>
            <v:shape style="position:absolute;left:8492;top:7392;width:115;height:115" type="#_x0000_t75" stroked="false">
              <v:imagedata r:id="rId96" o:title=""/>
            </v:shape>
            <v:shape style="position:absolute;left:8718;top:7382;width:115;height:115" type="#_x0000_t75" stroked="false">
              <v:imagedata r:id="rId93" o:title=""/>
            </v:shape>
            <v:shape style="position:absolute;left:8943;top:7361;width:115;height:115" type="#_x0000_t75" stroked="false">
              <v:imagedata r:id="rId93" o:title=""/>
            </v:shape>
            <v:shape style="position:absolute;left:9169;top:7425;width:115;height:115" type="#_x0000_t75" stroked="false">
              <v:imagedata r:id="rId94" o:title=""/>
            </v:shape>
            <v:shape style="position:absolute;left:9392;top:7313;width:115;height:115" type="#_x0000_t75" stroked="false">
              <v:imagedata r:id="rId96" o:title=""/>
            </v:shape>
            <v:shape style="position:absolute;left:9618;top:7262;width:115;height:115" type="#_x0000_t75" stroked="false">
              <v:imagedata r:id="rId93" o:title=""/>
            </v:shape>
            <v:shape style="position:absolute;left:9843;top:7152;width:115;height:115" type="#_x0000_t75" stroked="false">
              <v:imagedata r:id="rId96" o:title=""/>
            </v:shape>
            <v:shape style="position:absolute;left:10069;top:7111;width:115;height:115" type="#_x0000_t75" stroked="false">
              <v:imagedata r:id="rId94" o:title=""/>
            </v:shape>
            <v:shape style="position:absolute;left:10292;top:7111;width:115;height:115" type="#_x0000_t75" stroked="false">
              <v:imagedata r:id="rId96" o:title=""/>
            </v:shape>
            <v:shape style="position:absolute;left:10518;top:7392;width:115;height:115" type="#_x0000_t75" stroked="false">
              <v:imagedata r:id="rId96" o:title=""/>
            </v:shape>
            <v:shape style="position:absolute;left:10743;top:7257;width:115;height:115" type="#_x0000_t75" stroked="false">
              <v:imagedata r:id="rId96" o:title=""/>
            </v:shape>
            <v:shape style="position:absolute;left:10969;top:7361;width:115;height:115" type="#_x0000_t75" stroked="false">
              <v:imagedata r:id="rId95" o:title=""/>
            </v:shape>
            <v:shape style="position:absolute;left:11192;top:7332;width:115;height:115" type="#_x0000_t75" stroked="false">
              <v:imagedata r:id="rId96" o:title=""/>
            </v:shape>
            <v:shape style="position:absolute;left:6974;top:7397;width:4275;height:101" coordorigin="6974,7397" coordsize="4275,101" path="m6974,7433l7200,7418,7423,7490,7649,7445,7874,7498,8100,7488,8326,7478,8549,7474,8774,7440,9000,7428,9226,7471,9449,7409,9674,7464,9900,7397,10126,7490,10349,7402,10574,7445,10800,7462,11026,7450,11249,7464e" filled="false" stroked="true" strokeweight="2.16pt" strokecolor="#ec7c30">
              <v:path arrowok="t"/>
            </v:shape>
            <v:shape style="position:absolute;left:6918;top:7375;width:115;height:115" type="#_x0000_t75" stroked="false">
              <v:imagedata r:id="rId97" o:title=""/>
            </v:shape>
            <v:shape style="position:absolute;left:7143;top:7361;width:115;height:115" type="#_x0000_t75" stroked="false">
              <v:imagedata r:id="rId97" o:title=""/>
            </v:shape>
            <v:shape style="position:absolute;left:7366;top:7433;width:115;height:115" type="#_x0000_t75" stroked="false">
              <v:imagedata r:id="rId100" o:title=""/>
            </v:shape>
            <v:shape style="position:absolute;left:7592;top:7387;width:115;height:115" type="#_x0000_t75" stroked="false">
              <v:imagedata r:id="rId100" o:title=""/>
            </v:shape>
            <v:shape style="position:absolute;left:7818;top:7440;width:115;height:115" type="#_x0000_t75" stroked="false">
              <v:imagedata r:id="rId100" o:title=""/>
            </v:shape>
            <v:shape style="position:absolute;left:8043;top:7430;width:115;height:115" type="#_x0000_t75" stroked="false">
              <v:imagedata r:id="rId100" o:title=""/>
            </v:shape>
            <v:shape style="position:absolute;left:8269;top:7421;width:115;height:115" type="#_x0000_t75" stroked="false">
              <v:imagedata r:id="rId99" o:title=""/>
            </v:shape>
            <v:shape style="position:absolute;left:8492;top:7416;width:115;height:115" type="#_x0000_t75" stroked="false">
              <v:imagedata r:id="rId100" o:title=""/>
            </v:shape>
            <v:shape style="position:absolute;left:8718;top:7382;width:115;height:115" type="#_x0000_t75" stroked="false">
              <v:imagedata r:id="rId97" o:title=""/>
            </v:shape>
            <v:shape style="position:absolute;left:8943;top:7370;width:115;height:115" type="#_x0000_t75" stroked="false">
              <v:imagedata r:id="rId100" o:title=""/>
            </v:shape>
            <v:shape style="position:absolute;left:9169;top:7413;width:115;height:115" type="#_x0000_t75" stroked="false">
              <v:imagedata r:id="rId99" o:title=""/>
            </v:shape>
            <v:shape style="position:absolute;left:9392;top:7351;width:115;height:115" type="#_x0000_t75" stroked="false">
              <v:imagedata r:id="rId100" o:title=""/>
            </v:shape>
            <v:shape style="position:absolute;left:9618;top:7406;width:115;height:115" type="#_x0000_t75" stroked="false">
              <v:imagedata r:id="rId97" o:title=""/>
            </v:shape>
            <v:shape style="position:absolute;left:9843;top:7339;width:115;height:115" type="#_x0000_t75" stroked="false">
              <v:imagedata r:id="rId100" o:title=""/>
            </v:shape>
            <v:shape style="position:absolute;left:10069;top:7433;width:115;height:115" type="#_x0000_t75" stroked="false">
              <v:imagedata r:id="rId98" o:title=""/>
            </v:shape>
            <v:shape style="position:absolute;left:10292;top:7344;width:115;height:115" type="#_x0000_t75" stroked="false">
              <v:imagedata r:id="rId97" o:title=""/>
            </v:shape>
            <v:shape style="position:absolute;left:10518;top:7387;width:115;height:115" type="#_x0000_t75" stroked="false">
              <v:imagedata r:id="rId100" o:title=""/>
            </v:shape>
            <v:shape style="position:absolute;left:10743;top:7404;width:115;height:115" type="#_x0000_t75" stroked="false">
              <v:imagedata r:id="rId97" o:title=""/>
            </v:shape>
            <v:shape style="position:absolute;left:10969;top:7392;width:115;height:115" type="#_x0000_t75" stroked="false">
              <v:imagedata r:id="rId98" o:title=""/>
            </v:shape>
            <v:shape style="position:absolute;left:11192;top:7406;width:115;height:115" type="#_x0000_t75" stroked="false">
              <v:imagedata r:id="rId97" o:title=""/>
            </v:shape>
            <v:shape style="position:absolute;left:6974;top:7344;width:4275;height:168" coordorigin="6974,7344" coordsize="4275,168" path="m6974,7512l7200,7344,7423,7375,7649,7382,7874,7440,8100,7464,8326,7493,8549,7476,8774,7500,9000,7440,9226,7409,9449,7498,9674,7498,9900,7440,10126,7373,10349,7346,10574,7387,10800,7445,11026,7462,11249,7464e" filled="false" stroked="true" strokeweight="2.16pt" strokecolor="#a4a4a4">
              <v:path arrowok="t"/>
            </v:shape>
            <v:shape style="position:absolute;left:6918;top:7454;width:115;height:115" type="#_x0000_t75" stroked="false">
              <v:imagedata r:id="rId104" o:title=""/>
            </v:shape>
            <v:shape style="position:absolute;left:7143;top:7286;width:115;height:115" type="#_x0000_t75" stroked="false">
              <v:imagedata r:id="rId101" o:title=""/>
            </v:shape>
            <v:shape style="position:absolute;left:7366;top:7317;width:115;height:115" type="#_x0000_t75" stroked="false">
              <v:imagedata r:id="rId104" o:title=""/>
            </v:shape>
            <v:shape style="position:absolute;left:7592;top:7325;width:115;height:115" type="#_x0000_t75" stroked="false">
              <v:imagedata r:id="rId104" o:title=""/>
            </v:shape>
            <v:shape style="position:absolute;left:7818;top:7382;width:115;height:115" type="#_x0000_t75" stroked="false">
              <v:imagedata r:id="rId101" o:title=""/>
            </v:shape>
            <v:shape style="position:absolute;left:8043;top:7406;width:115;height:115" type="#_x0000_t75" stroked="false">
              <v:imagedata r:id="rId101" o:title=""/>
            </v:shape>
            <v:shape style="position:absolute;left:8269;top:7435;width:115;height:115" type="#_x0000_t75" stroked="false">
              <v:imagedata r:id="rId103" o:title=""/>
            </v:shape>
            <v:shape style="position:absolute;left:8492;top:7418;width:115;height:115" type="#_x0000_t75" stroked="false">
              <v:imagedata r:id="rId104" o:title=""/>
            </v:shape>
            <v:shape style="position:absolute;left:8718;top:7442;width:115;height:115" type="#_x0000_t75" stroked="false">
              <v:imagedata r:id="rId101" o:title=""/>
            </v:shape>
            <v:shape style="position:absolute;left:8943;top:7382;width:115;height:115" type="#_x0000_t75" stroked="false">
              <v:imagedata r:id="rId101" o:title=""/>
            </v:shape>
            <v:shape style="position:absolute;left:9169;top:7351;width:115;height:115" type="#_x0000_t75" stroked="false">
              <v:imagedata r:id="rId102" o:title=""/>
            </v:shape>
            <v:shape style="position:absolute;left:9392;top:7440;width:115;height:115" type="#_x0000_t75" stroked="false">
              <v:imagedata r:id="rId104" o:title=""/>
            </v:shape>
            <v:shape style="position:absolute;left:9618;top:7440;width:115;height:115" type="#_x0000_t75" stroked="false">
              <v:imagedata r:id="rId104" o:title=""/>
            </v:shape>
            <v:shape style="position:absolute;left:9843;top:7382;width:115;height:115" type="#_x0000_t75" stroked="false">
              <v:imagedata r:id="rId101" o:title=""/>
            </v:shape>
            <v:shape style="position:absolute;left:10069;top:7315;width:115;height:115" type="#_x0000_t75" stroked="false">
              <v:imagedata r:id="rId103" o:title=""/>
            </v:shape>
            <v:shape style="position:absolute;left:10292;top:7289;width:115;height:115" type="#_x0000_t75" stroked="false">
              <v:imagedata r:id="rId104" o:title=""/>
            </v:shape>
            <v:shape style="position:absolute;left:10518;top:7329;width:115;height:115" type="#_x0000_t75" stroked="false">
              <v:imagedata r:id="rId101" o:title=""/>
            </v:shape>
            <v:shape style="position:absolute;left:10743;top:7387;width:115;height:115" type="#_x0000_t75" stroked="false">
              <v:imagedata r:id="rId104" o:title=""/>
            </v:shape>
            <v:shape style="position:absolute;left:10969;top:7404;width:115;height:115" type="#_x0000_t75" stroked="false">
              <v:imagedata r:id="rId103" o:title=""/>
            </v:shape>
            <v:shape style="position:absolute;left:11192;top:7406;width:115;height:115" type="#_x0000_t75" stroked="false">
              <v:imagedata r:id="rId101" o:title=""/>
            </v:shape>
            <v:shape style="position:absolute;left:6974;top:7313;width:4275;height:200" coordorigin="6974,7313" coordsize="4275,200" path="m6974,7495l7200,7418,7423,7445,7649,7414,7874,7483,8100,7512,8326,7313,8549,7457,8774,7512,9000,7512,9226,7459,9449,7435,9674,7394,9900,7498,10126,7466,10349,7457,10574,7483,10800,7483,11026,7486,11249,7488e" filled="false" stroked="true" strokeweight="2.16pt" strokecolor="#ffc000">
              <v:path arrowok="t"/>
            </v:shape>
            <v:shape style="position:absolute;left:6918;top:7437;width:115;height:115" type="#_x0000_t75" stroked="false">
              <v:imagedata r:id="rId105" o:title=""/>
            </v:shape>
            <v:shape style="position:absolute;left:7143;top:7361;width:115;height:115" type="#_x0000_t75" stroked="false">
              <v:imagedata r:id="rId108" o:title=""/>
            </v:shape>
            <v:shape style="position:absolute;left:7366;top:7387;width:115;height:115" type="#_x0000_t75" stroked="false">
              <v:imagedata r:id="rId105" o:title=""/>
            </v:shape>
            <v:shape style="position:absolute;left:7592;top:7356;width:115;height:115" type="#_x0000_t75" stroked="false">
              <v:imagedata r:id="rId105" o:title=""/>
            </v:shape>
            <v:shape style="position:absolute;left:7818;top:7425;width:115;height:115" type="#_x0000_t75" stroked="false">
              <v:imagedata r:id="rId105" o:title=""/>
            </v:shape>
            <v:shape style="position:absolute;left:8043;top:7454;width:115;height:115" type="#_x0000_t75" stroked="false">
              <v:imagedata r:id="rId105" o:title=""/>
            </v:shape>
            <v:shape style="position:absolute;left:8269;top:7255;width:115;height:115" type="#_x0000_t75" stroked="false">
              <v:imagedata r:id="rId106" o:title=""/>
            </v:shape>
            <v:shape style="position:absolute;left:8492;top:7399;width:115;height:115" type="#_x0000_t75" stroked="false">
              <v:imagedata r:id="rId105" o:title=""/>
            </v:shape>
            <v:shape style="position:absolute;left:8718;top:7454;width:115;height:115" type="#_x0000_t75" stroked="false">
              <v:imagedata r:id="rId105" o:title=""/>
            </v:shape>
            <v:shape style="position:absolute;left:8943;top:7454;width:115;height:115" type="#_x0000_t75" stroked="false">
              <v:imagedata r:id="rId105" o:title=""/>
            </v:shape>
            <v:shape style="position:absolute;left:9169;top:7401;width:115;height:115" type="#_x0000_t75" stroked="false">
              <v:imagedata r:id="rId107" o:title=""/>
            </v:shape>
            <v:shape style="position:absolute;left:9392;top:7377;width:115;height:115" type="#_x0000_t75" stroked="false">
              <v:imagedata r:id="rId105" o:title=""/>
            </v:shape>
            <v:shape style="position:absolute;left:9618;top:7337;width:115;height:115" type="#_x0000_t75" stroked="false">
              <v:imagedata r:id="rId108" o:title=""/>
            </v:shape>
            <v:shape style="position:absolute;left:9843;top:7440;width:115;height:115" type="#_x0000_t75" stroked="false">
              <v:imagedata r:id="rId105" o:title=""/>
            </v:shape>
            <v:shape style="position:absolute;left:10069;top:7409;width:115;height:115" type="#_x0000_t75" stroked="false">
              <v:imagedata r:id="rId107" o:title=""/>
            </v:shape>
            <v:shape style="position:absolute;left:10292;top:7399;width:115;height:115" type="#_x0000_t75" stroked="false">
              <v:imagedata r:id="rId105" o:title=""/>
            </v:shape>
            <v:shape style="position:absolute;left:10518;top:7425;width:115;height:115" type="#_x0000_t75" stroked="false">
              <v:imagedata r:id="rId105" o:title=""/>
            </v:shape>
            <v:shape style="position:absolute;left:10743;top:7425;width:115;height:115" type="#_x0000_t75" stroked="false">
              <v:imagedata r:id="rId105" o:title=""/>
            </v:shape>
            <v:shape style="position:absolute;left:10969;top:7428;width:115;height:115" type="#_x0000_t75" stroked="false">
              <v:imagedata r:id="rId106" o:title=""/>
            </v:shape>
            <v:shape style="position:absolute;left:11192;top:7430;width:115;height:115" type="#_x0000_t75" stroked="false">
              <v:imagedata r:id="rId105" o:title=""/>
            </v:shape>
            <v:line style="position:absolute" from="6862,6888" to="11362,6888" stroked="true" strokeweight=".72pt" strokecolor="#d9d9d9"/>
            <v:shape style="position:absolute;left:6974;top:6955;width:4275;height:557" coordorigin="6974,6955" coordsize="4275,557" path="m6974,7462l7200,7457,7423,7466,7649,7258,7874,7486,8100,7394,8326,7476,8549,7450,8774,7406,9000,6955,9226,7267,9449,7342,9674,7330,9900,7404,10126,7397,10349,7411,10574,7469,10800,7512,11026,7512,11249,7512e" filled="false" stroked="true" strokeweight="2.16pt" strokecolor="#4471c4">
              <v:path arrowok="t"/>
            </v:shape>
            <v:shape style="position:absolute;left:6918;top:7404;width:115;height:115" type="#_x0000_t75" stroked="false">
              <v:imagedata r:id="rId112" o:title=""/>
            </v:shape>
            <v:shape style="position:absolute;left:7143;top:7399;width:115;height:115" type="#_x0000_t75" stroked="false">
              <v:imagedata r:id="rId109" o:title=""/>
            </v:shape>
            <v:shape style="position:absolute;left:7366;top:7409;width:115;height:115" type="#_x0000_t75" stroked="false">
              <v:imagedata r:id="rId109" o:title=""/>
            </v:shape>
            <v:shape style="position:absolute;left:7592;top:7200;width:115;height:115" type="#_x0000_t75" stroked="false">
              <v:imagedata r:id="rId109" o:title=""/>
            </v:shape>
            <v:shape style="position:absolute;left:7818;top:7428;width:115;height:115" type="#_x0000_t75" stroked="false">
              <v:imagedata r:id="rId112" o:title=""/>
            </v:shape>
            <v:shape style="position:absolute;left:8043;top:7337;width:115;height:115" type="#_x0000_t75" stroked="false">
              <v:imagedata r:id="rId112" o:title=""/>
            </v:shape>
            <v:shape style="position:absolute;left:8269;top:7418;width:115;height:115" type="#_x0000_t75" stroked="false">
              <v:imagedata r:id="rId111" o:title=""/>
            </v:shape>
            <v:shape style="position:absolute;left:8492;top:7392;width:115;height:115" type="#_x0000_t75" stroked="false">
              <v:imagedata r:id="rId109" o:title=""/>
            </v:shape>
            <v:shape style="position:absolute;left:8718;top:7349;width:115;height:115" type="#_x0000_t75" stroked="false">
              <v:imagedata r:id="rId109" o:title=""/>
            </v:shape>
            <v:shape style="position:absolute;left:8943;top:6897;width:115;height:115" type="#_x0000_t75" stroked="false">
              <v:imagedata r:id="rId109" o:title=""/>
            </v:shape>
            <v:shape style="position:absolute;left:9169;top:7209;width:115;height:115" type="#_x0000_t75" stroked="false">
              <v:imagedata r:id="rId110" o:title=""/>
            </v:shape>
            <v:shape style="position:absolute;left:9392;top:7284;width:115;height:115" type="#_x0000_t75" stroked="false">
              <v:imagedata r:id="rId112" o:title=""/>
            </v:shape>
            <v:shape style="position:absolute;left:9618;top:7272;width:115;height:115" type="#_x0000_t75" stroked="false">
              <v:imagedata r:id="rId109" o:title=""/>
            </v:shape>
            <v:shape style="position:absolute;left:9843;top:7346;width:115;height:115" type="#_x0000_t75" stroked="false">
              <v:imagedata r:id="rId112" o:title=""/>
            </v:shape>
            <v:shape style="position:absolute;left:10069;top:7339;width:115;height:115" type="#_x0000_t75" stroked="false">
              <v:imagedata r:id="rId111" o:title=""/>
            </v:shape>
            <v:shape style="position:absolute;left:10292;top:7353;width:115;height:115" type="#_x0000_t75" stroked="false">
              <v:imagedata r:id="rId112" o:title=""/>
            </v:shape>
            <v:shape style="position:absolute;left:10518;top:7411;width:115;height:115" type="#_x0000_t75" stroked="false">
              <v:imagedata r:id="rId109" o:title=""/>
            </v:shape>
            <v:shape style="position:absolute;left:10743;top:7454;width:115;height:115" type="#_x0000_t75" stroked="false">
              <v:imagedata r:id="rId109" o:title=""/>
            </v:shape>
            <v:shape style="position:absolute;left:10969;top:7454;width:115;height:115" type="#_x0000_t75" stroked="false">
              <v:imagedata r:id="rId111" o:title=""/>
            </v:shape>
            <v:shape style="position:absolute;left:11192;top:7454;width:115;height:115" type="#_x0000_t75" stroked="false">
              <v:imagedata r:id="rId109" o:title=""/>
            </v:shape>
            <v:shape style="position:absolute;left:6974;top:6986;width:4275;height:526" coordorigin="6974,6986" coordsize="4275,526" path="m6974,7433l7200,7385,7423,7325,7649,7193,7874,7303,8100,7500,8326,7205,8549,7351,8774,7404,9000,7450,9226,7450,9449,7178,9674,7346,9900,7056,10126,6986,10349,7202,10574,7322,10800,7298,11026,7512,11249,7512e" filled="false" stroked="true" strokeweight="2.16pt" strokecolor="#6fac46">
              <v:path arrowok="t"/>
            </v:shape>
            <v:shape style="position:absolute;left:6918;top:7375;width:115;height:115" type="#_x0000_t75" stroked="false">
              <v:imagedata r:id="rId116" o:title=""/>
            </v:shape>
            <v:shape style="position:absolute;left:7143;top:7327;width:115;height:115" type="#_x0000_t75" stroked="false">
              <v:imagedata r:id="rId113" o:title=""/>
            </v:shape>
            <v:shape style="position:absolute;left:7366;top:7267;width:115;height:115" type="#_x0000_t75" stroked="false">
              <v:imagedata r:id="rId113" o:title=""/>
            </v:shape>
            <v:shape style="position:absolute;left:7592;top:7135;width:115;height:115" type="#_x0000_t75" stroked="false">
              <v:imagedata r:id="rId116" o:title=""/>
            </v:shape>
            <v:shape style="position:absolute;left:7818;top:7245;width:115;height:115" type="#_x0000_t75" stroked="false">
              <v:imagedata r:id="rId113" o:title=""/>
            </v:shape>
            <v:shape style="position:absolute;left:8043;top:7442;width:115;height:115" type="#_x0000_t75" stroked="false">
              <v:imagedata r:id="rId116" o:title=""/>
            </v:shape>
            <v:shape style="position:absolute;left:8269;top:7147;width:115;height:115" type="#_x0000_t75" stroked="false">
              <v:imagedata r:id="rId183" o:title=""/>
            </v:shape>
            <v:shape style="position:absolute;left:8492;top:7293;width:115;height:115" type="#_x0000_t75" stroked="false">
              <v:imagedata r:id="rId116" o:title=""/>
            </v:shape>
            <v:shape style="position:absolute;left:8718;top:7346;width:115;height:115" type="#_x0000_t75" stroked="false">
              <v:imagedata r:id="rId116" o:title=""/>
            </v:shape>
            <v:shape style="position:absolute;left:8943;top:7392;width:115;height:115" type="#_x0000_t75" stroked="false">
              <v:imagedata r:id="rId113" o:title=""/>
            </v:shape>
            <v:shape style="position:absolute;left:9169;top:7392;width:115;height:115" type="#_x0000_t75" stroked="false">
              <v:imagedata r:id="rId183" o:title=""/>
            </v:shape>
            <v:shape style="position:absolute;left:9392;top:7121;width:115;height:115" type="#_x0000_t75" stroked="false">
              <v:imagedata r:id="rId116" o:title=""/>
            </v:shape>
            <v:shape style="position:absolute;left:9618;top:7289;width:115;height:115" type="#_x0000_t75" stroked="false">
              <v:imagedata r:id="rId113" o:title=""/>
            </v:shape>
            <v:shape style="position:absolute;left:9843;top:6998;width:115;height:115" type="#_x0000_t75" stroked="false">
              <v:imagedata r:id="rId113" o:title=""/>
            </v:shape>
            <v:shape style="position:absolute;left:10069;top:6929;width:115;height:115" type="#_x0000_t75" stroked="false">
              <v:imagedata r:id="rId183" o:title=""/>
            </v:shape>
            <v:shape style="position:absolute;left:10292;top:7145;width:115;height:115" type="#_x0000_t75" stroked="false">
              <v:imagedata r:id="rId113" o:title=""/>
            </v:shape>
            <v:shape style="position:absolute;left:10518;top:7265;width:115;height:115" type="#_x0000_t75" stroked="false">
              <v:imagedata r:id="rId113" o:title=""/>
            </v:shape>
            <v:shape style="position:absolute;left:10743;top:7241;width:115;height:115" type="#_x0000_t75" stroked="false">
              <v:imagedata r:id="rId116" o:title=""/>
            </v:shape>
            <v:shape style="position:absolute;left:10969;top:7454;width:115;height:115" type="#_x0000_t75" stroked="false">
              <v:imagedata r:id="rId183" o:title=""/>
            </v:shape>
            <v:shape style="position:absolute;left:11192;top:7454;width:115;height:115" type="#_x0000_t75" stroked="false">
              <v:imagedata r:id="rId113" o:title=""/>
            </v:shape>
            <v:line style="position:absolute" from="6862,6576" to="11362,6576" stroked="true" strokeweight=".72pt" strokecolor="#d9d9d9"/>
            <v:shape style="position:absolute;left:6974;top:6511;width:4275;height:1001" coordorigin="6974,6511" coordsize="4275,1001" path="m6974,7418l7200,7394,7423,6511,7649,7284,7874,7418,8100,7500,8326,7450,8549,7351,8774,7404,9000,7404,9226,7450,9449,7423,9674,7394,9900,7346,10126,7387,10349,7464,10574,7471,10800,7392,11026,7512,11249,7423e" filled="false" stroked="true" strokeweight="2.16pt" strokecolor="#245e91">
              <v:path arrowok="t"/>
            </v:shape>
            <v:shape style="position:absolute;left:6918;top:7361;width:115;height:115" type="#_x0000_t75" stroked="false">
              <v:imagedata r:id="rId120" o:title=""/>
            </v:shape>
            <v:shape style="position:absolute;left:7143;top:7337;width:115;height:115" type="#_x0000_t75" stroked="false">
              <v:imagedata r:id="rId120" o:title=""/>
            </v:shape>
            <v:shape style="position:absolute;left:7366;top:6453;width:115;height:115" type="#_x0000_t75" stroked="false">
              <v:imagedata r:id="rId120" o:title=""/>
            </v:shape>
            <v:shape style="position:absolute;left:7592;top:7226;width:115;height:115" type="#_x0000_t75" stroked="false">
              <v:imagedata r:id="rId120" o:title=""/>
            </v:shape>
            <v:shape style="position:absolute;left:7818;top:7361;width:115;height:115" type="#_x0000_t75" stroked="false">
              <v:imagedata r:id="rId120" o:title=""/>
            </v:shape>
            <v:shape style="position:absolute;left:8043;top:7442;width:115;height:115" type="#_x0000_t75" stroked="false">
              <v:imagedata r:id="rId120" o:title=""/>
            </v:shape>
            <v:shape style="position:absolute;left:8269;top:7392;width:115;height:115" type="#_x0000_t75" stroked="false">
              <v:imagedata r:id="rId184" o:title=""/>
            </v:shape>
            <v:shape style="position:absolute;left:8492;top:7293;width:115;height:115" type="#_x0000_t75" stroked="false">
              <v:imagedata r:id="rId120" o:title=""/>
            </v:shape>
            <v:shape style="position:absolute;left:8718;top:7346;width:115;height:115" type="#_x0000_t75" stroked="false">
              <v:imagedata r:id="rId120" o:title=""/>
            </v:shape>
            <v:shape style="position:absolute;left:8943;top:7346;width:115;height:115" type="#_x0000_t75" stroked="false">
              <v:imagedata r:id="rId120" o:title=""/>
            </v:shape>
            <v:shape style="position:absolute;left:9169;top:7392;width:115;height:115" type="#_x0000_t75" stroked="false">
              <v:imagedata r:id="rId184" o:title=""/>
            </v:shape>
            <v:shape style="position:absolute;left:9392;top:7365;width:115;height:115" type="#_x0000_t75" stroked="false">
              <v:imagedata r:id="rId117" o:title=""/>
            </v:shape>
            <v:shape style="position:absolute;left:9618;top:7337;width:115;height:115" type="#_x0000_t75" stroked="false">
              <v:imagedata r:id="rId120" o:title=""/>
            </v:shape>
            <v:shape style="position:absolute;left:9843;top:7289;width:115;height:115" type="#_x0000_t75" stroked="false">
              <v:imagedata r:id="rId117" o:title=""/>
            </v:shape>
            <v:shape style="position:absolute;left:10069;top:7329;width:115;height:115" type="#_x0000_t75" stroked="false">
              <v:imagedata r:id="rId118" o:title=""/>
            </v:shape>
            <v:shape style="position:absolute;left:10292;top:7406;width:115;height:115" type="#_x0000_t75" stroked="false">
              <v:imagedata r:id="rId120" o:title=""/>
            </v:shape>
            <v:shape style="position:absolute;left:10518;top:7413;width:115;height:115" type="#_x0000_t75" stroked="false">
              <v:imagedata r:id="rId120" o:title=""/>
            </v:shape>
            <v:shape style="position:absolute;left:10743;top:7334;width:115;height:115" type="#_x0000_t75" stroked="false">
              <v:imagedata r:id="rId117" o:title=""/>
            </v:shape>
            <v:shape style="position:absolute;left:10969;top:7454;width:115;height:115" type="#_x0000_t75" stroked="false">
              <v:imagedata r:id="rId184" o:title=""/>
            </v:shape>
            <v:shape style="position:absolute;left:11192;top:7365;width:115;height:115" type="#_x0000_t75" stroked="false">
              <v:imagedata r:id="rId117" o:title=""/>
            </v:shape>
            <v:line style="position:absolute" from="6862,6264" to="11362,6264" stroked="true" strokeweight=".72pt" strokecolor="#d9d9d9"/>
            <v:shape style="position:absolute;left:6840;top:8086;width:427;height:115" type="#_x0000_t75" stroked="false">
              <v:imagedata r:id="rId185" o:title=""/>
            </v:shape>
            <v:shape style="position:absolute;left:7956;top:8086;width:427;height:115" type="#_x0000_t75" stroked="false">
              <v:imagedata r:id="rId186" o:title=""/>
            </v:shape>
            <v:shape style="position:absolute;left:9070;top:8086;width:427;height:115" type="#_x0000_t75" stroked="false">
              <v:imagedata r:id="rId187" o:title=""/>
            </v:shape>
            <v:shape style="position:absolute;left:10183;top:8086;width:427;height:115" type="#_x0000_t75" stroked="false">
              <v:imagedata r:id="rId188" o:title=""/>
            </v:shape>
            <v:shape style="position:absolute;left:6840;top:8422;width:427;height:115" type="#_x0000_t75" stroked="false">
              <v:imagedata r:id="rId189" o:title=""/>
            </v:shape>
            <v:shape style="position:absolute;left:7956;top:8422;width:427;height:115" type="#_x0000_t75" stroked="false">
              <v:imagedata r:id="rId91" o:title=""/>
            </v:shape>
            <v:shape style="position:absolute;left:9070;top:8422;width:427;height:115" type="#_x0000_t75" stroked="false">
              <v:imagedata r:id="rId182" o:title=""/>
            </v:shape>
            <v:rect style="position:absolute;left:6473;top:5621;width:5110;height:3120" filled="false" stroked="true" strokeweight=".72pt" strokecolor="#d9d9d9"/>
            <v:shape style="position:absolute;left:8275;top:5812;width:1506;height:200" type="#_x0000_t202" filled="false" stroked="false">
              <v:textbox inset="0,0,0,0">
                <w:txbxContent>
                  <w:p>
                    <w:pPr>
                      <w:spacing w:line="199" w:lineRule="exact" w:before="0"/>
                      <w:ind w:left="0" w:right="-14" w:firstLine="0"/>
                      <w:jc w:val="left"/>
                      <w:rPr>
                        <w:rFonts w:ascii="Calibri"/>
                        <w:sz w:val="20"/>
                      </w:rPr>
                    </w:pPr>
                    <w:r>
                      <w:rPr>
                        <w:rFonts w:ascii="Calibri"/>
                        <w:color w:val="585858"/>
                        <w:sz w:val="20"/>
                      </w:rPr>
                      <w:t>Eosinophils</w:t>
                    </w:r>
                    <w:r>
                      <w:rPr>
                        <w:rFonts w:ascii="Calibri"/>
                        <w:color w:val="585858"/>
                        <w:spacing w:val="-9"/>
                        <w:sz w:val="20"/>
                      </w:rPr>
                      <w:t> </w:t>
                    </w:r>
                    <w:r>
                      <w:rPr>
                        <w:rFonts w:ascii="Calibri"/>
                        <w:color w:val="585858"/>
                        <w:sz w:val="20"/>
                      </w:rPr>
                      <w:t>counts</w:t>
                    </w:r>
                  </w:p>
                </w:txbxContent>
              </v:textbox>
              <w10:wrap type="none"/>
            </v:shape>
            <v:shape style="position:absolute;left:6605;top:6181;width:92;height:1426" type="#_x0000_t202" filled="false" stroked="false">
              <v:textbox inset="0,0,0,0">
                <w:txbxContent>
                  <w:p>
                    <w:pPr>
                      <w:spacing w:line="183" w:lineRule="exact" w:before="0"/>
                      <w:ind w:left="0" w:right="0" w:firstLine="0"/>
                      <w:jc w:val="left"/>
                      <w:rPr>
                        <w:rFonts w:ascii="Calibri"/>
                        <w:sz w:val="18"/>
                      </w:rPr>
                    </w:pPr>
                    <w:r>
                      <w:rPr>
                        <w:rFonts w:ascii="Calibri"/>
                        <w:color w:val="585858"/>
                        <w:sz w:val="18"/>
                      </w:rPr>
                      <w:t>8</w:t>
                    </w:r>
                  </w:p>
                  <w:p>
                    <w:pPr>
                      <w:spacing w:before="91"/>
                      <w:ind w:left="0" w:right="0" w:firstLine="0"/>
                      <w:jc w:val="left"/>
                      <w:rPr>
                        <w:rFonts w:ascii="Calibri"/>
                        <w:sz w:val="18"/>
                      </w:rPr>
                    </w:pPr>
                    <w:r>
                      <w:rPr>
                        <w:rFonts w:ascii="Calibri"/>
                        <w:color w:val="585858"/>
                        <w:sz w:val="18"/>
                      </w:rPr>
                      <w:t>6</w:t>
                    </w:r>
                  </w:p>
                  <w:p>
                    <w:pPr>
                      <w:spacing w:before="92"/>
                      <w:ind w:left="0" w:right="0" w:firstLine="0"/>
                      <w:jc w:val="left"/>
                      <w:rPr>
                        <w:rFonts w:ascii="Calibri"/>
                        <w:sz w:val="18"/>
                      </w:rPr>
                    </w:pPr>
                    <w:r>
                      <w:rPr>
                        <w:rFonts w:ascii="Calibri"/>
                        <w:color w:val="585858"/>
                        <w:sz w:val="18"/>
                      </w:rPr>
                      <w:t>4</w:t>
                    </w:r>
                  </w:p>
                  <w:p>
                    <w:pPr>
                      <w:spacing w:before="91"/>
                      <w:ind w:left="0" w:right="0" w:firstLine="0"/>
                      <w:jc w:val="left"/>
                      <w:rPr>
                        <w:rFonts w:ascii="Calibri"/>
                        <w:sz w:val="18"/>
                      </w:rPr>
                    </w:pPr>
                    <w:r>
                      <w:rPr>
                        <w:rFonts w:ascii="Calibri"/>
                        <w:color w:val="585858"/>
                        <w:sz w:val="18"/>
                      </w:rPr>
                      <w:t>2</w:t>
                    </w:r>
                  </w:p>
                  <w:p>
                    <w:pPr>
                      <w:spacing w:line="216" w:lineRule="exact" w:before="92"/>
                      <w:ind w:left="0" w:right="0" w:firstLine="0"/>
                      <w:jc w:val="left"/>
                      <w:rPr>
                        <w:rFonts w:ascii="Calibri"/>
                        <w:sz w:val="18"/>
                      </w:rPr>
                    </w:pPr>
                    <w:r>
                      <w:rPr>
                        <w:rFonts w:ascii="Calibri"/>
                        <w:color w:val="585858"/>
                        <w:sz w:val="18"/>
                      </w:rPr>
                      <w:t>0</w:t>
                    </w:r>
                  </w:p>
                </w:txbxContent>
              </v:textbox>
              <w10:wrap type="none"/>
            </v:shape>
            <v:shape style="position:absolute;left:6930;top:7662;width:4413;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w:t>
                    </w:r>
                  </w:p>
                </w:txbxContent>
              </v:textbox>
              <w10:wrap type="none"/>
            </v:shape>
            <v:shape style="position:absolute;left:7288;top:8061;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8402;top:8061;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9517;top:8061;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10632;top:8061;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sz w:val="20"/>
        </w:rPr>
        <w:pict>
          <v:group style="width:562.450pt;height:576.5pt;mso-position-horizontal-relative:char;mso-position-vertical-relative:line" coordorigin="0,0" coordsize="11249,11530">
            <v:shape style="position:absolute;left:0;top:0;width:146;height:11443" coordorigin="0,0" coordsize="146,11443" path="m70,120l0,11442,31,11442,101,120,70,120xm135,100l70,100,101,100,101,120,145,120,135,100xm70,100l70,120,101,120,101,100,70,100xm86,0l25,120,70,120,70,100,135,100,86,0xe" filled="true" fillcolor="#000000" stroked="false">
              <v:path arrowok="t"/>
              <v:fill type="solid"/>
            </v:shape>
            <v:shape style="position:absolute;left:42;top:11384;width:11207;height:145" coordorigin="42,11384" coordsize="11207,145" path="m11129,11409l11129,11454,11149,11454,11148,11485,11128,11485,11128,11529,11218,11485,11148,11485,11218,11485,11248,11470,11129,11409xm11129,11454l11128,11485,11148,11485,11149,11454,11129,11454xm42,11384l42,11416,11128,11485,11129,11454,42,11384xe" filled="true" fillcolor="#000000" stroked="false">
              <v:path arrowok="t"/>
              <v:fill type="solid"/>
            </v:shape>
          </v:group>
        </w:pict>
      </w:r>
      <w:r>
        <w:rPr>
          <w:sz w:val="20"/>
        </w:rPr>
      </w:r>
    </w:p>
    <w:p>
      <w:pPr>
        <w:pStyle w:val="BodyText"/>
        <w:rPr>
          <w:sz w:val="20"/>
        </w:rPr>
      </w:pPr>
    </w:p>
    <w:p>
      <w:pPr>
        <w:pStyle w:val="BodyText"/>
        <w:rPr>
          <w:sz w:val="19"/>
        </w:rPr>
      </w:pPr>
    </w:p>
    <w:p>
      <w:pPr>
        <w:spacing w:line="259" w:lineRule="auto" w:before="0"/>
        <w:ind w:left="104" w:right="473" w:firstLine="0"/>
        <w:jc w:val="both"/>
        <w:rPr>
          <w:sz w:val="20"/>
        </w:rPr>
      </w:pPr>
      <w:r>
        <w:rPr/>
        <w:pict>
          <v:group style="position:absolute;margin-left:324.704987pt;margin-top:-206.95311pt;width:256.25pt;height:156.65pt;mso-position-horizontal-relative:page;mso-position-vertical-relative:paragraph;z-index:-135952" coordorigin="6494,-4139" coordsize="5125,3133">
            <v:shape style="position:absolute;left:6888;top:-3176;width:4505;height:934" coordorigin="6888,-3176" coordsize="4505,934" path="m6888,-2552l11393,-2552m6888,-2864l11393,-2864m6888,-3176l11393,-3176m6888,-2243l11393,-2243e" filled="false" stroked="true" strokeweight=".72pt" strokecolor="#d9d9d9">
              <v:path arrowok="t"/>
            </v:shape>
            <v:shape style="position:absolute;left:7001;top:-3301;width:4280;height:1049" coordorigin="7001,-3301" coordsize="4280,1049" path="m7001,-3301l7226,-2869,7452,-2430,7678,-2416,7903,-2365,8126,-2252,8352,-2420,8578,-2447,8803,-2442,9029,-2408,9252,-2260,9478,-2288,9703,-2317,9929,-2310,10154,-2317,10378,-2276,10603,-2432,10829,-2509,11054,-2524,11280,-2526e" filled="false" stroked="true" strokeweight="2.16pt" strokecolor="#5b9bd4">
              <v:path arrowok="t"/>
            </v:shape>
            <v:shape style="position:absolute;left:6942;top:-3360;width:115;height:115" type="#_x0000_t75" stroked="false">
              <v:imagedata r:id="rId190" o:title=""/>
            </v:shape>
            <v:shape style="position:absolute;left:7168;top:-2928;width:115;height:115" type="#_x0000_t75" stroked="false">
              <v:imagedata r:id="rId191" o:title=""/>
            </v:shape>
            <v:shape style="position:absolute;left:7394;top:-2488;width:115;height:115" type="#_x0000_t75" stroked="false">
              <v:imagedata r:id="rId190" o:title=""/>
            </v:shape>
            <v:shape style="position:absolute;left:7619;top:-2474;width:115;height:115" type="#_x0000_t75" stroked="false">
              <v:imagedata r:id="rId190" o:title=""/>
            </v:shape>
            <v:shape style="position:absolute;left:7845;top:-2424;width:115;height:115" type="#_x0000_t75" stroked="false">
              <v:imagedata r:id="rId191" o:title=""/>
            </v:shape>
            <v:shape style="position:absolute;left:8068;top:-2311;width:115;height:115" type="#_x0000_t75" stroked="false">
              <v:imagedata r:id="rId191" o:title=""/>
            </v:shape>
            <v:shape style="position:absolute;left:8294;top:-2479;width:115;height:115" type="#_x0000_t75" stroked="false">
              <v:imagedata r:id="rId190" o:title=""/>
            </v:shape>
            <v:shape style="position:absolute;left:8519;top:-2505;width:115;height:115" type="#_x0000_t75" stroked="false">
              <v:imagedata r:id="rId190" o:title=""/>
            </v:shape>
            <v:shape style="position:absolute;left:8745;top:-2500;width:115;height:115" type="#_x0000_t75" stroked="false">
              <v:imagedata r:id="rId191" o:title=""/>
            </v:shape>
            <v:shape style="position:absolute;left:8970;top:-2467;width:115;height:115" type="#_x0000_t75" stroked="false">
              <v:imagedata r:id="rId190" o:title=""/>
            </v:shape>
            <v:shape style="position:absolute;left:9194;top:-2318;width:115;height:115" type="#_x0000_t75" stroked="false">
              <v:imagedata r:id="rId191" o:title=""/>
            </v:shape>
            <v:shape style="position:absolute;left:9419;top:-2347;width:115;height:115" type="#_x0000_t75" stroked="false">
              <v:imagedata r:id="rId190" o:title=""/>
            </v:shape>
            <v:shape style="position:absolute;left:9645;top:-2376;width:115;height:115" type="#_x0000_t75" stroked="false">
              <v:imagedata r:id="rId190" o:title=""/>
            </v:shape>
            <v:shape style="position:absolute;left:9870;top:-2368;width:115;height:115" type="#_x0000_t75" stroked="false">
              <v:imagedata r:id="rId190" o:title=""/>
            </v:shape>
            <v:shape style="position:absolute;left:10096;top:-2376;width:115;height:115" type="#_x0000_t75" stroked="false">
              <v:imagedata r:id="rId190" o:title=""/>
            </v:shape>
            <v:shape style="position:absolute;left:10319;top:-2335;width:115;height:115" type="#_x0000_t75" stroked="false">
              <v:imagedata r:id="rId191" o:title=""/>
            </v:shape>
            <v:shape style="position:absolute;left:10545;top:-2491;width:115;height:115" type="#_x0000_t75" stroked="false">
              <v:imagedata r:id="rId191" o:title=""/>
            </v:shape>
            <v:shape style="position:absolute;left:10770;top:-2568;width:115;height:115" type="#_x0000_t75" stroked="false">
              <v:imagedata r:id="rId191" o:title=""/>
            </v:shape>
            <v:shape style="position:absolute;left:10996;top:-2582;width:115;height:115" type="#_x0000_t75" stroked="false">
              <v:imagedata r:id="rId191" o:title=""/>
            </v:shape>
            <v:shape style="position:absolute;left:11222;top:-2584;width:115;height:115" type="#_x0000_t75" stroked="false">
              <v:imagedata r:id="rId192" o:title=""/>
            </v:shape>
            <v:shape style="position:absolute;left:7001;top:-2989;width:4280;height:740" coordorigin="7001,-2989" coordsize="4280,740" path="m7001,-2989l7226,-2944,7452,-2476,7678,-2348,7903,-2310,8126,-2310,8352,-2286,8578,-2305,8803,-2288,9029,-2296,9252,-2250,9478,-2303,9703,-2264,9929,-2286,10154,-2365,10378,-2329,10603,-2576,10829,-2308,11054,-2305,11280,-2274e" filled="false" stroked="true" strokeweight="2.16pt" strokecolor="#ec7c30">
              <v:path arrowok="t"/>
            </v:shape>
            <v:shape style="position:absolute;left:6942;top:-3048;width:115;height:115" type="#_x0000_t75" stroked="false">
              <v:imagedata r:id="rId193" o:title=""/>
            </v:shape>
            <v:shape style="position:absolute;left:7168;top:-3002;width:115;height:115" type="#_x0000_t75" stroked="false">
              <v:imagedata r:id="rId193" o:title=""/>
            </v:shape>
            <v:shape style="position:absolute;left:7394;top:-2534;width:115;height:115" type="#_x0000_t75" stroked="false">
              <v:imagedata r:id="rId194" o:title=""/>
            </v:shape>
            <v:shape style="position:absolute;left:7619;top:-2407;width:115;height:115" type="#_x0000_t75" stroked="false">
              <v:imagedata r:id="rId194" o:title=""/>
            </v:shape>
            <v:shape style="position:absolute;left:7845;top:-2368;width:115;height:115" type="#_x0000_t75" stroked="false">
              <v:imagedata r:id="rId194" o:title=""/>
            </v:shape>
            <v:shape style="position:absolute;left:8068;top:-2368;width:115;height:115" type="#_x0000_t75" stroked="false">
              <v:imagedata r:id="rId194" o:title=""/>
            </v:shape>
            <v:shape style="position:absolute;left:8294;top:-2344;width:115;height:115" type="#_x0000_t75" stroked="false">
              <v:imagedata r:id="rId194" o:title=""/>
            </v:shape>
            <v:shape style="position:absolute;left:8519;top:-2364;width:115;height:115" type="#_x0000_t75" stroked="false">
              <v:imagedata r:id="rId193" o:title=""/>
            </v:shape>
            <v:shape style="position:absolute;left:8745;top:-2347;width:115;height:115" type="#_x0000_t75" stroked="false">
              <v:imagedata r:id="rId194" o:title=""/>
            </v:shape>
            <v:shape style="position:absolute;left:8970;top:-2354;width:115;height:115" type="#_x0000_t75" stroked="false">
              <v:imagedata r:id="rId194" o:title=""/>
            </v:shape>
            <v:shape style="position:absolute;left:9194;top:-2308;width:115;height:115" type="#_x0000_t75" stroked="false">
              <v:imagedata r:id="rId194" o:title=""/>
            </v:shape>
            <v:shape style="position:absolute;left:9419;top:-2361;width:115;height:115" type="#_x0000_t75" stroked="false">
              <v:imagedata r:id="rId194" o:title=""/>
            </v:shape>
            <v:shape style="position:absolute;left:9645;top:-2323;width:115;height:115" type="#_x0000_t75" stroked="false">
              <v:imagedata r:id="rId194" o:title=""/>
            </v:shape>
            <v:shape style="position:absolute;left:9870;top:-2344;width:115;height:115" type="#_x0000_t75" stroked="false">
              <v:imagedata r:id="rId194" o:title=""/>
            </v:shape>
            <v:shape style="position:absolute;left:10096;top:-2424;width:115;height:115" type="#_x0000_t75" stroked="false">
              <v:imagedata r:id="rId193" o:title=""/>
            </v:shape>
            <v:shape style="position:absolute;left:10319;top:-2388;width:115;height:115" type="#_x0000_t75" stroked="false">
              <v:imagedata r:id="rId193" o:title=""/>
            </v:shape>
            <v:shape style="position:absolute;left:10545;top:-2635;width:115;height:115" type="#_x0000_t75" stroked="false">
              <v:imagedata r:id="rId193" o:title=""/>
            </v:shape>
            <v:shape style="position:absolute;left:10770;top:-2366;width:115;height:115" type="#_x0000_t75" stroked="false">
              <v:imagedata r:id="rId194" o:title=""/>
            </v:shape>
            <v:shape style="position:absolute;left:10996;top:-2364;width:115;height:115" type="#_x0000_t75" stroked="false">
              <v:imagedata r:id="rId193" o:title=""/>
            </v:shape>
            <v:shape style="position:absolute;left:11222;top:-2332;width:115;height:115" type="#_x0000_t75" stroked="false">
              <v:imagedata r:id="rId195" o:title=""/>
            </v:shape>
            <v:shape style="position:absolute;left:7001;top:-2524;width:4280;height:281" coordorigin="7001,-2524" coordsize="4280,281" path="m7001,-2461l7226,-2524,7452,-2300,7678,-2300,7903,-2320,8126,-2305,8352,-2372,8578,-2300,8803,-2274,9029,-2243,9252,-2279,9478,-2257,9703,-2310,9929,-2269,10154,-2310,10378,-2296,10603,-2296,10829,-2372,11054,-2339,11280,-2322e" filled="false" stroked="true" strokeweight="2.16pt" strokecolor="#a4a4a4">
              <v:path arrowok="t"/>
            </v:shape>
            <v:shape style="position:absolute;left:6942;top:-2520;width:115;height:115" type="#_x0000_t75" stroked="false">
              <v:imagedata r:id="rId196" o:title=""/>
            </v:shape>
            <v:shape style="position:absolute;left:7168;top:-2582;width:115;height:115" type="#_x0000_t75" stroked="false">
              <v:imagedata r:id="rId197" o:title=""/>
            </v:shape>
            <v:shape style="position:absolute;left:7394;top:-2359;width:115;height:115" type="#_x0000_t75" stroked="false">
              <v:imagedata r:id="rId196" o:title=""/>
            </v:shape>
            <v:shape style="position:absolute;left:7619;top:-2359;width:115;height:115" type="#_x0000_t75" stroked="false">
              <v:imagedata r:id="rId196" o:title=""/>
            </v:shape>
            <v:shape style="position:absolute;left:7845;top:-2378;width:115;height:115" type="#_x0000_t75" stroked="false">
              <v:imagedata r:id="rId197" o:title=""/>
            </v:shape>
            <v:shape style="position:absolute;left:8068;top:-2364;width:115;height:115" type="#_x0000_t75" stroked="false">
              <v:imagedata r:id="rId197" o:title=""/>
            </v:shape>
            <v:shape style="position:absolute;left:8294;top:-2431;width:115;height:115" type="#_x0000_t75" stroked="false">
              <v:imagedata r:id="rId197" o:title=""/>
            </v:shape>
            <v:shape style="position:absolute;left:8519;top:-2359;width:115;height:115" type="#_x0000_t75" stroked="false">
              <v:imagedata r:id="rId196" o:title=""/>
            </v:shape>
            <v:shape style="position:absolute;left:8745;top:-2332;width:115;height:115" type="#_x0000_t75" stroked="false">
              <v:imagedata r:id="rId196" o:title=""/>
            </v:shape>
            <v:shape style="position:absolute;left:8970;top:-2301;width:115;height:115" type="#_x0000_t75" stroked="false">
              <v:imagedata r:id="rId196" o:title=""/>
            </v:shape>
            <v:shape style="position:absolute;left:9194;top:-2337;width:115;height:115" type="#_x0000_t75" stroked="false">
              <v:imagedata r:id="rId196" o:title=""/>
            </v:shape>
            <v:shape style="position:absolute;left:9419;top:-2316;width:115;height:115" type="#_x0000_t75" stroked="false">
              <v:imagedata r:id="rId196" o:title=""/>
            </v:shape>
            <v:shape style="position:absolute;left:9645;top:-2368;width:115;height:115" type="#_x0000_t75" stroked="false">
              <v:imagedata r:id="rId196" o:title=""/>
            </v:shape>
            <v:shape style="position:absolute;left:9870;top:-2328;width:115;height:115" type="#_x0000_t75" stroked="false">
              <v:imagedata r:id="rId197" o:title=""/>
            </v:shape>
            <v:shape style="position:absolute;left:10096;top:-2368;width:115;height:115" type="#_x0000_t75" stroked="false">
              <v:imagedata r:id="rId196" o:title=""/>
            </v:shape>
            <v:shape style="position:absolute;left:10319;top:-2354;width:115;height:115" type="#_x0000_t75" stroked="false">
              <v:imagedata r:id="rId196" o:title=""/>
            </v:shape>
            <v:shape style="position:absolute;left:10545;top:-2354;width:115;height:115" type="#_x0000_t75" stroked="false">
              <v:imagedata r:id="rId196" o:title=""/>
            </v:shape>
            <v:shape style="position:absolute;left:10770;top:-2431;width:115;height:115" type="#_x0000_t75" stroked="false">
              <v:imagedata r:id="rId197" o:title=""/>
            </v:shape>
            <v:shape style="position:absolute;left:10996;top:-2397;width:115;height:115" type="#_x0000_t75" stroked="false">
              <v:imagedata r:id="rId196" o:title=""/>
            </v:shape>
            <v:shape style="position:absolute;left:11222;top:-2380;width:115;height:115" type="#_x0000_t75" stroked="false">
              <v:imagedata r:id="rId198" o:title=""/>
            </v:shape>
            <v:shape style="position:absolute;left:7001;top:-2807;width:4280;height:548" coordorigin="7001,-2807" coordsize="4280,548" path="m7001,-2552l7226,-2524,7452,-2807,7678,-2488,7903,-2384,8126,-2476,8352,-2353,8578,-2353,8803,-2430,9029,-2389,9252,-2329,9478,-2260,9703,-2315,9929,-2317,10154,-2286,10378,-2296,10603,-2411,10829,-2387,11054,-2351,11280,-2320e" filled="false" stroked="true" strokeweight="2.16pt" strokecolor="#ffc000">
              <v:path arrowok="t"/>
            </v:shape>
            <v:shape style="position:absolute;left:6942;top:-2611;width:115;height:115" type="#_x0000_t75" stroked="false">
              <v:imagedata r:id="rId199" o:title=""/>
            </v:shape>
            <v:shape style="position:absolute;left:7168;top:-2582;width:115;height:115" type="#_x0000_t75" stroked="false">
              <v:imagedata r:id="rId199" o:title=""/>
            </v:shape>
            <v:shape style="position:absolute;left:7394;top:-2865;width:115;height:115" type="#_x0000_t75" stroked="false">
              <v:imagedata r:id="rId200" o:title=""/>
            </v:shape>
            <v:shape style="position:absolute;left:7619;top:-2546;width:115;height:115" type="#_x0000_t75" stroked="false">
              <v:imagedata r:id="rId200" o:title=""/>
            </v:shape>
            <v:shape style="position:absolute;left:7845;top:-2443;width:115;height:115" type="#_x0000_t75" stroked="false">
              <v:imagedata r:id="rId200" o:title=""/>
            </v:shape>
            <v:shape style="position:absolute;left:8068;top:-2534;width:115;height:115" type="#_x0000_t75" stroked="false">
              <v:imagedata r:id="rId200" o:title=""/>
            </v:shape>
            <v:shape style="position:absolute;left:8294;top:-2412;width:115;height:115" type="#_x0000_t75" stroked="false">
              <v:imagedata r:id="rId200" o:title=""/>
            </v:shape>
            <v:shape style="position:absolute;left:8519;top:-2412;width:115;height:115" type="#_x0000_t75" stroked="false">
              <v:imagedata r:id="rId200" o:title=""/>
            </v:shape>
            <v:shape style="position:absolute;left:8745;top:-2488;width:115;height:115" type="#_x0000_t75" stroked="false">
              <v:imagedata r:id="rId200" o:title=""/>
            </v:shape>
            <v:shape style="position:absolute;left:8970;top:-2448;width:115;height:115" type="#_x0000_t75" stroked="false">
              <v:imagedata r:id="rId199" o:title=""/>
            </v:shape>
            <v:shape style="position:absolute;left:9194;top:-2388;width:115;height:115" type="#_x0000_t75" stroked="false">
              <v:imagedata r:id="rId199" o:title=""/>
            </v:shape>
            <v:shape style="position:absolute;left:9419;top:-2318;width:115;height:115" type="#_x0000_t75" stroked="false">
              <v:imagedata r:id="rId199" o:title=""/>
            </v:shape>
            <v:shape style="position:absolute;left:9645;top:-2373;width:115;height:115" type="#_x0000_t75" stroked="false">
              <v:imagedata r:id="rId200" o:title=""/>
            </v:shape>
            <v:shape style="position:absolute;left:9870;top:-2376;width:115;height:115" type="#_x0000_t75" stroked="false">
              <v:imagedata r:id="rId200" o:title=""/>
            </v:shape>
            <v:shape style="position:absolute;left:10096;top:-2344;width:115;height:115" type="#_x0000_t75" stroked="false">
              <v:imagedata r:id="rId200" o:title=""/>
            </v:shape>
            <v:shape style="position:absolute;left:10319;top:-2354;width:115;height:115" type="#_x0000_t75" stroked="false">
              <v:imagedata r:id="rId200" o:title=""/>
            </v:shape>
            <v:shape style="position:absolute;left:10545;top:-2469;width:115;height:115" type="#_x0000_t75" stroked="false">
              <v:imagedata r:id="rId199" o:title=""/>
            </v:shape>
            <v:shape style="position:absolute;left:10770;top:-2445;width:115;height:115" type="#_x0000_t75" stroked="false">
              <v:imagedata r:id="rId200" o:title=""/>
            </v:shape>
            <v:shape style="position:absolute;left:10996;top:-2409;width:115;height:115" type="#_x0000_t75" stroked="false">
              <v:imagedata r:id="rId199" o:title=""/>
            </v:shape>
            <v:shape style="position:absolute;left:11222;top:-2378;width:115;height:115" type="#_x0000_t75" stroked="false">
              <v:imagedata r:id="rId201" o:title=""/>
            </v:shape>
            <v:shape style="position:absolute;left:7001;top:-2646;width:4280;height:404" coordorigin="7001,-2646" coordsize="4280,404" path="m7001,-2351l7226,-2368,7452,-2399,7678,-2576,7903,-2293,8126,-2264,8352,-2324,8578,-2368,8803,-2300,9029,-2243,9252,-2291,9478,-2411,9703,-2243,9929,-2279,10154,-2317,10378,-2281,10603,-2305,10829,-2305,11054,-2461,11280,-2646e" filled="false" stroked="true" strokeweight="2.16pt" strokecolor="#4471c4">
              <v:path arrowok="t"/>
            </v:shape>
            <v:shape style="position:absolute;left:6942;top:-2409;width:115;height:115" type="#_x0000_t75" stroked="false">
              <v:imagedata r:id="rId202" o:title=""/>
            </v:shape>
            <v:shape style="position:absolute;left:7168;top:-2426;width:115;height:115" type="#_x0000_t75" stroked="false">
              <v:imagedata r:id="rId203" o:title=""/>
            </v:shape>
            <v:shape style="position:absolute;left:7394;top:-2457;width:115;height:115" type="#_x0000_t75" stroked="false">
              <v:imagedata r:id="rId203" o:title=""/>
            </v:shape>
            <v:shape style="position:absolute;left:7619;top:-2635;width:115;height:115" type="#_x0000_t75" stroked="false">
              <v:imagedata r:id="rId202" o:title=""/>
            </v:shape>
            <v:shape style="position:absolute;left:7845;top:-2352;width:115;height:115" type="#_x0000_t75" stroked="false">
              <v:imagedata r:id="rId203" o:title=""/>
            </v:shape>
            <v:shape style="position:absolute;left:8068;top:-2323;width:115;height:115" type="#_x0000_t75" stroked="false">
              <v:imagedata r:id="rId203" o:title=""/>
            </v:shape>
            <v:shape style="position:absolute;left:8294;top:-2383;width:115;height:115" type="#_x0000_t75" stroked="false">
              <v:imagedata r:id="rId203" o:title=""/>
            </v:shape>
            <v:shape style="position:absolute;left:8519;top:-2426;width:115;height:115" type="#_x0000_t75" stroked="false">
              <v:imagedata r:id="rId203" o:title=""/>
            </v:shape>
            <v:shape style="position:absolute;left:8745;top:-2359;width:115;height:115" type="#_x0000_t75" stroked="false">
              <v:imagedata r:id="rId203" o:title=""/>
            </v:shape>
            <v:shape style="position:absolute;left:8970;top:-2301;width:115;height:115" type="#_x0000_t75" stroked="false">
              <v:imagedata r:id="rId203" o:title=""/>
            </v:shape>
            <v:shape style="position:absolute;left:9194;top:-2349;width:115;height:115" type="#_x0000_t75" stroked="false">
              <v:imagedata r:id="rId202" o:title=""/>
            </v:shape>
            <v:shape style="position:absolute;left:9419;top:-2469;width:115;height:115" type="#_x0000_t75" stroked="false">
              <v:imagedata r:id="rId202" o:title=""/>
            </v:shape>
            <v:shape style="position:absolute;left:9645;top:-2301;width:115;height:115" type="#_x0000_t75" stroked="false">
              <v:imagedata r:id="rId203" o:title=""/>
            </v:shape>
            <v:shape style="position:absolute;left:9870;top:-2337;width:115;height:115" type="#_x0000_t75" stroked="false">
              <v:imagedata r:id="rId203" o:title=""/>
            </v:shape>
            <v:shape style="position:absolute;left:10096;top:-2376;width:115;height:115" type="#_x0000_t75" stroked="false">
              <v:imagedata r:id="rId203" o:title=""/>
            </v:shape>
            <v:shape style="position:absolute;left:10319;top:-2340;width:115;height:115" type="#_x0000_t75" stroked="false">
              <v:imagedata r:id="rId203" o:title=""/>
            </v:shape>
            <v:shape style="position:absolute;left:10545;top:-2364;width:115;height:115" type="#_x0000_t75" stroked="false">
              <v:imagedata r:id="rId202" o:title=""/>
            </v:shape>
            <v:shape style="position:absolute;left:10770;top:-2364;width:115;height:115" type="#_x0000_t75" stroked="false">
              <v:imagedata r:id="rId202" o:title=""/>
            </v:shape>
            <v:shape style="position:absolute;left:10996;top:-2520;width:115;height:115" type="#_x0000_t75" stroked="false">
              <v:imagedata r:id="rId203" o:title=""/>
            </v:shape>
            <v:shape style="position:absolute;left:11222;top:-2704;width:115;height:115" type="#_x0000_t75" stroked="false">
              <v:imagedata r:id="rId204" o:title=""/>
            </v:shape>
            <v:shape style="position:absolute;left:7001;top:-2432;width:4280;height:190" coordorigin="7001,-2432" coordsize="4280,190" path="m7001,-2257l7226,-2305,7452,-2243,7678,-2432,7903,-2365,8126,-2291,8352,-2324,8578,-2428,8803,-2346,9029,-2351,9252,-2260,9478,-2329,9703,-2279,9929,-2430,10154,-2303,10378,-2243,10603,-2269,10829,-2303,11054,-2243,11280,-2243e" filled="false" stroked="true" strokeweight="2.16pt" strokecolor="#6fac46">
              <v:path arrowok="t"/>
            </v:shape>
            <v:shape style="position:absolute;left:6942;top:-2316;width:115;height:115" type="#_x0000_t75" stroked="false">
              <v:imagedata r:id="rId205" o:title=""/>
            </v:shape>
            <v:shape style="position:absolute;left:7168;top:-2364;width:115;height:115" type="#_x0000_t75" stroked="false">
              <v:imagedata r:id="rId206" o:title=""/>
            </v:shape>
            <v:shape style="position:absolute;left:7394;top:-2301;width:115;height:115" type="#_x0000_t75" stroked="false">
              <v:imagedata r:id="rId205" o:title=""/>
            </v:shape>
            <v:shape style="position:absolute;left:7619;top:-2491;width:115;height:115" type="#_x0000_t75" stroked="false">
              <v:imagedata r:id="rId206" o:title=""/>
            </v:shape>
            <v:shape style="position:absolute;left:7845;top:-2424;width:115;height:115" type="#_x0000_t75" stroked="false">
              <v:imagedata r:id="rId206" o:title=""/>
            </v:shape>
            <v:shape style="position:absolute;left:8068;top:-2349;width:115;height:115" type="#_x0000_t75" stroked="false">
              <v:imagedata r:id="rId206" o:title=""/>
            </v:shape>
            <v:shape style="position:absolute;left:8294;top:-2383;width:115;height:115" type="#_x0000_t75" stroked="false">
              <v:imagedata r:id="rId205" o:title=""/>
            </v:shape>
            <v:shape style="position:absolute;left:8519;top:-2486;width:115;height:115" type="#_x0000_t75" stroked="false">
              <v:imagedata r:id="rId205" o:title=""/>
            </v:shape>
            <v:shape style="position:absolute;left:8745;top:-2404;width:115;height:115" type="#_x0000_t75" stroked="false">
              <v:imagedata r:id="rId205" o:title=""/>
            </v:shape>
            <v:shape style="position:absolute;left:8970;top:-2409;width:115;height:115" type="#_x0000_t75" stroked="false">
              <v:imagedata r:id="rId206" o:title=""/>
            </v:shape>
            <v:shape style="position:absolute;left:9194;top:-2318;width:115;height:115" type="#_x0000_t75" stroked="false">
              <v:imagedata r:id="rId206" o:title=""/>
            </v:shape>
            <v:shape style="position:absolute;left:9419;top:-2388;width:115;height:115" type="#_x0000_t75" stroked="false">
              <v:imagedata r:id="rId206" o:title=""/>
            </v:shape>
            <v:shape style="position:absolute;left:9645;top:-2337;width:115;height:115" type="#_x0000_t75" stroked="false">
              <v:imagedata r:id="rId205" o:title=""/>
            </v:shape>
            <v:shape style="position:absolute;left:9870;top:-2488;width:115;height:115" type="#_x0000_t75" stroked="false">
              <v:imagedata r:id="rId205" o:title=""/>
            </v:shape>
            <v:shape style="position:absolute;left:10096;top:-2361;width:115;height:115" type="#_x0000_t75" stroked="false">
              <v:imagedata r:id="rId205" o:title=""/>
            </v:shape>
            <v:shape style="position:absolute;left:10319;top:-2301;width:115;height:115" type="#_x0000_t75" stroked="false">
              <v:imagedata r:id="rId207" o:title=""/>
            </v:shape>
            <v:shape style="position:absolute;left:10545;top:-2328;width:115;height:115" type="#_x0000_t75" stroked="false">
              <v:imagedata r:id="rId206" o:title=""/>
            </v:shape>
            <v:shape style="position:absolute;left:10770;top:-2361;width:115;height:115" type="#_x0000_t75" stroked="false">
              <v:imagedata r:id="rId208" o:title=""/>
            </v:shape>
            <v:shape style="position:absolute;left:10996;top:-2301;width:115;height:115" type="#_x0000_t75" stroked="false">
              <v:imagedata r:id="rId208" o:title=""/>
            </v:shape>
            <v:shape style="position:absolute;left:11222;top:-2301;width:115;height:115" type="#_x0000_t75" stroked="false">
              <v:imagedata r:id="rId209" o:title=""/>
            </v:shape>
            <v:shape style="position:absolute;left:7001;top:-2723;width:4280;height:473" coordorigin="7001,-2723" coordsize="4280,473" path="m7001,-2336l7226,-2394,7452,-2442,7678,-2723,7903,-2250,8126,-2291,8352,-2264,8578,-2428,8803,-2286,9029,-2252,9252,-2260,9478,-2286,9703,-2300,9929,-2296,10154,-2284,10378,-2274,10603,-2488,10829,-2562,11054,-2413,11280,-2394e" filled="false" stroked="true" strokeweight="2.16pt" strokecolor="#245e91">
              <v:path arrowok="t"/>
            </v:shape>
            <v:shape style="position:absolute;left:6942;top:-2395;width:115;height:115" type="#_x0000_t75" stroked="false">
              <v:imagedata r:id="rId210" o:title=""/>
            </v:shape>
            <v:shape style="position:absolute;left:7168;top:-2452;width:115;height:115" type="#_x0000_t75" stroked="false">
              <v:imagedata r:id="rId211" o:title=""/>
            </v:shape>
            <v:shape style="position:absolute;left:7394;top:-2500;width:115;height:115" type="#_x0000_t75" stroked="false">
              <v:imagedata r:id="rId210" o:title=""/>
            </v:shape>
            <v:shape style="position:absolute;left:7619;top:-2781;width:115;height:115" type="#_x0000_t75" stroked="false">
              <v:imagedata r:id="rId211" o:title=""/>
            </v:shape>
            <v:shape style="position:absolute;left:7845;top:-2308;width:115;height:115" type="#_x0000_t75" stroked="false">
              <v:imagedata r:id="rId211" o:title=""/>
            </v:shape>
            <v:shape style="position:absolute;left:8068;top:-2349;width:115;height:115" type="#_x0000_t75" stroked="false">
              <v:imagedata r:id="rId210" o:title=""/>
            </v:shape>
            <v:shape style="position:absolute;left:8294;top:-2323;width:115;height:115" type="#_x0000_t75" stroked="false">
              <v:imagedata r:id="rId211" o:title=""/>
            </v:shape>
            <v:shape style="position:absolute;left:8519;top:-2486;width:115;height:115" type="#_x0000_t75" stroked="false">
              <v:imagedata r:id="rId211" o:title=""/>
            </v:shape>
            <v:shape style="position:absolute;left:8745;top:-2344;width:115;height:115" type="#_x0000_t75" stroked="false">
              <v:imagedata r:id="rId211" o:title=""/>
            </v:shape>
            <v:shape style="position:absolute;left:8970;top:-2311;width:115;height:115" type="#_x0000_t75" stroked="false">
              <v:imagedata r:id="rId210" o:title=""/>
            </v:shape>
            <v:shape style="position:absolute;left:9194;top:-2318;width:115;height:115" type="#_x0000_t75" stroked="false">
              <v:imagedata r:id="rId210" o:title=""/>
            </v:shape>
            <v:shape style="position:absolute;left:9419;top:-2344;width:115;height:115" type="#_x0000_t75" stroked="false">
              <v:imagedata r:id="rId211" o:title=""/>
            </v:shape>
            <v:shape style="position:absolute;left:9645;top:-2359;width:115;height:115" type="#_x0000_t75" stroked="false">
              <v:imagedata r:id="rId211" o:title=""/>
            </v:shape>
            <v:shape style="position:absolute;left:9870;top:-2354;width:115;height:115" type="#_x0000_t75" stroked="false">
              <v:imagedata r:id="rId211" o:title=""/>
            </v:shape>
            <v:shape style="position:absolute;left:10096;top:-2342;width:115;height:115" type="#_x0000_t75" stroked="false">
              <v:imagedata r:id="rId210" o:title=""/>
            </v:shape>
            <v:shape style="position:absolute;left:10319;top:-2332;width:115;height:115" type="#_x0000_t75" stroked="false">
              <v:imagedata r:id="rId211" o:title=""/>
            </v:shape>
            <v:shape style="position:absolute;left:10545;top:-2546;width:115;height:115" type="#_x0000_t75" stroked="false">
              <v:imagedata r:id="rId212" o:title=""/>
            </v:shape>
            <v:shape style="position:absolute;left:10770;top:-2620;width:115;height:115" type="#_x0000_t75" stroked="false">
              <v:imagedata r:id="rId210" o:title=""/>
            </v:shape>
            <v:shape style="position:absolute;left:10996;top:-2472;width:115;height:115" type="#_x0000_t75" stroked="false">
              <v:imagedata r:id="rId213" o:title=""/>
            </v:shape>
            <v:shape style="position:absolute;left:11222;top:-2452;width:115;height:115" type="#_x0000_t75" stroked="false">
              <v:imagedata r:id="rId214" o:title=""/>
            </v:shape>
            <v:line style="position:absolute" from="6888,-3488" to="11393,-3488" stroked="true" strokeweight=".72pt" strokecolor="#d9d9d9"/>
            <v:shape style="position:absolute;left:6869;top:-1669;width:427;height:115" type="#_x0000_t75" stroked="false">
              <v:imagedata r:id="rId121" o:title=""/>
            </v:shape>
            <v:shape style="position:absolute;left:7982;top:-1669;width:427;height:115" type="#_x0000_t75" stroked="false">
              <v:imagedata r:id="rId122" o:title=""/>
            </v:shape>
            <v:shape style="position:absolute;left:9098;top:-1669;width:427;height:115" type="#_x0000_t75" stroked="false">
              <v:imagedata r:id="rId215" o:title=""/>
            </v:shape>
            <v:shape style="position:absolute;left:10212;top:-1669;width:427;height:115" type="#_x0000_t75" stroked="false">
              <v:imagedata r:id="rId216" o:title=""/>
            </v:shape>
            <v:shape style="position:absolute;left:6869;top:-1331;width:427;height:115" type="#_x0000_t75" stroked="false">
              <v:imagedata r:id="rId217" o:title=""/>
            </v:shape>
            <v:shape style="position:absolute;left:7982;top:-1331;width:427;height:115" type="#_x0000_t75" stroked="false">
              <v:imagedata r:id="rId218" o:title=""/>
            </v:shape>
            <v:shape style="position:absolute;left:9098;top:-1331;width:427;height:115" type="#_x0000_t75" stroked="false">
              <v:imagedata r:id="rId182" o:title=""/>
            </v:shape>
            <v:rect style="position:absolute;left:6502;top:-4132;width:5110;height:3118" filled="false" stroked="true" strokeweight=".72pt" strokecolor="#d9d9d9"/>
            <v:shape style="position:absolute;left:8057;top:-3941;width:2001;height:200" type="#_x0000_t202" filled="false" stroked="false">
              <v:textbox inset="0,0,0,0">
                <w:txbxContent>
                  <w:p>
                    <w:pPr>
                      <w:spacing w:line="199" w:lineRule="exact" w:before="0"/>
                      <w:ind w:left="0" w:right="-13" w:firstLine="0"/>
                      <w:jc w:val="left"/>
                      <w:rPr>
                        <w:rFonts w:ascii="Calibri"/>
                        <w:sz w:val="20"/>
                      </w:rPr>
                    </w:pPr>
                    <w:r>
                      <w:rPr>
                        <w:rFonts w:ascii="Calibri"/>
                        <w:color w:val="585858"/>
                        <w:sz w:val="20"/>
                      </w:rPr>
                      <w:t>Neutrophils band</w:t>
                    </w:r>
                    <w:r>
                      <w:rPr>
                        <w:rFonts w:ascii="Calibri"/>
                        <w:color w:val="585858"/>
                        <w:spacing w:val="-9"/>
                        <w:sz w:val="20"/>
                      </w:rPr>
                      <w:t> </w:t>
                    </w:r>
                    <w:r>
                      <w:rPr>
                        <w:rFonts w:ascii="Calibri"/>
                        <w:color w:val="585858"/>
                        <w:sz w:val="20"/>
                      </w:rPr>
                      <w:t>counts</w:t>
                    </w:r>
                  </w:p>
                </w:txbxContent>
              </v:textbox>
              <w10:wrap type="none"/>
            </v:shape>
            <v:shape style="position:absolute;left:6632;top:-3571;width:92;height:1426" type="#_x0000_t202" filled="false" stroked="false">
              <v:textbox inset="0,0,0,0">
                <w:txbxContent>
                  <w:p>
                    <w:pPr>
                      <w:spacing w:line="183" w:lineRule="exact" w:before="0"/>
                      <w:ind w:left="0" w:right="0" w:firstLine="0"/>
                      <w:jc w:val="left"/>
                      <w:rPr>
                        <w:rFonts w:ascii="Calibri"/>
                        <w:sz w:val="18"/>
                      </w:rPr>
                    </w:pPr>
                    <w:r>
                      <w:rPr>
                        <w:rFonts w:ascii="Calibri"/>
                        <w:color w:val="585858"/>
                        <w:sz w:val="18"/>
                      </w:rPr>
                      <w:t>8</w:t>
                    </w:r>
                  </w:p>
                  <w:p>
                    <w:pPr>
                      <w:spacing w:before="91"/>
                      <w:ind w:left="0" w:right="0" w:firstLine="0"/>
                      <w:jc w:val="left"/>
                      <w:rPr>
                        <w:rFonts w:ascii="Calibri"/>
                        <w:sz w:val="18"/>
                      </w:rPr>
                    </w:pPr>
                    <w:r>
                      <w:rPr>
                        <w:rFonts w:ascii="Calibri"/>
                        <w:color w:val="585858"/>
                        <w:sz w:val="18"/>
                      </w:rPr>
                      <w:t>6</w:t>
                    </w:r>
                  </w:p>
                  <w:p>
                    <w:pPr>
                      <w:spacing w:before="92"/>
                      <w:ind w:left="0" w:right="0" w:firstLine="0"/>
                      <w:jc w:val="left"/>
                      <w:rPr>
                        <w:rFonts w:ascii="Calibri"/>
                        <w:sz w:val="18"/>
                      </w:rPr>
                    </w:pPr>
                    <w:r>
                      <w:rPr>
                        <w:rFonts w:ascii="Calibri"/>
                        <w:color w:val="585858"/>
                        <w:sz w:val="18"/>
                      </w:rPr>
                      <w:t>4</w:t>
                    </w:r>
                  </w:p>
                  <w:p>
                    <w:pPr>
                      <w:spacing w:before="91"/>
                      <w:ind w:left="0" w:right="0" w:firstLine="0"/>
                      <w:jc w:val="left"/>
                      <w:rPr>
                        <w:rFonts w:ascii="Calibri"/>
                        <w:sz w:val="18"/>
                      </w:rPr>
                    </w:pPr>
                    <w:r>
                      <w:rPr>
                        <w:rFonts w:ascii="Calibri"/>
                        <w:color w:val="585858"/>
                        <w:sz w:val="18"/>
                      </w:rPr>
                      <w:t>2</w:t>
                    </w:r>
                  </w:p>
                  <w:p>
                    <w:pPr>
                      <w:spacing w:line="216" w:lineRule="exact" w:before="92"/>
                      <w:ind w:left="0" w:right="0" w:firstLine="0"/>
                      <w:jc w:val="left"/>
                      <w:rPr>
                        <w:rFonts w:ascii="Calibri"/>
                        <w:sz w:val="18"/>
                      </w:rPr>
                    </w:pPr>
                    <w:r>
                      <w:rPr>
                        <w:rFonts w:ascii="Calibri"/>
                        <w:color w:val="585858"/>
                        <w:sz w:val="18"/>
                      </w:rPr>
                      <w:t>0</w:t>
                    </w:r>
                  </w:p>
                </w:txbxContent>
              </v:textbox>
              <w10:wrap type="none"/>
            </v:shape>
            <v:shape style="position:absolute;left:6957;top:-2091;width:4416;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w:t>
                    </w:r>
                  </w:p>
                </w:txbxContent>
              </v:textbox>
              <w10:wrap type="none"/>
            </v:shape>
            <v:shape style="position:absolute;left:7316;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8431;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9546;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10660;top:-1692;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pict>
          <v:group style="position:absolute;margin-left:58.424999pt;margin-top:-206.95311pt;width:256.25pt;height:156.65pt;mso-position-horizontal-relative:page;mso-position-vertical-relative:paragraph;z-index:-135760" coordorigin="1168,-4139" coordsize="5125,3133">
            <v:shape style="position:absolute;left:1654;top:-2658;width:4414;height:416" coordorigin="1654,-2658" coordsize="4414,416" path="m1654,-2658l6067,-2658m1654,-2243l6067,-2243e" filled="false" stroked="true" strokeweight=".72pt" strokecolor="#d9d9d9">
              <v:path arrowok="t"/>
            </v:shape>
            <v:shape style="position:absolute;left:1764;top:-2824;width:4193;height:581" coordorigin="1764,-2824" coordsize="4193,581" path="m1764,-2243l1985,-2497,2206,-2641,2426,-2824,2647,-2452,2868,-2550,3089,-2562,3310,-2509,3530,-2485,3751,-2416,3972,-2464,4190,-2533,4411,-2536,4632,-2538,4853,-2504,5074,-2526,5294,-2627,5515,-2500,5736,-2502,5957,-2444e" filled="false" stroked="true" strokeweight="2.16pt" strokecolor="#5b9bd4">
              <v:path arrowok="t"/>
            </v:shape>
            <v:shape style="position:absolute;left:1706;top:-2301;width:115;height:115" type="#_x0000_t75" stroked="false">
              <v:imagedata r:id="rId219" o:title=""/>
            </v:shape>
            <v:shape style="position:absolute;left:1927;top:-2556;width:115;height:115" type="#_x0000_t75" stroked="false">
              <v:imagedata r:id="rId220" o:title=""/>
            </v:shape>
            <v:shape style="position:absolute;left:2147;top:-2700;width:115;height:115" type="#_x0000_t75" stroked="false">
              <v:imagedata r:id="rId192" o:title=""/>
            </v:shape>
            <v:shape style="position:absolute;left:2368;top:-2882;width:115;height:115" type="#_x0000_t75" stroked="false">
              <v:imagedata r:id="rId191" o:title=""/>
            </v:shape>
            <v:shape style="position:absolute;left:2589;top:-2510;width:115;height:115" type="#_x0000_t75" stroked="false">
              <v:imagedata r:id="rId192" o:title=""/>
            </v:shape>
            <v:shape style="position:absolute;left:2810;top:-2608;width:115;height:115" type="#_x0000_t75" stroked="false">
              <v:imagedata r:id="rId190" o:title=""/>
            </v:shape>
            <v:shape style="position:absolute;left:3031;top:-2620;width:115;height:115" type="#_x0000_t75" stroked="false">
              <v:imagedata r:id="rId191" o:title=""/>
            </v:shape>
            <v:shape style="position:absolute;left:3251;top:-2568;width:115;height:115" type="#_x0000_t75" stroked="false">
              <v:imagedata r:id="rId191" o:title=""/>
            </v:shape>
            <v:shape style="position:absolute;left:3472;top:-2544;width:115;height:115" type="#_x0000_t75" stroked="false">
              <v:imagedata r:id="rId191" o:title=""/>
            </v:shape>
            <v:shape style="position:absolute;left:3693;top:-2474;width:115;height:115" type="#_x0000_t75" stroked="false">
              <v:imagedata r:id="rId192" o:title=""/>
            </v:shape>
            <v:shape style="position:absolute;left:3914;top:-2522;width:115;height:115" type="#_x0000_t75" stroked="false">
              <v:imagedata r:id="rId191" o:title=""/>
            </v:shape>
            <v:shape style="position:absolute;left:4132;top:-2592;width:115;height:115" type="#_x0000_t75" stroked="false">
              <v:imagedata r:id="rId190" o:title=""/>
            </v:shape>
            <v:shape style="position:absolute;left:4353;top:-2594;width:115;height:115" type="#_x0000_t75" stroked="false">
              <v:imagedata r:id="rId192" o:title=""/>
            </v:shape>
            <v:shape style="position:absolute;left:4574;top:-2596;width:115;height:115" type="#_x0000_t75" stroked="false">
              <v:imagedata r:id="rId191" o:title=""/>
            </v:shape>
            <v:shape style="position:absolute;left:4795;top:-2563;width:115;height:115" type="#_x0000_t75" stroked="false">
              <v:imagedata r:id="rId192" o:title=""/>
            </v:shape>
            <v:shape style="position:absolute;left:5015;top:-2584;width:115;height:115" type="#_x0000_t75" stroked="false">
              <v:imagedata r:id="rId190" o:title=""/>
            </v:shape>
            <v:shape style="position:absolute;left:5236;top:-2685;width:115;height:115" type="#_x0000_t75" stroked="false">
              <v:imagedata r:id="rId192" o:title=""/>
            </v:shape>
            <v:shape style="position:absolute;left:5457;top:-2558;width:115;height:115" type="#_x0000_t75" stroked="false">
              <v:imagedata r:id="rId191" o:title=""/>
            </v:shape>
            <v:shape style="position:absolute;left:5678;top:-2560;width:115;height:115" type="#_x0000_t75" stroked="false">
              <v:imagedata r:id="rId191" o:title=""/>
            </v:shape>
            <v:shape style="position:absolute;left:5899;top:-2503;width:115;height:115" type="#_x0000_t75" stroked="false">
              <v:imagedata r:id="rId192" o:title=""/>
            </v:shape>
            <v:shape style="position:absolute;left:1764;top:-2718;width:4193;height:406" coordorigin="1764,-2718" coordsize="4193,406" path="m1764,-2466l1985,-2492,2206,-2533,2426,-2432,2647,-2312,2868,-2370,3089,-2351,3310,-2387,3530,-2377,3751,-2464,3972,-2360,4190,-2694,4411,-2420,4632,-2682,4853,-2713,5074,-2687,5294,-2718,5515,-2416,5736,-2682,5957,-2675e" filled="false" stroked="true" strokeweight="2.16pt" strokecolor="#ec7c30">
              <v:path arrowok="t"/>
            </v:shape>
            <v:shape style="position:absolute;left:1706;top:-2524;width:115;height:115" type="#_x0000_t75" stroked="false">
              <v:imagedata r:id="rId221" o:title=""/>
            </v:shape>
            <v:shape style="position:absolute;left:1927;top:-2551;width:115;height:115" type="#_x0000_t75" stroked="false">
              <v:imagedata r:id="rId222" o:title=""/>
            </v:shape>
            <v:shape style="position:absolute;left:2147;top:-2592;width:115;height:115" type="#_x0000_t75" stroked="false">
              <v:imagedata r:id="rId195" o:title=""/>
            </v:shape>
            <v:shape style="position:absolute;left:2368;top:-2491;width:115;height:115" type="#_x0000_t75" stroked="false">
              <v:imagedata r:id="rId193" o:title=""/>
            </v:shape>
            <v:shape style="position:absolute;left:2589;top:-2371;width:115;height:115" type="#_x0000_t75" stroked="false">
              <v:imagedata r:id="rId223" o:title=""/>
            </v:shape>
            <v:shape style="position:absolute;left:2810;top:-2428;width:115;height:115" type="#_x0000_t75" stroked="false">
              <v:imagedata r:id="rId194" o:title=""/>
            </v:shape>
            <v:shape style="position:absolute;left:3031;top:-2409;width:115;height:115" type="#_x0000_t75" stroked="false">
              <v:imagedata r:id="rId193" o:title=""/>
            </v:shape>
            <v:shape style="position:absolute;left:3251;top:-2445;width:115;height:115" type="#_x0000_t75" stroked="false">
              <v:imagedata r:id="rId194" o:title=""/>
            </v:shape>
            <v:shape style="position:absolute;left:3472;top:-2436;width:115;height:115" type="#_x0000_t75" stroked="false">
              <v:imagedata r:id="rId194" o:title=""/>
            </v:shape>
            <v:shape style="position:absolute;left:3693;top:-2522;width:115;height:115" type="#_x0000_t75" stroked="false">
              <v:imagedata r:id="rId223" o:title=""/>
            </v:shape>
            <v:shape style="position:absolute;left:3914;top:-2419;width:115;height:115" type="#_x0000_t75" stroked="false">
              <v:imagedata r:id="rId194" o:title=""/>
            </v:shape>
            <v:shape style="position:absolute;left:4132;top:-2752;width:115;height:115" type="#_x0000_t75" stroked="false">
              <v:imagedata r:id="rId194" o:title=""/>
            </v:shape>
            <v:shape style="position:absolute;left:4353;top:-2479;width:115;height:115" type="#_x0000_t75" stroked="false">
              <v:imagedata r:id="rId195" o:title=""/>
            </v:shape>
            <v:shape style="position:absolute;left:4574;top:-2740;width:115;height:115" type="#_x0000_t75" stroked="false">
              <v:imagedata r:id="rId193" o:title=""/>
            </v:shape>
            <v:shape style="position:absolute;left:4795;top:-2772;width:115;height:115" type="#_x0000_t75" stroked="false">
              <v:imagedata r:id="rId195" o:title=""/>
            </v:shape>
            <v:shape style="position:absolute;left:5236;top:-2776;width:115;height:115" type="#_x0000_t75" stroked="false">
              <v:imagedata r:id="rId223" o:title=""/>
            </v:shape>
            <v:shape style="position:absolute;left:5457;top:-2474;width:115;height:115" type="#_x0000_t75" stroked="false">
              <v:imagedata r:id="rId194" o:title=""/>
            </v:shape>
            <v:shape style="position:absolute;left:5678;top:-2740;width:115;height:115" type="#_x0000_t75" stroked="false">
              <v:imagedata r:id="rId193" o:title=""/>
            </v:shape>
            <v:shape style="position:absolute;left:5899;top:-2733;width:115;height:115" type="#_x0000_t75" stroked="false">
              <v:imagedata r:id="rId195" o:title=""/>
            </v:shape>
            <v:shape style="position:absolute;left:1764;top:-2584;width:4193;height:281" coordorigin="1764,-2584" coordsize="4193,281" path="m1764,-2408l1985,-2473,2206,-2581,2426,-2320,2647,-2442,2868,-2341,3089,-2370,3310,-2380,3530,-2344,3751,-2303,3972,-2449,4190,-2425,4411,-2399,4632,-2454,4853,-2584,5074,-2574,5294,-2528,5515,-2488,5736,-2454,5957,-2456e" filled="false" stroked="true" strokeweight="2.16pt" strokecolor="#a4a4a4">
              <v:path arrowok="t"/>
            </v:shape>
            <v:shape style="position:absolute;left:1706;top:-2467;width:115;height:115" type="#_x0000_t75" stroked="false">
              <v:imagedata r:id="rId224" o:title=""/>
            </v:shape>
            <v:shape style="position:absolute;left:1927;top:-2532;width:115;height:115" type="#_x0000_t75" stroked="false">
              <v:imagedata r:id="rId225" o:title=""/>
            </v:shape>
            <v:shape style="position:absolute;left:2147;top:-2640;width:115;height:115" type="#_x0000_t75" stroked="false">
              <v:imagedata r:id="rId226" o:title=""/>
            </v:shape>
            <v:shape style="position:absolute;left:2368;top:-2378;width:115;height:115" type="#_x0000_t75" stroked="false">
              <v:imagedata r:id="rId197" o:title=""/>
            </v:shape>
            <v:shape style="position:absolute;left:2589;top:-2500;width:115;height:115" type="#_x0000_t75" stroked="false">
              <v:imagedata r:id="rId198" o:title=""/>
            </v:shape>
            <v:shape style="position:absolute;left:2810;top:-2400;width:115;height:115" type="#_x0000_t75" stroked="false">
              <v:imagedata r:id="rId196" o:title=""/>
            </v:shape>
            <v:shape style="position:absolute;left:3031;top:-2428;width:115;height:115" type="#_x0000_t75" stroked="false">
              <v:imagedata r:id="rId196" o:title=""/>
            </v:shape>
            <v:shape style="position:absolute;left:3251;top:-2438;width:115;height:115" type="#_x0000_t75" stroked="false">
              <v:imagedata r:id="rId197" o:title=""/>
            </v:shape>
            <v:shape style="position:absolute;left:3472;top:-2402;width:115;height:115" type="#_x0000_t75" stroked="false">
              <v:imagedata r:id="rId197" o:title=""/>
            </v:shape>
            <v:shape style="position:absolute;left:3914;top:-2508;width:115;height:115" type="#_x0000_t75" stroked="false">
              <v:imagedata r:id="rId197" o:title=""/>
            </v:shape>
            <v:shape style="position:absolute;left:4132;top:-2484;width:115;height:115" type="#_x0000_t75" stroked="false">
              <v:imagedata r:id="rId197" o:title=""/>
            </v:shape>
            <v:shape style="position:absolute;left:4353;top:-2457;width:115;height:115" type="#_x0000_t75" stroked="false">
              <v:imagedata r:id="rId226" o:title=""/>
            </v:shape>
            <v:shape style="position:absolute;left:4574;top:-2512;width:115;height:115" type="#_x0000_t75" stroked="false">
              <v:imagedata r:id="rId196" o:title=""/>
            </v:shape>
            <v:shape style="position:absolute;left:4795;top:-2642;width:115;height:115" type="#_x0000_t75" stroked="false">
              <v:imagedata r:id="rId198" o:title=""/>
            </v:shape>
            <v:shape style="position:absolute;left:5015;top:-2745;width:115;height:228" type="#_x0000_t75" stroked="false">
              <v:imagedata r:id="rId227" o:title=""/>
            </v:shape>
            <v:shape style="position:absolute;left:5236;top:-2587;width:115;height:115" type="#_x0000_t75" stroked="false">
              <v:imagedata r:id="rId226" o:title=""/>
            </v:shape>
            <v:shape style="position:absolute;left:5457;top:-2546;width:115;height:115" type="#_x0000_t75" stroked="false">
              <v:imagedata r:id="rId196" o:title=""/>
            </v:shape>
            <v:shape style="position:absolute;left:5678;top:-2512;width:115;height:115" type="#_x0000_t75" stroked="false">
              <v:imagedata r:id="rId196" o:title=""/>
            </v:shape>
            <v:shape style="position:absolute;left:5899;top:-2515;width:115;height:115" type="#_x0000_t75" stroked="false">
              <v:imagedata r:id="rId198" o:title=""/>
            </v:shape>
            <v:line style="position:absolute" from="1654,-3073" to="6067,-3073" stroked="true" strokeweight=".72pt" strokecolor="#d9d9d9"/>
            <v:shape style="position:absolute;left:1764;top:-3131;width:4193;height:756" coordorigin="1764,-3131" coordsize="4193,756" path="m1764,-2881l1985,-3059,2206,-3131,2426,-2557,2647,-2488,2868,-2550,3089,-2656,3310,-2420,3530,-2408,3751,-2408,3972,-2502,4190,-2519,4411,-2444,4632,-2639,4853,-2584,5074,-2639,5294,-2560,5515,-2567,5736,-2540,5957,-2375e" filled="false" stroked="true" strokeweight="2.16pt" strokecolor="#ffc000">
              <v:path arrowok="t"/>
            </v:shape>
            <v:shape style="position:absolute;left:1706;top:-2940;width:115;height:115" type="#_x0000_t75" stroked="false">
              <v:imagedata r:id="rId228" o:title=""/>
            </v:shape>
            <v:shape style="position:absolute;left:1927;top:-3117;width:115;height:115" type="#_x0000_t75" stroked="false">
              <v:imagedata r:id="rId229" o:title=""/>
            </v:shape>
            <v:shape style="position:absolute;left:2147;top:-3189;width:115;height:115" type="#_x0000_t75" stroked="false">
              <v:imagedata r:id="rId201" o:title=""/>
            </v:shape>
            <v:shape style="position:absolute;left:2368;top:-2616;width:115;height:115" type="#_x0000_t75" stroked="false">
              <v:imagedata r:id="rId200" o:title=""/>
            </v:shape>
            <v:shape style="position:absolute;left:2589;top:-2546;width:115;height:115" type="#_x0000_t75" stroked="false">
              <v:imagedata r:id="rId230" o:title=""/>
            </v:shape>
            <v:shape style="position:absolute;left:2810;top:-2608;width:115;height:115" type="#_x0000_t75" stroked="false">
              <v:imagedata r:id="rId200" o:title=""/>
            </v:shape>
            <v:shape style="position:absolute;left:3031;top:-2714;width:115;height:115" type="#_x0000_t75" stroked="false">
              <v:imagedata r:id="rId200" o:title=""/>
            </v:shape>
            <v:shape style="position:absolute;left:3251;top:-2479;width:115;height:115" type="#_x0000_t75" stroked="false">
              <v:imagedata r:id="rId200" o:title=""/>
            </v:shape>
            <v:shape style="position:absolute;left:3472;top:-2467;width:115;height:115" type="#_x0000_t75" stroked="false">
              <v:imagedata r:id="rId200" o:title=""/>
            </v:shape>
            <v:shape style="position:absolute;left:3693;top:-2467;width:115;height:221" type="#_x0000_t75" stroked="false">
              <v:imagedata r:id="rId231" o:title=""/>
            </v:shape>
            <v:shape style="position:absolute;left:3914;top:-2560;width:115;height:115" type="#_x0000_t75" stroked="false">
              <v:imagedata r:id="rId199" o:title=""/>
            </v:shape>
            <v:shape style="position:absolute;left:4132;top:-2577;width:115;height:115" type="#_x0000_t75" stroked="false">
              <v:imagedata r:id="rId200" o:title=""/>
            </v:shape>
            <v:shape style="position:absolute;left:4353;top:-2503;width:115;height:115" type="#_x0000_t75" stroked="false">
              <v:imagedata r:id="rId230" o:title=""/>
            </v:shape>
            <v:shape style="position:absolute;left:4574;top:-2697;width:115;height:115" type="#_x0000_t75" stroked="false">
              <v:imagedata r:id="rId200" o:title=""/>
            </v:shape>
            <v:shape style="position:absolute;left:4795;top:-2642;width:115;height:115" type="#_x0000_t75" stroked="false">
              <v:imagedata r:id="rId201" o:title=""/>
            </v:shape>
            <v:shape style="position:absolute;left:5015;top:-2697;width:115;height:115" type="#_x0000_t75" stroked="false">
              <v:imagedata r:id="rId200" o:title=""/>
            </v:shape>
            <v:shape style="position:absolute;left:5236;top:-2618;width:115;height:115" type="#_x0000_t75" stroked="false">
              <v:imagedata r:id="rId201" o:title=""/>
            </v:shape>
            <v:shape style="position:absolute;left:5457;top:-2625;width:115;height:115" type="#_x0000_t75" stroked="false">
              <v:imagedata r:id="rId200" o:title=""/>
            </v:shape>
            <v:shape style="position:absolute;left:5678;top:-2599;width:115;height:115" type="#_x0000_t75" stroked="false">
              <v:imagedata r:id="rId200" o:title=""/>
            </v:shape>
            <v:shape style="position:absolute;left:5899;top:-2433;width:115;height:115" type="#_x0000_t75" stroked="false">
              <v:imagedata r:id="rId230" o:title=""/>
            </v:shape>
            <v:shape style="position:absolute;left:1764;top:-3232;width:4193;height:975" coordorigin="1764,-3232" coordsize="4193,975" path="m1764,-2708l1985,-2756,2206,-2852,2426,-2639,2647,-2430,2868,-2396,3089,-2363,3310,-2538,3530,-2536,3751,-2257,3972,-2528,4190,-2668,4411,-2639,4632,-2557,4853,-2658,5074,-2809,5294,-2432,5515,-2742,5736,-2912,5957,-3232e" filled="false" stroked="true" strokeweight="2.16pt" strokecolor="#4471c4">
              <v:path arrowok="t"/>
            </v:shape>
            <v:shape style="position:absolute;left:1706;top:-2767;width:115;height:115" type="#_x0000_t75" stroked="false">
              <v:imagedata r:id="rId232" o:title=""/>
            </v:shape>
            <v:shape style="position:absolute;left:1927;top:-2815;width:115;height:115" type="#_x0000_t75" stroked="false">
              <v:imagedata r:id="rId233" o:title=""/>
            </v:shape>
            <v:shape style="position:absolute;left:2147;top:-2911;width:115;height:115" type="#_x0000_t75" stroked="false">
              <v:imagedata r:id="rId234" o:title=""/>
            </v:shape>
            <v:shape style="position:absolute;left:2368;top:-2697;width:115;height:115" type="#_x0000_t75" stroked="false">
              <v:imagedata r:id="rId203" o:title=""/>
            </v:shape>
            <v:shape style="position:absolute;left:2589;top:-2488;width:115;height:115" type="#_x0000_t75" stroked="false">
              <v:imagedata r:id="rId204" o:title=""/>
            </v:shape>
            <v:shape style="position:absolute;left:2810;top:-2455;width:115;height:115" type="#_x0000_t75" stroked="false">
              <v:imagedata r:id="rId235" o:title=""/>
            </v:shape>
            <v:shape style="position:absolute;left:3031;top:-2421;width:115;height:115" type="#_x0000_t75" stroked="false">
              <v:imagedata r:id="rId203" o:title=""/>
            </v:shape>
            <v:shape style="position:absolute;left:3251;top:-2596;width:115;height:115" type="#_x0000_t75" stroked="false">
              <v:imagedata r:id="rId235" o:title=""/>
            </v:shape>
            <v:shape style="position:absolute;left:3472;top:-2594;width:115;height:115" type="#_x0000_t75" stroked="false">
              <v:imagedata r:id="rId203" o:title=""/>
            </v:shape>
            <v:shape style="position:absolute;left:3693;top:-2316;width:115;height:115" type="#_x0000_t75" stroked="false">
              <v:imagedata r:id="rId204" o:title=""/>
            </v:shape>
            <v:shape style="position:absolute;left:3914;top:-2587;width:115;height:115" type="#_x0000_t75" stroked="false">
              <v:imagedata r:id="rId203" o:title=""/>
            </v:shape>
            <v:shape style="position:absolute;left:4132;top:-2726;width:115;height:115" type="#_x0000_t75" stroked="false">
              <v:imagedata r:id="rId203" o:title=""/>
            </v:shape>
            <v:shape style="position:absolute;left:4353;top:-2697;width:115;height:115" type="#_x0000_t75" stroked="false">
              <v:imagedata r:id="rId204" o:title=""/>
            </v:shape>
            <v:shape style="position:absolute;left:4574;top:-2616;width:115;height:115" type="#_x0000_t75" stroked="false">
              <v:imagedata r:id="rId203" o:title=""/>
            </v:shape>
            <v:shape style="position:absolute;left:4795;top:-2716;width:115;height:115" type="#_x0000_t75" stroked="false">
              <v:imagedata r:id="rId234" o:title=""/>
            </v:shape>
            <v:shape style="position:absolute;left:5015;top:-2868;width:115;height:115" type="#_x0000_t75" stroked="false">
              <v:imagedata r:id="rId235" o:title=""/>
            </v:shape>
            <v:shape style="position:absolute;left:5236;top:-2491;width:115;height:115" type="#_x0000_t75" stroked="false">
              <v:imagedata r:id="rId234" o:title=""/>
            </v:shape>
            <v:shape style="position:absolute;left:5457;top:-2800;width:115;height:115" type="#_x0000_t75" stroked="false">
              <v:imagedata r:id="rId235" o:title=""/>
            </v:shape>
            <v:shape style="position:absolute;left:5678;top:-2971;width:115;height:115" type="#_x0000_t75" stroked="false">
              <v:imagedata r:id="rId235" o:title=""/>
            </v:shape>
            <v:shape style="position:absolute;left:5899;top:-3290;width:115;height:115" type="#_x0000_t75" stroked="false">
              <v:imagedata r:id="rId204" o:title=""/>
            </v:shape>
            <v:shape style="position:absolute;left:1764;top:-3215;width:4193;height:972" coordorigin="1764,-3215" coordsize="4193,972" path="m1764,-2939l1985,-3124,2206,-3215,2426,-3157,2647,-2936,2868,-2922,3089,-3011,3310,-2454,3530,-2557,3751,-2533,3972,-2545,4190,-2401,4411,-2572,4632,-2756,4853,-2785,5074,-2968,5294,-2828,5515,-2807,5736,-2243,5957,-2243e" filled="false" stroked="true" strokeweight="2.16pt" strokecolor="#6fac46">
              <v:path arrowok="t"/>
            </v:shape>
            <v:shape style="position:absolute;left:1706;top:-2997;width:115;height:115" type="#_x0000_t75" stroked="false">
              <v:imagedata r:id="rId236" o:title=""/>
            </v:shape>
            <v:shape style="position:absolute;left:1927;top:-3182;width:115;height:115" type="#_x0000_t75" stroked="false">
              <v:imagedata r:id="rId237" o:title=""/>
            </v:shape>
            <v:shape style="position:absolute;left:2147;top:-3273;width:115;height:115" type="#_x0000_t75" stroked="false">
              <v:imagedata r:id="rId209" o:title=""/>
            </v:shape>
            <v:shape style="position:absolute;left:2368;top:-3216;width:115;height:115" type="#_x0000_t75" stroked="false">
              <v:imagedata r:id="rId208" o:title=""/>
            </v:shape>
            <v:shape style="position:absolute;left:2589;top:-2995;width:115;height:115" type="#_x0000_t75" stroked="false">
              <v:imagedata r:id="rId238" o:title=""/>
            </v:shape>
            <v:shape style="position:absolute;left:2810;top:-2980;width:115;height:115" type="#_x0000_t75" stroked="false">
              <v:imagedata r:id="rId206" o:title=""/>
            </v:shape>
            <v:shape style="position:absolute;left:3031;top:-3069;width:115;height:115" type="#_x0000_t75" stroked="false">
              <v:imagedata r:id="rId206" o:title=""/>
            </v:shape>
            <v:shape style="position:absolute;left:3251;top:-2512;width:115;height:115" type="#_x0000_t75" stroked="false">
              <v:imagedata r:id="rId239" o:title=""/>
            </v:shape>
            <v:shape style="position:absolute;left:3472;top:-2616;width:115;height:115" type="#_x0000_t75" stroked="false">
              <v:imagedata r:id="rId240" o:title=""/>
            </v:shape>
            <v:shape style="position:absolute;left:3693;top:-2592;width:115;height:115" type="#_x0000_t75" stroked="false">
              <v:imagedata r:id="rId209" o:title=""/>
            </v:shape>
            <v:shape style="position:absolute;left:3914;top:-2604;width:115;height:115" type="#_x0000_t75" stroked="false">
              <v:imagedata r:id="rId206" o:title=""/>
            </v:shape>
            <v:shape style="position:absolute;left:4132;top:-2460;width:115;height:115" type="#_x0000_t75" stroked="false">
              <v:imagedata r:id="rId240" o:title=""/>
            </v:shape>
            <v:shape style="position:absolute;left:4353;top:-2630;width:115;height:115" type="#_x0000_t75" stroked="false">
              <v:imagedata r:id="rId209" o:title=""/>
            </v:shape>
            <v:shape style="position:absolute;left:4574;top:-2815;width:115;height:115" type="#_x0000_t75" stroked="false">
              <v:imagedata r:id="rId206" o:title=""/>
            </v:shape>
            <v:shape style="position:absolute;left:4795;top:-2844;width:115;height:115" type="#_x0000_t75" stroked="false">
              <v:imagedata r:id="rId238" o:title=""/>
            </v:shape>
            <v:shape style="position:absolute;left:5015;top:-3026;width:115;height:115" type="#_x0000_t75" stroked="false">
              <v:imagedata r:id="rId240" o:title=""/>
            </v:shape>
            <v:shape style="position:absolute;left:5236;top:-2887;width:115;height:115" type="#_x0000_t75" stroked="false">
              <v:imagedata r:id="rId209" o:title=""/>
            </v:shape>
            <v:shape style="position:absolute;left:5457;top:-2865;width:115;height:115" type="#_x0000_t75" stroked="false">
              <v:imagedata r:id="rId240" o:title=""/>
            </v:shape>
            <v:shape style="position:absolute;left:5678;top:-2301;width:115;height:115" type="#_x0000_t75" stroked="false">
              <v:imagedata r:id="rId240" o:title=""/>
            </v:shape>
            <v:shape style="position:absolute;left:5899;top:-2301;width:115;height:115" type="#_x0000_t75" stroked="false">
              <v:imagedata r:id="rId209" o:title=""/>
            </v:shape>
            <v:shape style="position:absolute;left:1764;top:-2898;width:4193;height:615" coordorigin="1764,-2898" coordsize="4193,615" path="m1764,-2540l1985,-2610,2206,-2588,2426,-2370,2647,-2344,2868,-2310,3089,-2399,3310,-2454,3530,-2293,3751,-2284,3972,-2344,4190,-2428,4411,-2404,4632,-2483,4853,-2593,5074,-2711,5294,-2723,5515,-2788,5736,-2881,5957,-2898e" filled="false" stroked="true" strokeweight="2.16pt" strokecolor="#245e91">
              <v:path arrowok="t"/>
            </v:shape>
            <v:shape style="position:absolute;left:1706;top:-2599;width:115;height:115" type="#_x0000_t75" stroked="false">
              <v:imagedata r:id="rId241" o:title=""/>
            </v:shape>
            <v:shape style="position:absolute;left:1927;top:-2668;width:115;height:115" type="#_x0000_t75" stroked="false">
              <v:imagedata r:id="rId242" o:title=""/>
            </v:shape>
            <v:shape style="position:absolute;left:2147;top:-2647;width:115;height:115" type="#_x0000_t75" stroked="false">
              <v:imagedata r:id="rId214" o:title=""/>
            </v:shape>
            <v:shape style="position:absolute;left:2368;top:-2428;width:115;height:115" type="#_x0000_t75" stroked="false">
              <v:imagedata r:id="rId213" o:title=""/>
            </v:shape>
            <v:shape style="position:absolute;left:2589;top:-2402;width:115;height:115" type="#_x0000_t75" stroked="false">
              <v:imagedata r:id="rId243" o:title=""/>
            </v:shape>
            <v:shape style="position:absolute;left:2810;top:-2368;width:115;height:115" type="#_x0000_t75" stroked="false">
              <v:imagedata r:id="rId213" o:title=""/>
            </v:shape>
            <v:shape style="position:absolute;left:3031;top:-2457;width:115;height:115" type="#_x0000_t75" stroked="false">
              <v:imagedata r:id="rId213" o:title=""/>
            </v:shape>
            <v:shape style="position:absolute;left:3251;top:-2512;width:115;height:115" type="#_x0000_t75" stroked="false">
              <v:imagedata r:id="rId244" o:title=""/>
            </v:shape>
            <v:shape style="position:absolute;left:3472;top:-2352;width:115;height:115" type="#_x0000_t75" stroked="false">
              <v:imagedata r:id="rId245" o:title=""/>
            </v:shape>
            <v:shape style="position:absolute;left:3693;top:-2342;width:115;height:115" type="#_x0000_t75" stroked="false">
              <v:imagedata r:id="rId243" o:title=""/>
            </v:shape>
            <v:shape style="position:absolute;left:3914;top:-2402;width:115;height:115" type="#_x0000_t75" stroked="false">
              <v:imagedata r:id="rId210" o:title=""/>
            </v:shape>
            <v:shape style="position:absolute;left:4132;top:-2486;width:115;height:115" type="#_x0000_t75" stroked="false">
              <v:imagedata r:id="rId245" o:title=""/>
            </v:shape>
            <v:shape style="position:absolute;left:4353;top:-2462;width:115;height:115" type="#_x0000_t75" stroked="false">
              <v:imagedata r:id="rId243" o:title=""/>
            </v:shape>
            <v:shape style="position:absolute;left:4574;top:-2541;width:115;height:115" type="#_x0000_t75" stroked="false">
              <v:imagedata r:id="rId245" o:title=""/>
            </v:shape>
            <v:shape style="position:absolute;left:4795;top:-2652;width:115;height:115" type="#_x0000_t75" stroked="false">
              <v:imagedata r:id="rId214" o:title=""/>
            </v:shape>
            <v:shape style="position:absolute;left:5015;top:-2769;width:115;height:115" type="#_x0000_t75" stroked="false">
              <v:imagedata r:id="rId210" o:title=""/>
            </v:shape>
            <v:shape style="position:absolute;left:5236;top:-2781;width:115;height:115" type="#_x0000_t75" stroked="false">
              <v:imagedata r:id="rId214" o:title=""/>
            </v:shape>
            <v:shape style="position:absolute;left:5457;top:-2846;width:115;height:115" type="#_x0000_t75" stroked="false">
              <v:imagedata r:id="rId245" o:title=""/>
            </v:shape>
            <v:shape style="position:absolute;left:5678;top:-2940;width:115;height:115" type="#_x0000_t75" stroked="false">
              <v:imagedata r:id="rId246" o:title=""/>
            </v:shape>
            <v:shape style="position:absolute;left:5899;top:-2956;width:115;height:115" type="#_x0000_t75" stroked="false">
              <v:imagedata r:id="rId243" o:title=""/>
            </v:shape>
            <v:line style="position:absolute" from="1654,-3488" to="6067,-3488" stroked="true" strokeweight=".72pt" strokecolor="#d9d9d9"/>
            <v:shape style="position:absolute;left:1543;top:-1669;width:427;height:115" type="#_x0000_t75" stroked="false">
              <v:imagedata r:id="rId86" o:title=""/>
            </v:shape>
            <v:shape style="position:absolute;left:2657;top:-1669;width:427;height:115" type="#_x0000_t75" stroked="false">
              <v:imagedata r:id="rId122" o:title=""/>
            </v:shape>
            <v:shape style="position:absolute;left:3773;top:-1669;width:427;height:115" type="#_x0000_t75" stroked="false">
              <v:imagedata r:id="rId215" o:title=""/>
            </v:shape>
            <v:shape style="position:absolute;left:4886;top:-1669;width:427;height:115" type="#_x0000_t75" stroked="false">
              <v:imagedata r:id="rId247" o:title=""/>
            </v:shape>
            <v:shape style="position:absolute;left:1543;top:-1331;width:427;height:115" type="#_x0000_t75" stroked="false">
              <v:imagedata r:id="rId90" o:title=""/>
            </v:shape>
            <v:shape style="position:absolute;left:2657;top:-1331;width:427;height:115" type="#_x0000_t75" stroked="false">
              <v:imagedata r:id="rId218" o:title=""/>
            </v:shape>
            <v:shape style="position:absolute;left:3773;top:-1331;width:427;height:115" type="#_x0000_t75" stroked="false">
              <v:imagedata r:id="rId182" o:title=""/>
            </v:shape>
            <v:rect style="position:absolute;left:1176;top:-4132;width:5110;height:3118" filled="false" stroked="true" strokeweight=".72pt" strokecolor="#d9d9d9"/>
            <v:shape style="position:absolute;left:2474;top:-3941;width:2512;height:200" type="#_x0000_t202" filled="false" stroked="false">
              <v:textbox inset="0,0,0,0">
                <w:txbxContent>
                  <w:p>
                    <w:pPr>
                      <w:spacing w:line="199" w:lineRule="exact" w:before="0"/>
                      <w:ind w:left="0" w:right="-11" w:firstLine="0"/>
                      <w:jc w:val="left"/>
                      <w:rPr>
                        <w:rFonts w:ascii="Calibri"/>
                        <w:sz w:val="20"/>
                      </w:rPr>
                    </w:pPr>
                    <w:r>
                      <w:rPr>
                        <w:rFonts w:ascii="Calibri"/>
                        <w:color w:val="585858"/>
                        <w:sz w:val="20"/>
                      </w:rPr>
                      <w:t>Segmented Neutrophils</w:t>
                    </w:r>
                    <w:r>
                      <w:rPr>
                        <w:rFonts w:ascii="Calibri"/>
                        <w:color w:val="585858"/>
                        <w:spacing w:val="-11"/>
                        <w:sz w:val="20"/>
                      </w:rPr>
                      <w:t> </w:t>
                    </w:r>
                    <w:r>
                      <w:rPr>
                        <w:rFonts w:ascii="Calibri"/>
                        <w:color w:val="585858"/>
                        <w:sz w:val="20"/>
                      </w:rPr>
                      <w:t>counts</w:t>
                    </w:r>
                  </w:p>
                </w:txbxContent>
              </v:textbox>
              <w10:wrap type="none"/>
            </v:shape>
            <v:shape style="position:absolute;left:1306;top:-3571;width:183;height:142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15</w:t>
                    </w:r>
                  </w:p>
                  <w:p>
                    <w:pPr>
                      <w:spacing w:line="240" w:lineRule="auto" w:before="11"/>
                      <w:rPr>
                        <w:sz w:val="16"/>
                      </w:rPr>
                    </w:pPr>
                  </w:p>
                  <w:p>
                    <w:pPr>
                      <w:spacing w:before="0"/>
                      <w:ind w:left="0" w:right="-20" w:firstLine="0"/>
                      <w:jc w:val="left"/>
                      <w:rPr>
                        <w:rFonts w:ascii="Calibri"/>
                        <w:sz w:val="18"/>
                      </w:rPr>
                    </w:pPr>
                    <w:r>
                      <w:rPr>
                        <w:rFonts w:ascii="Calibri"/>
                        <w:color w:val="585858"/>
                        <w:sz w:val="18"/>
                      </w:rPr>
                      <w:t>10</w:t>
                    </w:r>
                  </w:p>
                  <w:p>
                    <w:pPr>
                      <w:spacing w:line="240" w:lineRule="auto" w:before="0"/>
                      <w:rPr>
                        <w:sz w:val="17"/>
                      </w:rPr>
                    </w:pPr>
                  </w:p>
                  <w:p>
                    <w:pPr>
                      <w:spacing w:before="0"/>
                      <w:ind w:left="91" w:right="0" w:firstLine="0"/>
                      <w:jc w:val="left"/>
                      <w:rPr>
                        <w:rFonts w:ascii="Calibri"/>
                        <w:sz w:val="18"/>
                      </w:rPr>
                    </w:pPr>
                    <w:r>
                      <w:rPr>
                        <w:rFonts w:ascii="Calibri"/>
                        <w:color w:val="585858"/>
                        <w:sz w:val="18"/>
                      </w:rPr>
                      <w:t>5</w:t>
                    </w:r>
                  </w:p>
                  <w:p>
                    <w:pPr>
                      <w:spacing w:line="240" w:lineRule="auto" w:before="11"/>
                      <w:rPr>
                        <w:sz w:val="16"/>
                      </w:rPr>
                    </w:pPr>
                  </w:p>
                  <w:p>
                    <w:pPr>
                      <w:spacing w:line="216" w:lineRule="exact" w:before="0"/>
                      <w:ind w:left="91" w:right="0" w:firstLine="0"/>
                      <w:jc w:val="left"/>
                      <w:rPr>
                        <w:rFonts w:ascii="Calibri"/>
                        <w:sz w:val="18"/>
                      </w:rPr>
                    </w:pPr>
                    <w:r>
                      <w:rPr>
                        <w:rFonts w:ascii="Calibri"/>
                        <w:color w:val="585858"/>
                        <w:sz w:val="18"/>
                      </w:rPr>
                      <w:t>0</w:t>
                    </w:r>
                  </w:p>
                </w:txbxContent>
              </v:textbox>
              <w10:wrap type="none"/>
            </v:shape>
            <v:shape style="position:absolute;left:1720;top:-2091;width:4329;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w:t>
                    </w:r>
                  </w:p>
                </w:txbxContent>
              </v:textbox>
              <w10:wrap type="none"/>
            </v:shape>
            <v:shape style="position:absolute;left:1990;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1</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5</w:t>
                    </w:r>
                  </w:p>
                </w:txbxContent>
              </v:textbox>
              <w10:wrap type="none"/>
            </v:shape>
            <v:shape style="position:absolute;left:3105;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2</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6</w:t>
                    </w:r>
                  </w:p>
                </w:txbxContent>
              </v:textbox>
              <w10:wrap type="none"/>
            </v:shape>
            <v:shape style="position:absolute;left:4219;top:-1692;width:634;height:518"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3</w:t>
                    </w:r>
                  </w:p>
                  <w:p>
                    <w:pPr>
                      <w:spacing w:line="216" w:lineRule="exact" w:before="117"/>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7</w:t>
                    </w:r>
                  </w:p>
                </w:txbxContent>
              </v:textbox>
              <w10:wrap type="none"/>
            </v:shape>
            <v:shape style="position:absolute;left:5334;top:-1692;width:634;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Equine</w:t>
                    </w:r>
                    <w:r>
                      <w:rPr>
                        <w:rFonts w:ascii="Calibri"/>
                        <w:color w:val="585858"/>
                        <w:spacing w:val="-3"/>
                        <w:sz w:val="18"/>
                      </w:rPr>
                      <w:t> </w:t>
                    </w:r>
                    <w:r>
                      <w:rPr>
                        <w:rFonts w:ascii="Calibri"/>
                        <w:color w:val="585858"/>
                        <w:sz w:val="18"/>
                      </w:rPr>
                      <w:t>4</w:t>
                    </w:r>
                  </w:p>
                </w:txbxContent>
              </v:textbox>
              <w10:wrap type="none"/>
            </v:shape>
            <w10:wrap type="none"/>
          </v:group>
        </w:pict>
      </w:r>
      <w:r>
        <w:rPr>
          <w:b/>
          <w:sz w:val="18"/>
        </w:rPr>
        <w:t>Figura 15. Análisis estadístico de los valores hematológicos obtenidos de los siete equinos durante los 20 días de la fase experimental.</w:t>
      </w:r>
      <w:r>
        <w:rPr>
          <w:b/>
          <w:spacing w:val="-6"/>
          <w:sz w:val="18"/>
        </w:rPr>
        <w:t> </w:t>
      </w:r>
      <w:r>
        <w:rPr>
          <w:sz w:val="18"/>
        </w:rPr>
        <w:t>En</w:t>
      </w:r>
      <w:r>
        <w:rPr>
          <w:spacing w:val="-5"/>
          <w:sz w:val="18"/>
        </w:rPr>
        <w:t> </w:t>
      </w:r>
      <w:r>
        <w:rPr>
          <w:sz w:val="18"/>
        </w:rPr>
        <w:t>el</w:t>
      </w:r>
      <w:r>
        <w:rPr>
          <w:spacing w:val="-5"/>
          <w:sz w:val="18"/>
        </w:rPr>
        <w:t> </w:t>
      </w:r>
      <w:r>
        <w:rPr>
          <w:sz w:val="18"/>
        </w:rPr>
        <w:t>análisis</w:t>
      </w:r>
      <w:r>
        <w:rPr>
          <w:spacing w:val="-4"/>
          <w:sz w:val="18"/>
        </w:rPr>
        <w:t> </w:t>
      </w:r>
      <w:r>
        <w:rPr>
          <w:sz w:val="18"/>
        </w:rPr>
        <w:t>se</w:t>
      </w:r>
      <w:r>
        <w:rPr>
          <w:spacing w:val="-5"/>
          <w:sz w:val="18"/>
        </w:rPr>
        <w:t> </w:t>
      </w:r>
      <w:r>
        <w:rPr>
          <w:sz w:val="18"/>
        </w:rPr>
        <w:t>observaron</w:t>
      </w:r>
      <w:r>
        <w:rPr>
          <w:spacing w:val="-7"/>
          <w:sz w:val="18"/>
        </w:rPr>
        <w:t> </w:t>
      </w:r>
      <w:r>
        <w:rPr>
          <w:sz w:val="18"/>
        </w:rPr>
        <w:t>diferencias</w:t>
      </w:r>
      <w:r>
        <w:rPr>
          <w:spacing w:val="-4"/>
          <w:sz w:val="18"/>
        </w:rPr>
        <w:t> </w:t>
      </w:r>
      <w:r>
        <w:rPr>
          <w:sz w:val="18"/>
        </w:rPr>
        <w:t>significativas</w:t>
      </w:r>
      <w:r>
        <w:rPr>
          <w:spacing w:val="-7"/>
          <w:sz w:val="18"/>
        </w:rPr>
        <w:t> </w:t>
      </w:r>
      <w:r>
        <w:rPr>
          <w:sz w:val="18"/>
        </w:rPr>
        <w:t>solamente</w:t>
      </w:r>
      <w:r>
        <w:rPr>
          <w:spacing w:val="-5"/>
          <w:sz w:val="18"/>
        </w:rPr>
        <w:t> </w:t>
      </w:r>
      <w:r>
        <w:rPr>
          <w:sz w:val="18"/>
        </w:rPr>
        <w:t>en</w:t>
      </w:r>
      <w:r>
        <w:rPr>
          <w:spacing w:val="-5"/>
          <w:sz w:val="18"/>
        </w:rPr>
        <w:t> </w:t>
      </w:r>
      <w:r>
        <w:rPr>
          <w:sz w:val="18"/>
        </w:rPr>
        <w:t>el</w:t>
      </w:r>
      <w:r>
        <w:rPr>
          <w:spacing w:val="-5"/>
          <w:sz w:val="18"/>
        </w:rPr>
        <w:t> </w:t>
      </w:r>
      <w:r>
        <w:rPr>
          <w:sz w:val="18"/>
        </w:rPr>
        <w:t>valor</w:t>
      </w:r>
      <w:r>
        <w:rPr>
          <w:spacing w:val="-8"/>
          <w:sz w:val="18"/>
        </w:rPr>
        <w:t> </w:t>
      </w:r>
      <w:r>
        <w:rPr>
          <w:sz w:val="18"/>
        </w:rPr>
        <w:t>de</w:t>
      </w:r>
      <w:r>
        <w:rPr>
          <w:spacing w:val="-5"/>
          <w:sz w:val="18"/>
        </w:rPr>
        <w:t> </w:t>
      </w:r>
      <w:r>
        <w:rPr>
          <w:sz w:val="18"/>
        </w:rPr>
        <w:t>los</w:t>
      </w:r>
      <w:r>
        <w:rPr>
          <w:spacing w:val="-4"/>
          <w:sz w:val="18"/>
        </w:rPr>
        <w:t> </w:t>
      </w:r>
      <w:r>
        <w:rPr>
          <w:sz w:val="18"/>
        </w:rPr>
        <w:t>basófilos,</w:t>
      </w:r>
      <w:r>
        <w:rPr>
          <w:spacing w:val="-8"/>
          <w:sz w:val="18"/>
        </w:rPr>
        <w:t> </w:t>
      </w:r>
      <w:r>
        <w:rPr>
          <w:sz w:val="18"/>
        </w:rPr>
        <w:t>sin</w:t>
      </w:r>
      <w:r>
        <w:rPr>
          <w:spacing w:val="-7"/>
          <w:sz w:val="18"/>
        </w:rPr>
        <w:t> </w:t>
      </w:r>
      <w:r>
        <w:rPr>
          <w:sz w:val="18"/>
        </w:rPr>
        <w:t>embargo</w:t>
      </w:r>
      <w:r>
        <w:rPr>
          <w:spacing w:val="-7"/>
          <w:sz w:val="18"/>
        </w:rPr>
        <w:t> </w:t>
      </w:r>
      <w:r>
        <w:rPr>
          <w:sz w:val="18"/>
        </w:rPr>
        <w:t>estos</w:t>
      </w:r>
      <w:r>
        <w:rPr>
          <w:spacing w:val="-4"/>
          <w:sz w:val="18"/>
        </w:rPr>
        <w:t> </w:t>
      </w:r>
      <w:r>
        <w:rPr>
          <w:sz w:val="18"/>
        </w:rPr>
        <w:t>valores</w:t>
      </w:r>
      <w:r>
        <w:rPr>
          <w:spacing w:val="-7"/>
          <w:sz w:val="18"/>
        </w:rPr>
        <w:t> </w:t>
      </w:r>
      <w:r>
        <w:rPr>
          <w:sz w:val="18"/>
        </w:rPr>
        <w:t>se encontraban</w:t>
      </w:r>
      <w:r>
        <w:rPr>
          <w:spacing w:val="-5"/>
          <w:sz w:val="18"/>
        </w:rPr>
        <w:t> </w:t>
      </w:r>
      <w:r>
        <w:rPr>
          <w:sz w:val="18"/>
        </w:rPr>
        <w:t>dentro</w:t>
      </w:r>
      <w:r>
        <w:rPr>
          <w:spacing w:val="-3"/>
          <w:sz w:val="18"/>
        </w:rPr>
        <w:t> </w:t>
      </w:r>
      <w:r>
        <w:rPr>
          <w:sz w:val="18"/>
        </w:rPr>
        <w:t>de</w:t>
      </w:r>
      <w:r>
        <w:rPr>
          <w:spacing w:val="-5"/>
          <w:sz w:val="18"/>
        </w:rPr>
        <w:t> </w:t>
      </w:r>
      <w:r>
        <w:rPr>
          <w:sz w:val="18"/>
        </w:rPr>
        <w:t>los</w:t>
      </w:r>
      <w:r>
        <w:rPr>
          <w:spacing w:val="-4"/>
          <w:sz w:val="18"/>
        </w:rPr>
        <w:t> </w:t>
      </w:r>
      <w:r>
        <w:rPr>
          <w:sz w:val="18"/>
        </w:rPr>
        <w:t>parámetros</w:t>
      </w:r>
      <w:r>
        <w:rPr>
          <w:spacing w:val="-4"/>
          <w:sz w:val="18"/>
        </w:rPr>
        <w:t> </w:t>
      </w:r>
      <w:r>
        <w:rPr>
          <w:sz w:val="18"/>
        </w:rPr>
        <w:t>normales</w:t>
      </w:r>
      <w:r>
        <w:rPr>
          <w:spacing w:val="-2"/>
          <w:sz w:val="18"/>
        </w:rPr>
        <w:t> </w:t>
      </w:r>
      <w:r>
        <w:rPr>
          <w:sz w:val="18"/>
        </w:rPr>
        <w:t>de</w:t>
      </w:r>
      <w:r>
        <w:rPr>
          <w:spacing w:val="-3"/>
          <w:sz w:val="18"/>
        </w:rPr>
        <w:t> </w:t>
      </w:r>
      <w:r>
        <w:rPr>
          <w:sz w:val="18"/>
        </w:rPr>
        <w:t>la</w:t>
      </w:r>
      <w:r>
        <w:rPr>
          <w:spacing w:val="-3"/>
          <w:sz w:val="18"/>
        </w:rPr>
        <w:t> </w:t>
      </w:r>
      <w:r>
        <w:rPr>
          <w:sz w:val="18"/>
        </w:rPr>
        <w:t>especie</w:t>
      </w:r>
      <w:r>
        <w:rPr>
          <w:spacing w:val="-3"/>
          <w:sz w:val="18"/>
        </w:rPr>
        <w:t> </w:t>
      </w:r>
      <w:r>
        <w:rPr>
          <w:sz w:val="18"/>
        </w:rPr>
        <w:t>(0-0.3,</w:t>
      </w:r>
      <w:r>
        <w:rPr>
          <w:spacing w:val="-3"/>
          <w:sz w:val="18"/>
        </w:rPr>
        <w:t> </w:t>
      </w:r>
      <w:r>
        <w:rPr>
          <w:sz w:val="18"/>
        </w:rPr>
        <w:t>Manual</w:t>
      </w:r>
      <w:r>
        <w:rPr>
          <w:spacing w:val="-3"/>
          <w:sz w:val="18"/>
        </w:rPr>
        <w:t> </w:t>
      </w:r>
      <w:r>
        <w:rPr>
          <w:sz w:val="18"/>
        </w:rPr>
        <w:t>Merck).</w:t>
      </w:r>
      <w:r>
        <w:rPr>
          <w:spacing w:val="-5"/>
          <w:sz w:val="18"/>
        </w:rPr>
        <w:t> </w:t>
      </w:r>
      <w:r>
        <w:rPr>
          <w:sz w:val="18"/>
        </w:rPr>
        <w:t>Particularmente</w:t>
      </w:r>
      <w:r>
        <w:rPr>
          <w:spacing w:val="-5"/>
          <w:sz w:val="18"/>
        </w:rPr>
        <w:t> </w:t>
      </w:r>
      <w:r>
        <w:rPr>
          <w:sz w:val="18"/>
        </w:rPr>
        <w:t>se</w:t>
      </w:r>
      <w:r>
        <w:rPr>
          <w:spacing w:val="-5"/>
          <w:sz w:val="18"/>
        </w:rPr>
        <w:t> </w:t>
      </w:r>
      <w:r>
        <w:rPr>
          <w:sz w:val="18"/>
        </w:rPr>
        <w:t>observó</w:t>
      </w:r>
      <w:r>
        <w:rPr>
          <w:spacing w:val="-3"/>
          <w:sz w:val="18"/>
        </w:rPr>
        <w:t> </w:t>
      </w:r>
      <w:r>
        <w:rPr>
          <w:sz w:val="18"/>
        </w:rPr>
        <w:t>una</w:t>
      </w:r>
      <w:r>
        <w:rPr>
          <w:spacing w:val="-3"/>
          <w:sz w:val="18"/>
        </w:rPr>
        <w:t> </w:t>
      </w:r>
      <w:r>
        <w:rPr>
          <w:sz w:val="18"/>
        </w:rPr>
        <w:t>tendencia</w:t>
      </w:r>
      <w:r>
        <w:rPr>
          <w:spacing w:val="-5"/>
          <w:sz w:val="18"/>
        </w:rPr>
        <w:t> </w:t>
      </w:r>
      <w:r>
        <w:rPr>
          <w:sz w:val="18"/>
        </w:rPr>
        <w:t>al</w:t>
      </w:r>
      <w:r>
        <w:rPr>
          <w:spacing w:val="-5"/>
          <w:sz w:val="18"/>
        </w:rPr>
        <w:t> </w:t>
      </w:r>
      <w:r>
        <w:rPr>
          <w:sz w:val="18"/>
        </w:rPr>
        <w:t>límite máximo en dos equinos (4 y 6) en el día 4 y 18</w:t>
      </w:r>
      <w:r>
        <w:rPr>
          <w:spacing w:val="-20"/>
          <w:sz w:val="18"/>
        </w:rPr>
        <w:t> </w:t>
      </w:r>
      <w:r>
        <w:rPr>
          <w:sz w:val="18"/>
        </w:rPr>
        <w:t>respectivamente</w:t>
      </w:r>
      <w:r>
        <w:rPr>
          <w:sz w:val="20"/>
        </w:rPr>
        <w:t>.</w:t>
      </w:r>
    </w:p>
    <w:p>
      <w:pPr>
        <w:spacing w:after="0" w:line="259" w:lineRule="auto"/>
        <w:jc w:val="both"/>
        <w:rPr>
          <w:sz w:val="20"/>
        </w:rPr>
        <w:sectPr>
          <w:pgSz w:w="12240" w:h="15840"/>
          <w:pgMar w:header="0" w:footer="1106" w:top="1240" w:bottom="1300" w:left="740" w:right="20"/>
        </w:sectPr>
      </w:pPr>
    </w:p>
    <w:p>
      <w:pPr>
        <w:spacing w:before="69"/>
        <w:ind w:left="669" w:right="0" w:firstLine="0"/>
        <w:jc w:val="left"/>
        <w:rPr>
          <w:b/>
          <w:sz w:val="15"/>
        </w:rPr>
      </w:pPr>
      <w:r>
        <w:rPr>
          <w:b/>
          <w:sz w:val="15"/>
        </w:rPr>
        <w:t>Figura 16. Muestra las temperaturas promedio de los siete equinos; la aparición de anticuerpo neutralizantes (A) y el aislamiento del virus en suero (V),</w:t>
      </w:r>
    </w:p>
    <w:p>
      <w:pPr>
        <w:pStyle w:val="BodyText"/>
        <w:spacing w:before="5"/>
        <w:rPr>
          <w:b/>
          <w:sz w:val="23"/>
        </w:rPr>
      </w:pPr>
    </w:p>
    <w:p>
      <w:pPr>
        <w:spacing w:after="0"/>
        <w:rPr>
          <w:sz w:val="23"/>
        </w:rPr>
        <w:sectPr>
          <w:footerReference w:type="default" r:id="rId248"/>
          <w:pgSz w:w="12240" w:h="15840"/>
          <w:pgMar w:footer="0" w:header="0" w:top="1420" w:bottom="0" w:left="0" w:right="580"/>
        </w:sectPr>
      </w:pPr>
    </w:p>
    <w:p>
      <w:pPr>
        <w:spacing w:before="44"/>
        <w:ind w:left="0" w:right="0" w:firstLine="0"/>
        <w:jc w:val="right"/>
        <w:rPr>
          <w:rFonts w:ascii="Calibri"/>
          <w:sz w:val="28"/>
        </w:rPr>
      </w:pPr>
      <w:r>
        <w:rPr>
          <w:rFonts w:ascii="Calibri"/>
          <w:color w:val="585858"/>
          <w:sz w:val="28"/>
        </w:rPr>
        <w:t>Equino 1</w:t>
      </w:r>
    </w:p>
    <w:p>
      <w:pPr>
        <w:spacing w:before="130"/>
        <w:ind w:left="846" w:right="0" w:firstLine="0"/>
        <w:jc w:val="left"/>
        <w:rPr>
          <w:rFonts w:ascii="Calibri"/>
          <w:sz w:val="18"/>
        </w:rPr>
      </w:pPr>
      <w:r>
        <w:rPr>
          <w:rFonts w:ascii="Calibri"/>
          <w:color w:val="585858"/>
          <w:sz w:val="18"/>
        </w:rPr>
        <w:t>42</w:t>
      </w:r>
    </w:p>
    <w:p>
      <w:pPr>
        <w:spacing w:before="96"/>
        <w:ind w:left="846" w:right="0" w:firstLine="0"/>
        <w:jc w:val="left"/>
        <w:rPr>
          <w:rFonts w:ascii="Calibri"/>
          <w:sz w:val="18"/>
        </w:rPr>
      </w:pPr>
      <w:r>
        <w:rPr>
          <w:rFonts w:ascii="Calibri"/>
          <w:color w:val="585858"/>
          <w:sz w:val="18"/>
        </w:rPr>
        <w:t>41</w:t>
      </w:r>
    </w:p>
    <w:p>
      <w:pPr>
        <w:spacing w:before="97"/>
        <w:ind w:left="846" w:right="0" w:firstLine="0"/>
        <w:jc w:val="left"/>
        <w:rPr>
          <w:rFonts w:ascii="Calibri"/>
          <w:sz w:val="18"/>
        </w:rPr>
      </w:pPr>
      <w:r>
        <w:rPr>
          <w:rFonts w:ascii="Calibri"/>
          <w:color w:val="585858"/>
          <w:sz w:val="18"/>
        </w:rPr>
        <w:t>40</w:t>
      </w:r>
    </w:p>
    <w:p>
      <w:pPr>
        <w:spacing w:before="96"/>
        <w:ind w:left="846" w:right="0" w:firstLine="0"/>
        <w:jc w:val="left"/>
        <w:rPr>
          <w:rFonts w:ascii="Calibri"/>
          <w:sz w:val="18"/>
        </w:rPr>
      </w:pPr>
      <w:r>
        <w:rPr>
          <w:rFonts w:ascii="Calibri"/>
          <w:color w:val="585858"/>
          <w:sz w:val="18"/>
        </w:rPr>
        <w:t>39</w:t>
      </w:r>
    </w:p>
    <w:p>
      <w:pPr>
        <w:tabs>
          <w:tab w:pos="3331" w:val="left" w:leader="none"/>
        </w:tabs>
        <w:spacing w:line="321" w:lineRule="exact" w:before="97"/>
        <w:ind w:left="846" w:right="0" w:firstLine="0"/>
        <w:jc w:val="left"/>
        <w:rPr>
          <w:rFonts w:ascii="Calibri"/>
          <w:sz w:val="20"/>
        </w:rPr>
      </w:pPr>
      <w:r>
        <w:rPr>
          <w:rFonts w:ascii="Calibri"/>
          <w:color w:val="585858"/>
          <w:sz w:val="18"/>
        </w:rPr>
        <w:t>38</w:t>
        <w:tab/>
      </w:r>
      <w:r>
        <w:rPr>
          <w:rFonts w:ascii="Calibri"/>
          <w:position w:val="-9"/>
          <w:sz w:val="20"/>
        </w:rPr>
        <w:t>A</w:t>
      </w:r>
    </w:p>
    <w:p>
      <w:pPr>
        <w:spacing w:line="215" w:lineRule="exact" w:before="0"/>
        <w:ind w:left="846" w:right="0" w:firstLine="0"/>
        <w:jc w:val="left"/>
        <w:rPr>
          <w:rFonts w:ascii="Calibri"/>
          <w:sz w:val="18"/>
        </w:rPr>
      </w:pPr>
      <w:r>
        <w:rPr>
          <w:rFonts w:ascii="Calibri"/>
          <w:color w:val="585858"/>
          <w:sz w:val="18"/>
        </w:rPr>
        <w:t>37</w:t>
      </w:r>
    </w:p>
    <w:p>
      <w:pPr>
        <w:spacing w:before="97"/>
        <w:ind w:left="846" w:right="0" w:firstLine="0"/>
        <w:jc w:val="left"/>
        <w:rPr>
          <w:rFonts w:ascii="Calibri"/>
          <w:sz w:val="18"/>
        </w:rPr>
      </w:pPr>
      <w:r>
        <w:rPr>
          <w:rFonts w:ascii="Calibri"/>
          <w:color w:val="585858"/>
          <w:sz w:val="18"/>
        </w:rPr>
        <w:t>36</w:t>
      </w:r>
    </w:p>
    <w:p>
      <w:pPr>
        <w:pStyle w:val="BodyText"/>
        <w:rPr>
          <w:rFonts w:ascii="Calibri"/>
          <w:sz w:val="18"/>
        </w:rPr>
      </w:pPr>
      <w:r>
        <w:rPr/>
        <w:br w:type="column"/>
      </w:r>
      <w:r>
        <w:rPr>
          <w:rFonts w:ascii="Calibri"/>
          <w:sz w:val="18"/>
        </w:rPr>
      </w:r>
    </w:p>
    <w:p>
      <w:pPr>
        <w:pStyle w:val="BodyText"/>
        <w:spacing w:before="5"/>
        <w:rPr>
          <w:rFonts w:ascii="Calibri"/>
          <w:sz w:val="25"/>
        </w:rPr>
      </w:pPr>
    </w:p>
    <w:p>
      <w:pPr>
        <w:spacing w:before="0"/>
        <w:ind w:left="827" w:right="1074" w:firstLine="0"/>
        <w:jc w:val="center"/>
        <w:rPr>
          <w:rFonts w:ascii="Calibri"/>
          <w:sz w:val="18"/>
        </w:rPr>
      </w:pPr>
      <w:r>
        <w:rPr>
          <w:rFonts w:ascii="Calibri"/>
          <w:color w:val="585858"/>
          <w:sz w:val="18"/>
        </w:rPr>
        <w:t>43</w:t>
      </w:r>
    </w:p>
    <w:p>
      <w:pPr>
        <w:spacing w:before="49"/>
        <w:ind w:left="827" w:right="1074" w:firstLine="0"/>
        <w:jc w:val="center"/>
        <w:rPr>
          <w:rFonts w:ascii="Calibri"/>
          <w:sz w:val="18"/>
        </w:rPr>
      </w:pPr>
      <w:r>
        <w:rPr>
          <w:rFonts w:ascii="Calibri"/>
          <w:color w:val="585858"/>
          <w:sz w:val="18"/>
        </w:rPr>
        <w:t>42</w:t>
      </w:r>
    </w:p>
    <w:p>
      <w:pPr>
        <w:spacing w:before="49"/>
        <w:ind w:left="827" w:right="1074" w:firstLine="0"/>
        <w:jc w:val="center"/>
        <w:rPr>
          <w:rFonts w:ascii="Calibri"/>
          <w:sz w:val="18"/>
        </w:rPr>
      </w:pPr>
      <w:r>
        <w:rPr>
          <w:rFonts w:ascii="Calibri"/>
          <w:color w:val="585858"/>
          <w:sz w:val="18"/>
        </w:rPr>
        <w:t>41</w:t>
      </w:r>
    </w:p>
    <w:p>
      <w:pPr>
        <w:spacing w:before="49"/>
        <w:ind w:left="827" w:right="1074" w:firstLine="0"/>
        <w:jc w:val="center"/>
        <w:rPr>
          <w:rFonts w:ascii="Calibri"/>
          <w:sz w:val="18"/>
        </w:rPr>
      </w:pPr>
      <w:r>
        <w:rPr>
          <w:rFonts w:ascii="Calibri"/>
          <w:color w:val="585858"/>
          <w:sz w:val="18"/>
        </w:rPr>
        <w:t>40</w:t>
      </w:r>
    </w:p>
    <w:p>
      <w:pPr>
        <w:spacing w:before="49"/>
        <w:ind w:left="827" w:right="1074" w:firstLine="0"/>
        <w:jc w:val="center"/>
        <w:rPr>
          <w:rFonts w:ascii="Calibri"/>
          <w:sz w:val="18"/>
        </w:rPr>
      </w:pPr>
      <w:r>
        <w:rPr>
          <w:rFonts w:ascii="Calibri"/>
          <w:color w:val="585858"/>
          <w:sz w:val="18"/>
        </w:rPr>
        <w:t>39</w:t>
      </w:r>
    </w:p>
    <w:p>
      <w:pPr>
        <w:tabs>
          <w:tab w:pos="2011" w:val="left" w:leader="none"/>
        </w:tabs>
        <w:spacing w:line="277" w:lineRule="exact" w:before="49"/>
        <w:ind w:left="846" w:right="0" w:firstLine="0"/>
        <w:jc w:val="left"/>
        <w:rPr>
          <w:rFonts w:ascii="Calibri"/>
          <w:sz w:val="20"/>
        </w:rPr>
      </w:pPr>
      <w:r>
        <w:rPr>
          <w:rFonts w:ascii="Calibri"/>
          <w:color w:val="585858"/>
          <w:sz w:val="18"/>
        </w:rPr>
        <w:t>38</w:t>
      </w:r>
      <w:r>
        <w:rPr>
          <w:rFonts w:ascii="Calibri"/>
          <w:position w:val="-5"/>
          <w:sz w:val="20"/>
        </w:rPr>
        <w:tab/>
        <w:t>V</w:t>
      </w:r>
    </w:p>
    <w:p>
      <w:pPr>
        <w:spacing w:line="212" w:lineRule="exact" w:before="0"/>
        <w:ind w:left="827" w:right="1074" w:firstLine="0"/>
        <w:jc w:val="center"/>
        <w:rPr>
          <w:rFonts w:ascii="Calibri"/>
          <w:sz w:val="18"/>
        </w:rPr>
      </w:pPr>
      <w:r>
        <w:rPr>
          <w:rFonts w:ascii="Calibri"/>
          <w:color w:val="585858"/>
          <w:sz w:val="18"/>
        </w:rPr>
        <w:t>37</w:t>
      </w:r>
    </w:p>
    <w:p>
      <w:pPr>
        <w:spacing w:before="49"/>
        <w:ind w:left="827" w:right="1074" w:firstLine="0"/>
        <w:jc w:val="center"/>
        <w:rPr>
          <w:rFonts w:ascii="Calibri"/>
          <w:sz w:val="18"/>
        </w:rPr>
      </w:pPr>
      <w:r>
        <w:rPr>
          <w:rFonts w:ascii="Calibri"/>
          <w:color w:val="585858"/>
          <w:sz w:val="18"/>
        </w:rPr>
        <w:t>36</w:t>
      </w:r>
    </w:p>
    <w:p>
      <w:pPr>
        <w:pStyle w:val="Heading2"/>
        <w:spacing w:line="240" w:lineRule="auto" w:before="59"/>
        <w:ind w:left="779"/>
      </w:pPr>
      <w:r>
        <w:rPr/>
        <w:br w:type="column"/>
      </w:r>
      <w:r>
        <w:rPr>
          <w:color w:val="585858"/>
        </w:rPr>
        <w:t>Equino 2</w:t>
      </w:r>
    </w:p>
    <w:p>
      <w:pPr>
        <w:pStyle w:val="BodyText"/>
        <w:rPr>
          <w:rFonts w:ascii="Calibri"/>
          <w:sz w:val="28"/>
        </w:rPr>
      </w:pPr>
    </w:p>
    <w:p>
      <w:pPr>
        <w:pStyle w:val="BodyText"/>
        <w:rPr>
          <w:rFonts w:ascii="Calibri"/>
          <w:sz w:val="28"/>
        </w:rPr>
      </w:pPr>
    </w:p>
    <w:p>
      <w:pPr>
        <w:pStyle w:val="BodyText"/>
        <w:rPr>
          <w:rFonts w:ascii="Calibri"/>
          <w:sz w:val="28"/>
        </w:rPr>
      </w:pPr>
    </w:p>
    <w:p>
      <w:pPr>
        <w:pStyle w:val="BodyText"/>
        <w:spacing w:before="11"/>
        <w:rPr>
          <w:rFonts w:ascii="Calibri"/>
          <w:sz w:val="22"/>
        </w:rPr>
      </w:pPr>
    </w:p>
    <w:p>
      <w:pPr>
        <w:spacing w:before="1"/>
        <w:ind w:left="910" w:right="0" w:firstLine="0"/>
        <w:jc w:val="left"/>
        <w:rPr>
          <w:rFonts w:ascii="Calibri"/>
          <w:sz w:val="20"/>
        </w:rPr>
      </w:pPr>
      <w:r>
        <w:rPr>
          <w:rFonts w:ascii="Calibri"/>
          <w:w w:val="99"/>
          <w:sz w:val="20"/>
        </w:rPr>
        <w:t>A</w:t>
      </w:r>
    </w:p>
    <w:p>
      <w:pPr>
        <w:spacing w:after="0"/>
        <w:jc w:val="left"/>
        <w:rPr>
          <w:rFonts w:ascii="Calibri"/>
          <w:sz w:val="20"/>
        </w:rPr>
        <w:sectPr>
          <w:type w:val="continuous"/>
          <w:pgSz w:w="12240" w:h="15840"/>
          <w:pgMar w:top="1420" w:bottom="280" w:left="0" w:right="580"/>
          <w:cols w:num="3" w:equalWidth="0">
            <w:col w:w="3726" w:space="1795"/>
            <w:col w:w="2125" w:space="40"/>
            <w:col w:w="3974"/>
          </w:cols>
        </w:sectPr>
      </w:pPr>
    </w:p>
    <w:p>
      <w:pPr>
        <w:tabs>
          <w:tab w:pos="6784" w:val="left" w:leader="none"/>
        </w:tabs>
        <w:spacing w:before="14"/>
        <w:ind w:left="1253" w:right="0" w:firstLine="0"/>
        <w:jc w:val="left"/>
        <w:rPr>
          <w:rFonts w:ascii="Calibri"/>
          <w:sz w:val="18"/>
        </w:rPr>
      </w:pPr>
      <w:r>
        <w:rPr/>
        <w:pict>
          <v:group style="position:absolute;margin-left:20.51pt;margin-top:69.110001pt;width:567.8pt;height:699.9pt;mso-position-horizontal-relative:page;mso-position-vertical-relative:page;z-index:-134704" coordorigin="410,1382" coordsize="11356,13998">
            <v:shape style="position:absolute;left:6818;top:9782;width:4637;height:1128" coordorigin="6818,9782" coordsize="4637,1128" path="m6818,10910l11455,10910m10406,10534l11455,10534m6818,10534l10046,10534m6818,10159l11455,10159m6818,9782l11455,9782e" filled="false" stroked="true" strokeweight=".72pt" strokecolor="#d9d9d9">
              <v:path arrowok="t"/>
            </v:shape>
            <v:shape style="position:absolute;left:6929;top:9670;width:4416;height:939" coordorigin="6929,9670" coordsize="4416,939" path="m6929,10234l7150,10272,7370,10459,7591,10421,7812,10272,8033,10121,8254,10272,8474,10234,8695,10121,8916,9934,9137,9970,9358,9895,9578,9670,9799,9670,10020,10121,10241,10272,10462,9970,10682,9934,10903,10046,11124,10308,11345,10608e" filled="false" stroked="true" strokeweight="2.16pt" strokecolor="#ec7c30">
              <v:path arrowok="t"/>
            </v:shape>
            <v:shape style="position:absolute;left:6872;top:10176;width:115;height:115" type="#_x0000_t75" stroked="false">
              <v:imagedata r:id="rId249" o:title=""/>
            </v:shape>
            <v:shape style="position:absolute;left:7093;top:10215;width:115;height:115" type="#_x0000_t75" stroked="false">
              <v:imagedata r:id="rId250" o:title=""/>
            </v:shape>
            <v:shape style="position:absolute;left:7314;top:10402;width:115;height:115" type="#_x0000_t75" stroked="false">
              <v:imagedata r:id="rId249" o:title=""/>
            </v:shape>
            <v:shape style="position:absolute;left:7535;top:10363;width:115;height:115" type="#_x0000_t75" stroked="false">
              <v:imagedata r:id="rId250" o:title=""/>
            </v:shape>
            <v:shape style="position:absolute;left:7755;top:10215;width:115;height:115" type="#_x0000_t75" stroked="false">
              <v:imagedata r:id="rId250" o:title=""/>
            </v:shape>
            <v:shape style="position:absolute;left:7976;top:10063;width:115;height:115" type="#_x0000_t75" stroked="false">
              <v:imagedata r:id="rId249" o:title=""/>
            </v:shape>
            <v:shape style="position:absolute;left:8197;top:10215;width:115;height:115" type="#_x0000_t75" stroked="false">
              <v:imagedata r:id="rId250" o:title=""/>
            </v:shape>
            <v:shape style="position:absolute;left:8418;top:10176;width:115;height:115" type="#_x0000_t75" stroked="false">
              <v:imagedata r:id="rId249" o:title=""/>
            </v:shape>
            <v:shape style="position:absolute;left:8639;top:10063;width:115;height:115" type="#_x0000_t75" stroked="false">
              <v:imagedata r:id="rId250" o:title=""/>
            </v:shape>
            <v:shape style="position:absolute;left:8859;top:9876;width:115;height:115" type="#_x0000_t75" stroked="false">
              <v:imagedata r:id="rId249" o:title=""/>
            </v:shape>
            <v:shape style="position:absolute;left:9080;top:9912;width:115;height:115" type="#_x0000_t75" stroked="false">
              <v:imagedata r:id="rId250" o:title=""/>
            </v:shape>
            <v:shape style="position:absolute;left:9301;top:9838;width:115;height:115" type="#_x0000_t75" stroked="false">
              <v:imagedata r:id="rId250" o:title=""/>
            </v:shape>
            <v:shape style="position:absolute;left:9522;top:9612;width:115;height:115" type="#_x0000_t75" stroked="false">
              <v:imagedata r:id="rId250" o:title=""/>
            </v:shape>
            <v:shape style="position:absolute;left:9743;top:9612;width:115;height:115" type="#_x0000_t75" stroked="false">
              <v:imagedata r:id="rId250" o:title=""/>
            </v:shape>
            <v:shape style="position:absolute;left:9963;top:10063;width:115;height:115" type="#_x0000_t75" stroked="false">
              <v:imagedata r:id="rId249" o:title=""/>
            </v:shape>
            <v:shape style="position:absolute;left:10184;top:10215;width:115;height:115" type="#_x0000_t75" stroked="false">
              <v:imagedata r:id="rId250" o:title=""/>
            </v:shape>
            <v:shape style="position:absolute;left:10405;top:9912;width:115;height:115" type="#_x0000_t75" stroked="false">
              <v:imagedata r:id="rId249" o:title=""/>
            </v:shape>
            <v:shape style="position:absolute;left:10626;top:9876;width:115;height:115" type="#_x0000_t75" stroked="false">
              <v:imagedata r:id="rId250" o:title=""/>
            </v:shape>
            <v:shape style="position:absolute;left:10847;top:9989;width:115;height:115" type="#_x0000_t75" stroked="false">
              <v:imagedata r:id="rId249" o:title=""/>
            </v:shape>
            <v:shape style="position:absolute;left:11067;top:10251;width:115;height:115" type="#_x0000_t75" stroked="false">
              <v:imagedata r:id="rId250" o:title=""/>
            </v:shape>
            <v:shape style="position:absolute;left:11288;top:10551;width:115;height:115" type="#_x0000_t75" stroked="false">
              <v:imagedata r:id="rId250" o:title=""/>
            </v:shape>
            <v:shape style="position:absolute;left:6235;top:8890;width:5386;height:3015" coordorigin="6235,8890" coordsize="5386,3015" path="m6818,11285l11455,11285m6235,11904l11621,11904,11621,8890,6235,8890,6235,11904xe" filled="false" stroked="true" strokeweight=".72pt" strokecolor="#d9d9d9">
              <v:path arrowok="t"/>
            </v:shape>
            <v:shape style="position:absolute;left:433;top:1405;width:11310;height:13952" coordorigin="433,1405" coordsize="11310,13952" path="m433,15356l11743,15356m462,1405l462,15355e" filled="false" stroked="true" strokeweight="2.280pt" strokecolor="#000000">
              <v:path arrowok="t"/>
            </v:shape>
            <v:shape style="position:absolute;left:6775;top:6091;width:4656;height:1916" coordorigin="6775,6091" coordsize="4656,1916" path="m9281,7526l11431,7526m6775,7526l8921,7526m6775,7049l11431,7049m6775,6571l11431,6571m8381,6091l11431,6091m6775,6091l8021,6091m6775,8006l11431,8006e" filled="false" stroked="true" strokeweight=".72pt" strokecolor="#d9d9d9">
              <v:path arrowok="t"/>
            </v:shape>
            <v:shape style="position:absolute;left:6886;top:6331;width:4436;height:1100" coordorigin="6886,6331" coordsize="4436,1100" path="m6886,7049l7109,6809,7330,7049,7550,7001,7774,6713,7994,6905,8218,6331,8438,6809,8659,6475,8882,6571,9103,7289,9324,6809,9547,7145,9768,7430,9991,7001,10212,6953,10433,6905,10656,7049,10877,7289,11098,7193,11321,7385e" filled="false" stroked="true" strokeweight="2.16pt" strokecolor="#ec7c30">
              <v:path arrowok="t"/>
            </v:shape>
            <v:shape style="position:absolute;left:6829;top:6991;width:115;height:115" type="#_x0000_t75" stroked="false">
              <v:imagedata r:id="rId251" o:title=""/>
            </v:shape>
            <v:shape style="position:absolute;left:7052;top:6751;width:115;height:115" type="#_x0000_t75" stroked="false">
              <v:imagedata r:id="rId252" o:title=""/>
            </v:shape>
            <v:shape style="position:absolute;left:7273;top:6991;width:115;height:115" type="#_x0000_t75" stroked="false">
              <v:imagedata r:id="rId251" o:title=""/>
            </v:shape>
            <v:shape style="position:absolute;left:7494;top:6943;width:115;height:115" type="#_x0000_t75" stroked="false">
              <v:imagedata r:id="rId249" o:title=""/>
            </v:shape>
            <v:shape style="position:absolute;left:7717;top:6655;width:115;height:115" type="#_x0000_t75" stroked="false">
              <v:imagedata r:id="rId251" o:title=""/>
            </v:shape>
            <v:shape style="position:absolute;left:7938;top:6847;width:115;height:115" type="#_x0000_t75" stroked="false">
              <v:imagedata r:id="rId249" o:title=""/>
            </v:shape>
            <v:shape style="position:absolute;left:8161;top:6274;width:115;height:115" type="#_x0000_t75" stroked="false">
              <v:imagedata r:id="rId250" o:title=""/>
            </v:shape>
            <v:shape style="position:absolute;left:8382;top:6751;width:115;height:115" type="#_x0000_t75" stroked="false">
              <v:imagedata r:id="rId251" o:title=""/>
            </v:shape>
            <v:shape style="position:absolute;left:8603;top:6418;width:115;height:115" type="#_x0000_t75" stroked="false">
              <v:imagedata r:id="rId250" o:title=""/>
            </v:shape>
            <v:shape style="position:absolute;left:8826;top:6514;width:115;height:115" type="#_x0000_t75" stroked="false">
              <v:imagedata r:id="rId250" o:title=""/>
            </v:shape>
            <v:shape style="position:absolute;left:9047;top:7231;width:115;height:115" type="#_x0000_t75" stroked="false">
              <v:imagedata r:id="rId252" o:title=""/>
            </v:shape>
            <v:shape style="position:absolute;left:9267;top:6751;width:115;height:115" type="#_x0000_t75" stroked="false">
              <v:imagedata r:id="rId251" o:title=""/>
            </v:shape>
            <v:shape style="position:absolute;left:9491;top:7087;width:115;height:115" type="#_x0000_t75" stroked="false">
              <v:imagedata r:id="rId249" o:title=""/>
            </v:shape>
            <v:shape style="position:absolute;left:9711;top:7373;width:115;height:115" type="#_x0000_t75" stroked="false">
              <v:imagedata r:id="rId250" o:title=""/>
            </v:shape>
            <v:shape style="position:absolute;left:9935;top:6943;width:115;height:115" type="#_x0000_t75" stroked="false">
              <v:imagedata r:id="rId250" o:title=""/>
            </v:shape>
            <v:shape style="position:absolute;left:10155;top:6895;width:115;height:115" type="#_x0000_t75" stroked="false">
              <v:imagedata r:id="rId251" o:title=""/>
            </v:shape>
            <v:shape style="position:absolute;left:10376;top:6847;width:115;height:115" type="#_x0000_t75" stroked="false">
              <v:imagedata r:id="rId249" o:title=""/>
            </v:shape>
            <v:shape style="position:absolute;left:10599;top:6991;width:115;height:115" type="#_x0000_t75" stroked="false">
              <v:imagedata r:id="rId252" o:title=""/>
            </v:shape>
            <v:shape style="position:absolute;left:10820;top:7231;width:115;height:115" type="#_x0000_t75" stroked="false">
              <v:imagedata r:id="rId251" o:title=""/>
            </v:shape>
            <v:shape style="position:absolute;left:11041;top:7135;width:115;height:115" type="#_x0000_t75" stroked="false">
              <v:imagedata r:id="rId251" o:title=""/>
            </v:shape>
            <v:shape style="position:absolute;left:11264;top:7327;width:115;height:115" type="#_x0000_t75" stroked="false">
              <v:imagedata r:id="rId250" o:title=""/>
            </v:shape>
            <v:shape style="position:absolute;left:6295;top:2851;width:5357;height:5619" coordorigin="6295,2851" coordsize="5357,5619" path="m6295,8470l11652,8470,11652,5350,6295,5350,6295,8470xm6715,4198l11465,4198m7735,3926l11465,3926m6715,3926l7375,3926m8801,3658l11465,3658m6715,3658l8441,3658m6715,3389l11465,3389m6715,3120l11465,3120m6715,2851l11465,2851e" filled="false" stroked="true" strokeweight=".72pt" strokecolor="#d9d9d9">
              <v:path arrowok="t"/>
            </v:shape>
            <v:shape style="position:absolute;left:6828;top:2851;width:3845;height:996" coordorigin="6828,2851" coordsize="3845,996" path="m6828,3362l7054,3470,7282,3847,7507,3578,7733,3470,7958,3038,8186,3336,8412,3228,8638,3444,8863,3310,9089,3173,9317,3523,9542,3444,9768,3389,9994,3523,10219,3120,10447,2851,10673,3792e" filled="false" stroked="true" strokeweight="2.16pt" strokecolor="#ec7c30">
              <v:path arrowok="t"/>
            </v:shape>
            <v:shape style="position:absolute;left:6771;top:3304;width:115;height:115" type="#_x0000_t75" stroked="false">
              <v:imagedata r:id="rId250" o:title=""/>
            </v:shape>
            <v:shape style="position:absolute;left:6997;top:3412;width:115;height:115" type="#_x0000_t75" stroked="false">
              <v:imagedata r:id="rId250" o:title=""/>
            </v:shape>
            <v:shape style="position:absolute;left:7225;top:3789;width:115;height:115" type="#_x0000_t75" stroked="false">
              <v:imagedata r:id="rId252" o:title=""/>
            </v:shape>
            <v:shape style="position:absolute;left:7451;top:3520;width:115;height:115" type="#_x0000_t75" stroked="false">
              <v:imagedata r:id="rId252" o:title=""/>
            </v:shape>
            <v:shape style="position:absolute;left:7676;top:3412;width:115;height:115" type="#_x0000_t75" stroked="false">
              <v:imagedata r:id="rId249" o:title=""/>
            </v:shape>
            <v:shape style="position:absolute;left:7902;top:2980;width:115;height:115" type="#_x0000_t75" stroked="false">
              <v:imagedata r:id="rId251" o:title=""/>
            </v:shape>
            <v:shape style="position:absolute;left:8130;top:3278;width:115;height:115" type="#_x0000_t75" stroked="false">
              <v:imagedata r:id="rId250" o:title=""/>
            </v:shape>
            <v:shape style="position:absolute;left:8355;top:3170;width:115;height:115" type="#_x0000_t75" stroked="false">
              <v:imagedata r:id="rId250" o:title=""/>
            </v:shape>
            <v:shape style="position:absolute;left:8581;top:3386;width:115;height:115" type="#_x0000_t75" stroked="false">
              <v:imagedata r:id="rId251" o:title=""/>
            </v:shape>
            <v:shape style="position:absolute;left:8807;top:3251;width:115;height:115" type="#_x0000_t75" stroked="false">
              <v:imagedata r:id="rId252" o:title=""/>
            </v:shape>
            <v:shape style="position:absolute;left:9032;top:3114;width:115;height:115" type="#_x0000_t75" stroked="false">
              <v:imagedata r:id="rId252" o:title=""/>
            </v:shape>
            <v:shape style="position:absolute;left:9260;top:3465;width:115;height:115" type="#_x0000_t75" stroked="false">
              <v:imagedata r:id="rId250" o:title=""/>
            </v:shape>
            <v:shape style="position:absolute;left:9486;top:3386;width:115;height:115" type="#_x0000_t75" stroked="false">
              <v:imagedata r:id="rId251" o:title=""/>
            </v:shape>
            <v:shape style="position:absolute;left:9711;top:3330;width:115;height:115" type="#_x0000_t75" stroked="false">
              <v:imagedata r:id="rId250" o:title=""/>
            </v:shape>
            <v:shape style="position:absolute;left:9937;top:3465;width:115;height:115" type="#_x0000_t75" stroked="false">
              <v:imagedata r:id="rId250" o:title=""/>
            </v:shape>
            <v:shape style="position:absolute;left:10163;top:3062;width:115;height:115" type="#_x0000_t75" stroked="false">
              <v:imagedata r:id="rId251" o:title=""/>
            </v:shape>
            <v:shape style="position:absolute;left:10391;top:2793;width:115;height:115" type="#_x0000_t75" stroked="false">
              <v:imagedata r:id="rId252" o:title=""/>
            </v:shape>
            <v:shape style="position:absolute;left:10616;top:3734;width:115;height:115" type="#_x0000_t75" stroked="false">
              <v:imagedata r:id="rId249" o:title=""/>
            </v:shape>
            <v:shape style="position:absolute;left:6235;top:1841;width:5448;height:3089" coordorigin="6235,1841" coordsize="5448,3089" path="m6715,2582l11465,2582m6715,4466l11465,4466m6235,4930l11683,4930,11683,1841,6235,1841,6235,4930xe" filled="false" stroked="true" strokeweight=".72pt" strokecolor="#d9d9d9">
              <v:path arrowok="t"/>
            </v:shape>
            <v:shape style="position:absolute;left:8441;top:3550;width:360;height:374" type="#_x0000_t75" stroked="false">
              <v:imagedata r:id="rId253" o:title=""/>
            </v:shape>
            <v:shape style="position:absolute;left:1195;top:2882;width:4325;height:1268" coordorigin="1195,2882" coordsize="4325,1268" path="m1195,4150l5520,4150m3535,3833l5520,3833m1195,3833l3175,3833m1195,3516l5520,3516m1195,3199l5520,3199m1195,2882l5520,2882e" filled="false" stroked="true" strokeweight=".72pt" strokecolor="#d9d9d9">
              <v:path arrowok="t"/>
            </v:shape>
            <v:shape style="position:absolute;left:1298;top:2851;width:4121;height:920" coordorigin="1298,2851" coordsize="4121,920" path="m1298,3264l1505,3358,1711,3516,1918,3295,2122,3295,2328,3485,2534,3485,2741,3485,2947,3485,3151,3516,3358,3612,3564,3010,3770,2851,3977,3295,4183,3010,4387,3168,4594,2978,4800,2978,5006,3199,5213,3454,5419,3770e" filled="false" stroked="true" strokeweight="2.16pt" strokecolor="#ec7c30">
              <v:path arrowok="t"/>
            </v:shape>
            <v:shape style="position:absolute;left:1242;top:3207;width:115;height:115" type="#_x0000_t75" stroked="false">
              <v:imagedata r:id="rId254" o:title=""/>
            </v:shape>
            <v:shape style="position:absolute;left:1448;top:3301;width:115;height:115" type="#_x0000_t75" stroked="false">
              <v:imagedata r:id="rId254" o:title=""/>
            </v:shape>
            <v:shape style="position:absolute;left:1655;top:3459;width:115;height:115" type="#_x0000_t75" stroked="false">
              <v:imagedata r:id="rId255" o:title=""/>
            </v:shape>
            <v:shape style="position:absolute;left:1861;top:3239;width:115;height:115" type="#_x0000_t75" stroked="false">
              <v:imagedata r:id="rId254" o:title=""/>
            </v:shape>
            <v:shape style="position:absolute;left:2065;top:3239;width:115;height:115" type="#_x0000_t75" stroked="false">
              <v:imagedata r:id="rId100" o:title=""/>
            </v:shape>
            <v:shape style="position:absolute;left:2271;top:3428;width:115;height:115" type="#_x0000_t75" stroked="false">
              <v:imagedata r:id="rId98" o:title=""/>
            </v:shape>
            <v:shape style="position:absolute;left:2478;top:3428;width:115;height:115" type="#_x0000_t75" stroked="false">
              <v:imagedata r:id="rId100" o:title=""/>
            </v:shape>
            <v:shape style="position:absolute;left:2684;top:3428;width:115;height:115" type="#_x0000_t75" stroked="false">
              <v:imagedata r:id="rId98" o:title=""/>
            </v:shape>
            <v:shape style="position:absolute;left:2891;top:3428;width:115;height:115" type="#_x0000_t75" stroked="false">
              <v:imagedata r:id="rId100" o:title=""/>
            </v:shape>
            <v:shape style="position:absolute;left:3095;top:3459;width:115;height:115" type="#_x0000_t75" stroked="false">
              <v:imagedata r:id="rId99" o:title=""/>
            </v:shape>
            <v:shape style="position:absolute;left:3301;top:3555;width:115;height:115" type="#_x0000_t75" stroked="false">
              <v:imagedata r:id="rId98" o:title=""/>
            </v:shape>
            <v:shape style="position:absolute;left:3507;top:2953;width:115;height:115" type="#_x0000_t75" stroked="false">
              <v:imagedata r:id="rId98" o:title=""/>
            </v:shape>
            <v:shape style="position:absolute;left:3714;top:2795;width:115;height:115" type="#_x0000_t75" stroked="false">
              <v:imagedata r:id="rId100" o:title=""/>
            </v:shape>
            <v:shape style="position:absolute;left:3920;top:3239;width:115;height:115" type="#_x0000_t75" stroked="false">
              <v:imagedata r:id="rId98" o:title=""/>
            </v:shape>
            <v:shape style="position:absolute;left:4127;top:2953;width:115;height:115" type="#_x0000_t75" stroked="false">
              <v:imagedata r:id="rId100" o:title=""/>
            </v:shape>
            <v:shape style="position:absolute;left:4331;top:3111;width:115;height:115" type="#_x0000_t75" stroked="false">
              <v:imagedata r:id="rId100" o:title=""/>
            </v:shape>
            <v:shape style="position:absolute;left:4537;top:2922;width:115;height:115" type="#_x0000_t75" stroked="false">
              <v:imagedata r:id="rId98" o:title=""/>
            </v:shape>
            <v:shape style="position:absolute;left:4743;top:2922;width:115;height:115" type="#_x0000_t75" stroked="false">
              <v:imagedata r:id="rId100" o:title=""/>
            </v:shape>
            <v:shape style="position:absolute;left:4950;top:3143;width:115;height:115" type="#_x0000_t75" stroked="false">
              <v:imagedata r:id="rId98" o:title=""/>
            </v:shape>
            <v:shape style="position:absolute;left:5156;top:3397;width:115;height:115" type="#_x0000_t75" stroked="false">
              <v:imagedata r:id="rId100" o:title=""/>
            </v:shape>
            <v:shape style="position:absolute;left:5363;top:3714;width:115;height:115" type="#_x0000_t75" stroked="false">
              <v:imagedata r:id="rId99" o:title=""/>
            </v:shape>
            <v:shape style="position:absolute;left:715;top:1824;width:5026;height:3106" coordorigin="715,1824" coordsize="5026,3106" path="m1195,2566l5520,2566m1195,4466l5520,4466m715,4930l5741,4930,5741,1824,715,1824,715,4930xe" filled="false" stroked="true" strokeweight=".72pt" strokecolor="#d9d9d9">
              <v:path arrowok="t"/>
            </v:shape>
            <v:shape style="position:absolute;left:3175;top:3701;width:360;height:374" type="#_x0000_t75" stroked="false">
              <v:imagedata r:id="rId253" o:title=""/>
            </v:shape>
            <v:shape style="position:absolute;left:7375;top:3761;width:360;height:374" type="#_x0000_t75" stroked="false">
              <v:imagedata r:id="rId256" o:title=""/>
            </v:shape>
            <v:shape style="position:absolute;left:1505;top:6266;width:4124;height:1368" coordorigin="1505,6266" coordsize="4124,1368" path="m1505,7634l5628,7634m1505,7361l5628,7361m1505,7087l5628,7087m1505,6814l5628,6814m1505,6540l5628,6540m1505,6266l3012,6266e" filled="false" stroked="true" strokeweight=".72pt" strokecolor="#d9d9d9">
              <v:path arrowok="t"/>
            </v:shape>
            <v:shape style="position:absolute;left:1603;top:6103;width:3927;height:1203" coordorigin="1603,6103" coordsize="3927,1203" path="m1603,6485l1800,6103,1994,7087,2191,6706,2388,6211,2585,6432,2782,6158,2976,6706,3173,6432,3370,6814,3566,6706,3763,6377,3958,6758,4154,6432,4351,6485,4548,6540,4745,6158,4942,6485,5136,6924,5333,6924,5530,7306e" filled="false" stroked="true" strokeweight="2.16pt" strokecolor="#ec7c30">
              <v:path arrowok="t"/>
            </v:shape>
            <v:shape style="position:absolute;left:1545;top:6426;width:115;height:115" type="#_x0000_t75" stroked="false">
              <v:imagedata r:id="rId254" o:title=""/>
            </v:shape>
            <v:line style="position:absolute" from="1505,5993" to="2186,5993" stroked="true" strokeweight=".72pt" strokecolor="#d9d9d9"/>
            <v:shape style="position:absolute;left:1742;top:6045;width:115;height:115" type="#_x0000_t75" stroked="false">
              <v:imagedata r:id="rId257" o:title=""/>
            </v:shape>
            <v:shape style="position:absolute;left:1937;top:7029;width:115;height:115" type="#_x0000_t75" stroked="false">
              <v:imagedata r:id="rId97" o:title=""/>
            </v:shape>
            <v:shape style="position:absolute;left:2133;top:6647;width:115;height:115" type="#_x0000_t75" stroked="false">
              <v:imagedata r:id="rId97" o:title=""/>
            </v:shape>
            <v:shape style="position:absolute;left:2330;top:6153;width:115;height:115" type="#_x0000_t75" stroked="false">
              <v:imagedata r:id="rId99" o:title=""/>
            </v:shape>
            <v:shape style="position:absolute;left:2527;top:6373;width:115;height:115" type="#_x0000_t75" stroked="false">
              <v:imagedata r:id="rId98" o:title=""/>
            </v:shape>
            <v:shape style="position:absolute;left:2724;top:6100;width:115;height:115" type="#_x0000_t75" stroked="false">
              <v:imagedata r:id="rId97" o:title=""/>
            </v:shape>
            <v:shape style="position:absolute;left:2918;top:6647;width:115;height:115" type="#_x0000_t75" stroked="false">
              <v:imagedata r:id="rId99" o:title=""/>
            </v:shape>
            <v:shape style="position:absolute;left:3115;top:6373;width:115;height:115" type="#_x0000_t75" stroked="false">
              <v:imagedata r:id="rId100" o:title=""/>
            </v:shape>
            <v:shape style="position:absolute;left:3312;top:6755;width:115;height:115" type="#_x0000_t75" stroked="false">
              <v:imagedata r:id="rId98" o:title=""/>
            </v:shape>
            <v:shape style="position:absolute;left:3509;top:6647;width:115;height:115" type="#_x0000_t75" stroked="false">
              <v:imagedata r:id="rId99" o:title=""/>
            </v:shape>
            <v:shape style="position:absolute;left:3705;top:6318;width:115;height:115" type="#_x0000_t75" stroked="false">
              <v:imagedata r:id="rId99" o:title=""/>
            </v:shape>
            <v:shape style="position:absolute;left:3900;top:6700;width:115;height:115" type="#_x0000_t75" stroked="false">
              <v:imagedata r:id="rId99" o:title=""/>
            </v:shape>
            <v:shape style="position:absolute;left:4097;top:6373;width:115;height:115" type="#_x0000_t75" stroked="false">
              <v:imagedata r:id="rId100" o:title=""/>
            </v:shape>
            <v:shape style="position:absolute;left:4293;top:6426;width:115;height:115" type="#_x0000_t75" stroked="false">
              <v:imagedata r:id="rId100" o:title=""/>
            </v:shape>
            <v:shape style="position:absolute;left:4490;top:6481;width:115;height:115" type="#_x0000_t75" stroked="false">
              <v:imagedata r:id="rId99" o:title=""/>
            </v:shape>
            <v:shape style="position:absolute;left:4687;top:6100;width:115;height:115" type="#_x0000_t75" stroked="false">
              <v:imagedata r:id="rId99" o:title=""/>
            </v:shape>
            <v:shape style="position:absolute;left:4884;top:6426;width:115;height:115" type="#_x0000_t75" stroked="false">
              <v:imagedata r:id="rId100" o:title=""/>
            </v:shape>
            <v:shape style="position:absolute;left:5078;top:6865;width:115;height:115" type="#_x0000_t75" stroked="false">
              <v:imagedata r:id="rId99" o:title=""/>
            </v:shape>
            <v:shape style="position:absolute;left:5275;top:6865;width:115;height:115" type="#_x0000_t75" stroked="false">
              <v:imagedata r:id="rId97" o:title=""/>
            </v:shape>
            <v:shape style="position:absolute;left:5472;top:7247;width:115;height:115" type="#_x0000_t75" stroked="false">
              <v:imagedata r:id="rId99" o:title=""/>
            </v:shape>
            <v:shape style="position:absolute;left:746;top:5381;width:4980;height:3075" coordorigin="746,5381" coordsize="4980,3075" path="m1505,7908l5628,7908m746,8455l5726,8455,5726,5381,746,5381,746,8455xe" filled="false" stroked="true" strokeweight=".72pt" strokecolor="#d9d9d9">
              <v:path arrowok="t"/>
            </v:shape>
            <v:shape style="position:absolute;left:3012;top:5964;width:360;height:377" type="#_x0000_t75" stroked="false">
              <v:imagedata r:id="rId258" o:title=""/>
            </v:shape>
            <v:shape style="position:absolute;left:2186;top:5724;width:360;height:377" type="#_x0000_t75" stroked="false">
              <v:imagedata r:id="rId259" o:title=""/>
            </v:shape>
            <v:shape style="position:absolute;left:8921;top:7421;width:360;height:374" type="#_x0000_t75" stroked="false">
              <v:imagedata r:id="rId253" o:title=""/>
            </v:shape>
            <v:shape style="position:absolute;left:8030;top:5928;width:341;height:211" type="#_x0000_t75" stroked="false">
              <v:imagedata r:id="rId260" o:title=""/>
            </v:shape>
            <v:shape style="position:absolute;left:1301;top:10006;width:4236;height:1121" coordorigin="1301,10006" coordsize="4236,1121" path="m1301,11126l5537,11126m1301,10752l2426,10752m1301,10380l5537,10380m1301,10006l5537,10006e" filled="false" stroked="true" strokeweight=".72pt" strokecolor="#d9d9d9">
              <v:path arrowok="t"/>
            </v:shape>
            <v:shape style="position:absolute;left:1402;top:9818;width:4035;height:934" coordorigin="1402,9818" coordsize="4035,934" path="m1402,10306l1603,10342,1805,10229,2006,10193,2208,10603,2410,9967,2611,10416,2813,10342,3014,10042,3216,9818,3418,10342,3619,10567,3821,10642,4022,10342,4224,10567,4428,10752,4630,10416,4831,10490,5033,10567,5234,10567,5436,10529e" filled="false" stroked="true" strokeweight="2.16pt" strokecolor="#ec7c30">
              <v:path arrowok="t"/>
            </v:shape>
            <v:shape style="position:absolute;left:1344;top:10248;width:115;height:115" type="#_x0000_t75" stroked="false">
              <v:imagedata r:id="rId261" o:title=""/>
            </v:shape>
            <v:shape style="position:absolute;left:1546;top:10284;width:115;height:115" type="#_x0000_t75" stroked="false">
              <v:imagedata r:id="rId262" o:title=""/>
            </v:shape>
            <v:shape style="position:absolute;left:1748;top:10171;width:115;height:115" type="#_x0000_t75" stroked="false">
              <v:imagedata r:id="rId262" o:title=""/>
            </v:shape>
            <v:shape style="position:absolute;left:1949;top:10135;width:115;height:115" type="#_x0000_t75" stroked="false">
              <v:imagedata r:id="rId263" o:title=""/>
            </v:shape>
            <v:shape style="position:absolute;left:2151;top:10546;width:115;height:115" type="#_x0000_t75" stroked="false">
              <v:imagedata r:id="rId98" o:title=""/>
            </v:shape>
            <v:shape style="position:absolute;left:2352;top:9910;width:115;height:115" type="#_x0000_t75" stroked="false">
              <v:imagedata r:id="rId264" o:title=""/>
            </v:shape>
            <v:shape style="position:absolute;left:2554;top:10359;width:115;height:115" type="#_x0000_t75" stroked="false">
              <v:imagedata r:id="rId264" o:title=""/>
            </v:shape>
            <v:shape style="position:absolute;left:2756;top:10284;width:115;height:115" type="#_x0000_t75" stroked="false">
              <v:imagedata r:id="rId265" o:title=""/>
            </v:shape>
            <v:shape style="position:absolute;left:2957;top:9984;width:115;height:115" type="#_x0000_t75" stroked="false">
              <v:imagedata r:id="rId265" o:title=""/>
            </v:shape>
            <v:shape style="position:absolute;left:3159;top:9761;width:115;height:115" type="#_x0000_t75" stroked="false">
              <v:imagedata r:id="rId265" o:title=""/>
            </v:shape>
            <v:shape style="position:absolute;left:3360;top:10284;width:115;height:115" type="#_x0000_t75" stroked="false">
              <v:imagedata r:id="rId264" o:title=""/>
            </v:shape>
            <v:shape style="position:absolute;left:3562;top:10510;width:115;height:115" type="#_x0000_t75" stroked="false">
              <v:imagedata r:id="rId264" o:title=""/>
            </v:shape>
            <v:shape style="position:absolute;left:3764;top:10584;width:115;height:115" type="#_x0000_t75" stroked="false">
              <v:imagedata r:id="rId264" o:title=""/>
            </v:shape>
            <v:shape style="position:absolute;left:3965;top:10284;width:115;height:115" type="#_x0000_t75" stroked="false">
              <v:imagedata r:id="rId264" o:title=""/>
            </v:shape>
            <v:shape style="position:absolute;left:4167;top:10510;width:115;height:115" type="#_x0000_t75" stroked="false">
              <v:imagedata r:id="rId264" o:title=""/>
            </v:shape>
            <v:shape style="position:absolute;left:4371;top:10695;width:115;height:115" type="#_x0000_t75" stroked="false">
              <v:imagedata r:id="rId98" o:title=""/>
            </v:shape>
            <v:shape style="position:absolute;left:4572;top:10359;width:115;height:115" type="#_x0000_t75" stroked="false">
              <v:imagedata r:id="rId264" o:title=""/>
            </v:shape>
            <v:shape style="position:absolute;left:4774;top:10433;width:115;height:115" type="#_x0000_t75" stroked="false">
              <v:imagedata r:id="rId98" o:title=""/>
            </v:shape>
            <v:shape style="position:absolute;left:4976;top:10510;width:115;height:115" type="#_x0000_t75" stroked="false">
              <v:imagedata r:id="rId265" o:title=""/>
            </v:shape>
            <v:shape style="position:absolute;left:5177;top:10510;width:115;height:115" type="#_x0000_t75" stroked="false">
              <v:imagedata r:id="rId265" o:title=""/>
            </v:shape>
            <v:shape style="position:absolute;left:5379;top:10471;width:115;height:115" type="#_x0000_t75" stroked="false">
              <v:imagedata r:id="rId265" o:title=""/>
            </v:shape>
            <v:shape style="position:absolute;left:821;top:8890;width:4935;height:3075" coordorigin="821,8890" coordsize="4935,3075" path="m1301,9631l5537,9631m1301,11501l5537,11501m821,11964l5755,11964,5755,8890,821,8890,821,11964xe" filled="false" stroked="true" strokeweight=".72pt" strokecolor="#d9d9d9">
              <v:path arrowok="t"/>
            </v:shape>
            <v:shape style="position:absolute;left:2426;top:10495;width:360;height:374" type="#_x0000_t75" stroked="false">
              <v:imagedata r:id="rId253" o:title=""/>
            </v:shape>
            <v:shape style="position:absolute;left:1330;top:13241;width:4236;height:740" coordorigin="1330,13241" coordsize="4236,740" path="m1330,13980l5566,13980m3012,13610l5566,13610m1330,13610l2652,13610m1330,13241l5566,13241e" filled="false" stroked="true" strokeweight=".72pt" strokecolor="#d9d9d9">
              <v:path arrowok="t"/>
            </v:shape>
            <v:shape style="position:absolute;left:1430;top:13056;width:4035;height:814" coordorigin="1430,13056" coordsize="4035,814" path="m1430,13610l1632,13426,1836,13536,2038,13574,2239,13351,2441,13500,2642,13056,2844,13426,3046,13166,3247,13241,3449,13351,3650,13426,3852,13685,4054,13500,4255,13574,4457,13536,4658,13500,4860,13536,5062,13685,5263,13610,5465,13870e" filled="false" stroked="true" strokeweight="2.16pt" strokecolor="#ec7c30">
              <v:path arrowok="t"/>
            </v:shape>
            <v:shape style="position:absolute;left:1372;top:13553;width:115;height:115" type="#_x0000_t75" stroked="false">
              <v:imagedata r:id="rId254" o:title=""/>
            </v:shape>
            <v:shape style="position:absolute;left:1574;top:13368;width:115;height:115" type="#_x0000_t75" stroked="false">
              <v:imagedata r:id="rId262" o:title=""/>
            </v:shape>
            <v:shape style="position:absolute;left:1778;top:13478;width:115;height:115" type="#_x0000_t75" stroked="false">
              <v:imagedata r:id="rId254" o:title=""/>
            </v:shape>
            <v:shape style="position:absolute;left:1979;top:13517;width:115;height:115" type="#_x0000_t75" stroked="false">
              <v:imagedata r:id="rId266" o:title=""/>
            </v:shape>
            <v:shape style="position:absolute;left:2181;top:13294;width:115;height:115" type="#_x0000_t75" stroked="false">
              <v:imagedata r:id="rId267" o:title=""/>
            </v:shape>
            <v:shape style="position:absolute;left:2382;top:13442;width:115;height:115" type="#_x0000_t75" stroked="false">
              <v:imagedata r:id="rId267" o:title=""/>
            </v:shape>
            <v:shape style="position:absolute;left:2584;top:12998;width:115;height:115" type="#_x0000_t75" stroked="false">
              <v:imagedata r:id="rId98" o:title=""/>
            </v:shape>
            <v:shape style="position:absolute;left:2786;top:13368;width:115;height:115" type="#_x0000_t75" stroked="false">
              <v:imagedata r:id="rId265" o:title=""/>
            </v:shape>
            <v:shape style="position:absolute;left:2987;top:13109;width:115;height:115" type="#_x0000_t75" stroked="false">
              <v:imagedata r:id="rId100" o:title=""/>
            </v:shape>
            <v:shape style="position:absolute;left:3189;top:13183;width:115;height:115" type="#_x0000_t75" stroked="false">
              <v:imagedata r:id="rId100" o:title=""/>
            </v:shape>
            <v:shape style="position:absolute;left:3390;top:13294;width:115;height:115" type="#_x0000_t75" stroked="false">
              <v:imagedata r:id="rId267" o:title=""/>
            </v:shape>
            <v:shape style="position:absolute;left:3592;top:13368;width:115;height:115" type="#_x0000_t75" stroked="false">
              <v:imagedata r:id="rId267" o:title=""/>
            </v:shape>
            <v:shape style="position:absolute;left:3794;top:13627;width:115;height:115" type="#_x0000_t75" stroked="false">
              <v:imagedata r:id="rId98" o:title=""/>
            </v:shape>
            <v:shape style="position:absolute;left:3995;top:13442;width:115;height:115" type="#_x0000_t75" stroked="false">
              <v:imagedata r:id="rId267" o:title=""/>
            </v:shape>
            <v:shape style="position:absolute;left:4197;top:13517;width:115;height:115" type="#_x0000_t75" stroked="false">
              <v:imagedata r:id="rId267" o:title=""/>
            </v:shape>
            <v:shape style="position:absolute;left:4398;top:13478;width:115;height:115" type="#_x0000_t75" stroked="false">
              <v:imagedata r:id="rId100" o:title=""/>
            </v:shape>
            <v:shape style="position:absolute;left:4600;top:13442;width:115;height:115" type="#_x0000_t75" stroked="false">
              <v:imagedata r:id="rId265" o:title=""/>
            </v:shape>
            <v:shape style="position:absolute;left:4802;top:13478;width:115;height:115" type="#_x0000_t75" stroked="false">
              <v:imagedata r:id="rId100" o:title=""/>
            </v:shape>
            <v:shape style="position:absolute;left:5003;top:13627;width:115;height:115" type="#_x0000_t75" stroked="false">
              <v:imagedata r:id="rId98" o:title=""/>
            </v:shape>
            <v:shape style="position:absolute;left:5205;top:13553;width:115;height:115" type="#_x0000_t75" stroked="false">
              <v:imagedata r:id="rId98" o:title=""/>
            </v:shape>
            <v:shape style="position:absolute;left:5406;top:13812;width:115;height:115" type="#_x0000_t75" stroked="false">
              <v:imagedata r:id="rId268" o:title=""/>
            </v:shape>
            <v:shape style="position:absolute;left:852;top:12130;width:4935;height:2686" coordorigin="852,12130" coordsize="4935,2686" path="m1330,12871l5566,12871m1330,14350l5566,14350m1330,14350l1330,14407m1531,14350l1531,14407m1733,14350l1733,14407m1937,14350l1937,14407m2138,14350l2138,14407m2340,14350l2340,14407m2542,14350l2542,14407m2743,14350l2743,14407m2945,14350l2945,14407m3146,14350l3146,14407m3348,14350l3348,14407m3550,14350l3550,14407m3751,14350l3751,14407m3953,14350l3953,14407m4154,14350l4154,14407m4356,14350l4356,14407m4558,14350l4558,14407m4759,14350l4759,14407m4961,14350l4961,14407m5162,14350l5162,14407m5364,14350l5364,14407m5566,14350l5566,14407m852,14815l5786,14815,5786,12130,852,12130,852,14815xe" filled="false" stroked="true" strokeweight=".72pt" strokecolor="#d9d9d9">
              <v:path arrowok="t"/>
            </v:shape>
            <v:shape style="position:absolute;left:2652;top:13524;width:360;height:374" type="#_x0000_t75" stroked="false">
              <v:imagedata r:id="rId269" o:title=""/>
            </v:shape>
            <v:shape style="position:absolute;left:10046;top:10375;width:360;height:374" type="#_x0000_t75" stroked="false">
              <v:imagedata r:id="rId253" o:title=""/>
            </v:shape>
            <v:rect style="position:absolute;left:518;top:1416;width:11203;height:466" filled="true" fillcolor="#ffffff" stroked="false">
              <v:fill type="solid"/>
            </v:rect>
            <w10:wrap type="none"/>
          </v:group>
        </w:pict>
      </w:r>
      <w:r>
        <w:rPr/>
        <w:pict>
          <v:group style="position:absolute;margin-left:4.183001pt;margin-top:362.279999pt;width:12.4pt;height:200.05pt;mso-position-horizontal-relative:page;mso-position-vertical-relative:page;z-index:3016" coordorigin="84,7246" coordsize="248,4001">
            <v:shape style="position:absolute;left:84;top:7246;width:247;height:4001" type="#_x0000_t75" stroked="false">
              <v:imagedata r:id="rId270" o:title=""/>
            </v:shape>
            <v:shape style="position:absolute;left:84;top:8090;width:247;height:2182" type="#_x0000_t75" stroked="false">
              <v:imagedata r:id="rId271" o:title=""/>
            </v:shape>
            <w10:wrap type="none"/>
          </v:group>
        </w:pict>
      </w:r>
      <w:r>
        <w:rPr/>
        <w:pict>
          <v:shape style="position:absolute;margin-left:321.359985pt;margin-top:72.119347pt;width:9.15pt;height:9pt;mso-position-horizontal-relative:page;mso-position-vertical-relative:paragraph;z-index:304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41</w:t>
                  </w:r>
                </w:p>
              </w:txbxContent>
            </v:textbox>
            <w10:wrap type="none"/>
          </v:shape>
        </w:pict>
      </w:r>
      <w:r>
        <w:rPr/>
        <w:pict>
          <v:shape style="position:absolute;margin-left:408.790009pt;margin-top:70.539345pt;width:5.7pt;height:10pt;mso-position-horizontal-relative:page;mso-position-vertical-relative:paragraph;z-index:3064" type="#_x0000_t202" filled="false" stroked="false">
            <v:textbox inset="0,0,0,0">
              <w:txbxContent>
                <w:p>
                  <w:pPr>
                    <w:spacing w:line="199" w:lineRule="exact" w:before="0"/>
                    <w:ind w:left="0" w:right="0" w:firstLine="0"/>
                    <w:jc w:val="left"/>
                    <w:rPr>
                      <w:rFonts w:ascii="Calibri"/>
                      <w:sz w:val="20"/>
                    </w:rPr>
                  </w:pPr>
                  <w:r>
                    <w:rPr>
                      <w:rFonts w:ascii="Calibri"/>
                      <w:w w:val="99"/>
                      <w:sz w:val="20"/>
                    </w:rPr>
                    <w:t>V</w:t>
                  </w:r>
                </w:p>
              </w:txbxContent>
            </v:textbox>
            <w10:wrap type="none"/>
          </v:shape>
        </w:pict>
      </w:r>
      <w:r>
        <w:rPr/>
        <w:pict>
          <v:shape style="position:absolute;margin-left:321.359985pt;margin-top:96.049347pt;width:9.15pt;height:56.9pt;mso-position-horizontal-relative:page;mso-position-vertical-relative:paragraph;z-index:3088"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40</w:t>
                  </w:r>
                </w:p>
                <w:p>
                  <w:pPr>
                    <w:pStyle w:val="BodyText"/>
                    <w:spacing w:before="2"/>
                    <w:rPr>
                      <w:rFonts w:ascii="Calibri"/>
                      <w:sz w:val="21"/>
                    </w:rPr>
                  </w:pPr>
                </w:p>
                <w:p>
                  <w:pPr>
                    <w:spacing w:before="0"/>
                    <w:ind w:left="0" w:right="-20" w:firstLine="0"/>
                    <w:jc w:val="left"/>
                    <w:rPr>
                      <w:rFonts w:ascii="Calibri"/>
                      <w:sz w:val="18"/>
                    </w:rPr>
                  </w:pPr>
                  <w:r>
                    <w:rPr>
                      <w:rFonts w:ascii="Calibri"/>
                      <w:color w:val="585858"/>
                      <w:sz w:val="18"/>
                    </w:rPr>
                    <w:t>39</w:t>
                  </w:r>
                </w:p>
                <w:p>
                  <w:pPr>
                    <w:pStyle w:val="BodyText"/>
                    <w:spacing w:before="2"/>
                    <w:rPr>
                      <w:rFonts w:ascii="Calibri"/>
                      <w:sz w:val="21"/>
                    </w:rPr>
                  </w:pPr>
                </w:p>
                <w:p>
                  <w:pPr>
                    <w:spacing w:line="216" w:lineRule="exact" w:before="1"/>
                    <w:ind w:left="0" w:right="-20" w:firstLine="0"/>
                    <w:jc w:val="left"/>
                    <w:rPr>
                      <w:rFonts w:ascii="Calibri"/>
                      <w:sz w:val="18"/>
                    </w:rPr>
                  </w:pPr>
                  <w:r>
                    <w:rPr>
                      <w:rFonts w:ascii="Calibri"/>
                      <w:color w:val="585858"/>
                      <w:sz w:val="18"/>
                    </w:rPr>
                    <w:t>38</w:t>
                  </w:r>
                </w:p>
              </w:txbxContent>
            </v:textbox>
            <w10:wrap type="none"/>
          </v:shape>
        </w:pict>
      </w:r>
      <w:r>
        <w:rPr/>
        <w:pict>
          <v:shape style="position:absolute;margin-left:453.820007pt;margin-top:377.540009pt;width:5.8pt;height:10pt;mso-position-horizontal-relative:page;mso-position-vertical-relative:page;z-index:3112"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w:pict>
      </w:r>
      <w:r>
        <w:rPr/>
        <w:pict>
          <v:shape style="position:absolute;margin-left:321.359985pt;margin-top:396.140015pt;width:9.15pt;height:9pt;mso-position-horizontal-relative:page;mso-position-vertical-relative:page;z-index:3136"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37</w:t>
                  </w:r>
                </w:p>
              </w:txbxContent>
            </v:textbox>
            <w10:wrap type="none"/>
          </v:shape>
        </w:pict>
      </w:r>
      <w:r>
        <w:rPr/>
        <w:pict>
          <v:shape style="position:absolute;margin-left:342.100006pt;margin-top:407.829987pt;width:228.6pt;height:9pt;mso-position-horizontal-relative:page;mso-position-vertical-relative:page;z-index:316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1   2   3   4   5   6   7   8   9  10 11 12 13 14 15 16 17 18 19 20 21</w:t>
                  </w:r>
                </w:p>
              </w:txbxContent>
            </v:textbox>
            <w10:wrap type="none"/>
          </v:shape>
        </w:pict>
      </w:r>
      <w:r>
        <w:rPr/>
        <w:pict>
          <v:shape style="position:absolute;margin-left:77.856003pt;margin-top:402.950012pt;width:203.25pt;height:9pt;mso-position-horizontal-relative:page;mso-position-vertical-relative:page;z-index:3184"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1   2   3   4  5   6   7  8  9 101112131415161718192021</w:t>
                  </w:r>
                </w:p>
              </w:txbxContent>
            </v:textbox>
            <w10:wrap type="none"/>
          </v:shape>
        </w:pict>
      </w:r>
      <w:r>
        <w:rPr/>
        <w:pict>
          <v:shape style="position:absolute;margin-left:129.020004pt;margin-top:531.280029pt;width:149.85pt;height:10pt;mso-position-horizontal-relative:page;mso-position-vertical-relative:page;z-index:3208" type="#_x0000_t202" filled="false" stroked="false">
            <v:textbox inset="0,0,0,0">
              <w:txbxContent>
                <w:p>
                  <w:pPr>
                    <w:tabs>
                      <w:tab w:pos="2996" w:val="left" w:leader="none"/>
                    </w:tabs>
                    <w:spacing w:line="199" w:lineRule="exact" w:before="0"/>
                    <w:ind w:left="0" w:right="0" w:firstLine="0"/>
                    <w:jc w:val="left"/>
                    <w:rPr>
                      <w:rFonts w:ascii="Calibri"/>
                      <w:sz w:val="20"/>
                    </w:rPr>
                  </w:pPr>
                  <w:r>
                    <w:rPr>
                      <w:rFonts w:ascii="Calibri"/>
                      <w:sz w:val="20"/>
                    </w:rPr>
                    <w:t>A  </w:t>
                  </w:r>
                  <w:r>
                    <w:rPr>
                      <w:rFonts w:ascii="Calibri"/>
                      <w:w w:val="99"/>
                      <w:sz w:val="20"/>
                      <w:u w:val="single" w:color="D9D9D9"/>
                    </w:rPr>
                    <w:t> </w:t>
                  </w:r>
                  <w:r>
                    <w:rPr>
                      <w:rFonts w:ascii="Calibri"/>
                      <w:sz w:val="20"/>
                      <w:u w:val="single" w:color="D9D9D9"/>
                    </w:rPr>
                    <w:tab/>
                  </w:r>
                </w:p>
              </w:txbxContent>
            </v:textbox>
            <w10:wrap type="none"/>
          </v:shape>
        </w:pict>
      </w:r>
      <w:r>
        <w:rPr/>
        <w:pict>
          <v:shape style="position:absolute;margin-left:323.519989pt;margin-top:485.01001pt;width:9.15pt;height:65.3500pt;mso-position-horizontal-relative:page;mso-position-vertical-relative:page;z-index:3232"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41</w:t>
                  </w:r>
                </w:p>
                <w:p>
                  <w:pPr>
                    <w:spacing w:before="155"/>
                    <w:ind w:left="0" w:right="-20" w:firstLine="0"/>
                    <w:jc w:val="left"/>
                    <w:rPr>
                      <w:rFonts w:ascii="Calibri"/>
                      <w:sz w:val="18"/>
                    </w:rPr>
                  </w:pPr>
                  <w:r>
                    <w:rPr>
                      <w:rFonts w:ascii="Calibri"/>
                      <w:color w:val="585858"/>
                      <w:sz w:val="18"/>
                    </w:rPr>
                    <w:t>40</w:t>
                  </w:r>
                </w:p>
                <w:p>
                  <w:pPr>
                    <w:spacing w:before="155"/>
                    <w:ind w:left="0" w:right="-20" w:firstLine="0"/>
                    <w:jc w:val="left"/>
                    <w:rPr>
                      <w:rFonts w:ascii="Calibri"/>
                      <w:sz w:val="18"/>
                    </w:rPr>
                  </w:pPr>
                  <w:r>
                    <w:rPr>
                      <w:rFonts w:ascii="Calibri"/>
                      <w:color w:val="585858"/>
                      <w:sz w:val="18"/>
                    </w:rPr>
                    <w:t>39</w:t>
                  </w:r>
                </w:p>
                <w:p>
                  <w:pPr>
                    <w:spacing w:line="216" w:lineRule="exact" w:before="156"/>
                    <w:ind w:left="0" w:right="-20" w:firstLine="0"/>
                    <w:jc w:val="left"/>
                    <w:rPr>
                      <w:rFonts w:ascii="Calibri"/>
                      <w:sz w:val="18"/>
                    </w:rPr>
                  </w:pPr>
                  <w:r>
                    <w:rPr>
                      <w:rFonts w:ascii="Calibri"/>
                      <w:color w:val="585858"/>
                      <w:sz w:val="18"/>
                    </w:rPr>
                    <w:t>38</w:t>
                  </w:r>
                </w:p>
              </w:txbxContent>
            </v:textbox>
            <w10:wrap type="none"/>
          </v:shape>
        </w:pict>
      </w:r>
      <w:r>
        <w:rPr/>
        <w:pict>
          <v:shape style="position:absolute;margin-left:510.100006pt;margin-top:525.280029pt;width:5.8pt;height:10pt;mso-position-horizontal-relative:page;mso-position-vertical-relative:page;z-index:3256"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w:pict>
      </w:r>
      <w:r>
        <w:rPr/>
        <w:pict>
          <v:shape style="position:absolute;margin-left:323.519989pt;margin-top:560.109985pt;width:9.15pt;height:9pt;mso-position-horizontal-relative:page;mso-position-vertical-relative:page;z-index:32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37</w:t>
                  </w:r>
                </w:p>
              </w:txbxContent>
            </v:textbox>
            <w10:wrap type="none"/>
          </v:shape>
        </w:pict>
      </w:r>
      <w:r>
        <w:rPr/>
        <w:pict>
          <v:shape style="position:absolute;margin-left:5.527996pt;margin-top:416.891571pt;width:12pt;height:91.1pt;mso-position-horizontal-relative:page;mso-position-vertical-relative:page;z-index:3304" type="#_x0000_t202" filled="false" stroked="false">
            <v:textbox inset="0,0,0,0" style="layout-flow:vertical;mso-layout-flow-alt:bottom-to-top">
              <w:txbxContent>
                <w:p>
                  <w:pPr>
                    <w:spacing w:line="223" w:lineRule="exact" w:before="0"/>
                    <w:ind w:left="20" w:right="-840" w:firstLine="0"/>
                    <w:jc w:val="left"/>
                    <w:rPr>
                      <w:rFonts w:ascii="Calibri" w:hAnsi="Calibri"/>
                      <w:sz w:val="20"/>
                    </w:rPr>
                  </w:pPr>
                  <w:r>
                    <w:rPr>
                      <w:rFonts w:ascii="Calibri" w:hAnsi="Calibri"/>
                      <w:spacing w:val="-2"/>
                      <w:w w:val="99"/>
                      <w:sz w:val="20"/>
                    </w:rPr>
                    <w:t>T</w:t>
                  </w:r>
                  <w:r>
                    <w:rPr>
                      <w:rFonts w:ascii="Calibri" w:hAnsi="Calibri"/>
                      <w:spacing w:val="1"/>
                      <w:w w:val="99"/>
                      <w:sz w:val="20"/>
                    </w:rPr>
                    <w:t>e</w:t>
                  </w:r>
                  <w:r>
                    <w:rPr>
                      <w:rFonts w:ascii="Calibri" w:hAnsi="Calibri"/>
                      <w:spacing w:val="-2"/>
                      <w:w w:val="99"/>
                      <w:sz w:val="20"/>
                    </w:rPr>
                    <w:t>m</w:t>
                  </w:r>
                  <w:r>
                    <w:rPr>
                      <w:rFonts w:ascii="Calibri" w:hAnsi="Calibri"/>
                      <w:w w:val="99"/>
                      <w:sz w:val="20"/>
                    </w:rPr>
                    <w:t>p</w:t>
                  </w:r>
                  <w:r>
                    <w:rPr>
                      <w:rFonts w:ascii="Calibri" w:hAnsi="Calibri"/>
                      <w:spacing w:val="-1"/>
                      <w:w w:val="99"/>
                      <w:sz w:val="20"/>
                    </w:rPr>
                    <w:t>e</w:t>
                  </w:r>
                  <w:r>
                    <w:rPr>
                      <w:rFonts w:ascii="Calibri" w:hAnsi="Calibri"/>
                      <w:w w:val="99"/>
                      <w:sz w:val="20"/>
                    </w:rPr>
                    <w:t>rat</w:t>
                  </w:r>
                  <w:r>
                    <w:rPr>
                      <w:rFonts w:ascii="Calibri" w:hAnsi="Calibri"/>
                      <w:spacing w:val="1"/>
                      <w:w w:val="99"/>
                      <w:sz w:val="20"/>
                    </w:rPr>
                    <w:t>u</w:t>
                  </w:r>
                  <w:r>
                    <w:rPr>
                      <w:rFonts w:ascii="Calibri" w:hAnsi="Calibri"/>
                      <w:w w:val="99"/>
                      <w:sz w:val="20"/>
                    </w:rPr>
                    <w:t>ra</w:t>
                  </w:r>
                  <w:r>
                    <w:rPr>
                      <w:rFonts w:ascii="Calibri" w:hAnsi="Calibri"/>
                      <w:sz w:val="20"/>
                    </w:rPr>
                    <w:t> </w:t>
                  </w:r>
                  <w:r>
                    <w:rPr>
                      <w:rFonts w:ascii="Calibri" w:hAnsi="Calibri"/>
                      <w:w w:val="99"/>
                      <w:sz w:val="20"/>
                    </w:rPr>
                    <w:t>°</w:t>
                  </w:r>
                  <w:r>
                    <w:rPr>
                      <w:rFonts w:ascii="Calibri" w:hAnsi="Calibri"/>
                      <w:spacing w:val="-1"/>
                      <w:sz w:val="20"/>
                    </w:rPr>
                    <w:t> </w:t>
                  </w:r>
                  <w:r>
                    <w:rPr>
                      <w:rFonts w:ascii="Calibri" w:hAnsi="Calibri"/>
                      <w:spacing w:val="-1"/>
                      <w:w w:val="99"/>
                      <w:sz w:val="20"/>
                    </w:rPr>
                    <w:t>C</w:t>
                  </w:r>
                  <w:r>
                    <w:rPr>
                      <w:rFonts w:ascii="Calibri" w:hAnsi="Calibri"/>
                      <w:spacing w:val="1"/>
                      <w:w w:val="99"/>
                      <w:sz w:val="20"/>
                    </w:rPr>
                    <w:t>e</w:t>
                  </w:r>
                  <w:r>
                    <w:rPr>
                      <w:rFonts w:ascii="Calibri" w:hAnsi="Calibri"/>
                      <w:w w:val="99"/>
                      <w:sz w:val="20"/>
                    </w:rPr>
                    <w:t>l</w:t>
                  </w:r>
                  <w:r>
                    <w:rPr>
                      <w:rFonts w:ascii="Calibri" w:hAnsi="Calibri"/>
                      <w:spacing w:val="-2"/>
                      <w:w w:val="99"/>
                      <w:sz w:val="20"/>
                    </w:rPr>
                    <w:t>s</w:t>
                  </w:r>
                  <w:r>
                    <w:rPr>
                      <w:rFonts w:ascii="Calibri" w:hAnsi="Calibri"/>
                      <w:w w:val="99"/>
                      <w:sz w:val="20"/>
                    </w:rPr>
                    <w:t>i</w:t>
                  </w:r>
                  <w:r>
                    <w:rPr>
                      <w:rFonts w:ascii="Calibri" w:hAnsi="Calibri"/>
                      <w:spacing w:val="2"/>
                      <w:w w:val="99"/>
                      <w:sz w:val="20"/>
                    </w:rPr>
                    <w:t>u</w:t>
                  </w:r>
                  <w:r>
                    <w:rPr>
                      <w:rFonts w:ascii="Calibri" w:hAnsi="Calibri"/>
                      <w:w w:val="99"/>
                      <w:sz w:val="20"/>
                    </w:rPr>
                    <w:t>s</w:t>
                  </w:r>
                </w:p>
              </w:txbxContent>
            </v:textbox>
            <w10:wrap type="none"/>
          </v:shape>
        </w:pict>
      </w:r>
      <w:r>
        <w:rPr>
          <w:rFonts w:ascii="Calibri"/>
          <w:color w:val="585858"/>
          <w:sz w:val="18"/>
        </w:rPr>
        <w:t>1  2  3   4  5  6  7  8   9 10 11 12 13 14 15 16 17 18 19</w:t>
      </w:r>
      <w:r>
        <w:rPr>
          <w:rFonts w:ascii="Calibri"/>
          <w:color w:val="585858"/>
          <w:spacing w:val="21"/>
          <w:sz w:val="18"/>
        </w:rPr>
        <w:t> </w:t>
      </w:r>
      <w:r>
        <w:rPr>
          <w:rFonts w:ascii="Calibri"/>
          <w:color w:val="585858"/>
          <w:sz w:val="18"/>
        </w:rPr>
        <w:t>20</w:t>
      </w:r>
      <w:r>
        <w:rPr>
          <w:rFonts w:ascii="Calibri"/>
          <w:color w:val="585858"/>
          <w:spacing w:val="-19"/>
          <w:sz w:val="18"/>
        </w:rPr>
        <w:t> </w:t>
      </w:r>
      <w:r>
        <w:rPr>
          <w:rFonts w:ascii="Calibri"/>
          <w:color w:val="585858"/>
          <w:sz w:val="18"/>
        </w:rPr>
        <w:t>21</w:t>
        <w:tab/>
        <w:t>1   2   3   4   5   6   7   8   9   </w:t>
      </w:r>
      <w:r>
        <w:rPr>
          <w:rFonts w:ascii="Calibri"/>
          <w:color w:val="585858"/>
          <w:spacing w:val="38"/>
          <w:sz w:val="18"/>
        </w:rPr>
        <w:t> </w:t>
      </w:r>
      <w:r>
        <w:rPr>
          <w:rFonts w:ascii="Calibri"/>
          <w:color w:val="585858"/>
          <w:sz w:val="18"/>
        </w:rPr>
        <w:t>10 11 12 13 14 15 16 17 18 19 20 21</w:t>
      </w:r>
    </w:p>
    <w:p>
      <w:pPr>
        <w:pStyle w:val="BodyText"/>
        <w:rPr>
          <w:rFonts w:ascii="Calibri"/>
          <w:sz w:val="20"/>
        </w:rPr>
      </w:pPr>
    </w:p>
    <w:p>
      <w:pPr>
        <w:pStyle w:val="BodyText"/>
        <w:rPr>
          <w:rFonts w:ascii="Calibri"/>
          <w:sz w:val="20"/>
        </w:rPr>
      </w:pPr>
    </w:p>
    <w:p>
      <w:pPr>
        <w:pStyle w:val="BodyText"/>
        <w:rPr>
          <w:rFonts w:ascii="Calibri"/>
          <w:sz w:val="20"/>
        </w:rPr>
      </w:pPr>
      <w:r>
        <w:rPr/>
        <w:pict>
          <v:shape style="position:absolute;margin-left:50.928001pt;margin-top:31.098957pt;width:16pt;height:104.8pt;mso-position-horizontal-relative:page;mso-position-vertical-relative:paragraph;z-index:2584;mso-wrap-distance-left:0;mso-wrap-distance-right:0" type="#_x0000_t202" filled="false" stroked="false">
            <v:textbox inset="0,0,0,0">
              <w:txbxContent>
                <w:p>
                  <w:pPr>
                    <w:spacing w:line="183" w:lineRule="exact" w:before="0"/>
                    <w:ind w:left="0" w:right="0" w:firstLine="0"/>
                    <w:jc w:val="center"/>
                    <w:rPr>
                      <w:rFonts w:ascii="Calibri"/>
                      <w:sz w:val="18"/>
                    </w:rPr>
                  </w:pPr>
                  <w:r>
                    <w:rPr>
                      <w:rFonts w:ascii="Calibri"/>
                      <w:color w:val="585858"/>
                      <w:sz w:val="18"/>
                    </w:rPr>
                    <w:t>40.5</w:t>
                  </w:r>
                </w:p>
                <w:p>
                  <w:pPr>
                    <w:spacing w:before="54"/>
                    <w:ind w:left="136" w:right="0" w:firstLine="0"/>
                    <w:jc w:val="center"/>
                    <w:rPr>
                      <w:rFonts w:ascii="Calibri"/>
                      <w:sz w:val="18"/>
                    </w:rPr>
                  </w:pPr>
                  <w:r>
                    <w:rPr>
                      <w:rFonts w:ascii="Calibri"/>
                      <w:color w:val="585858"/>
                      <w:sz w:val="18"/>
                    </w:rPr>
                    <w:t>40</w:t>
                  </w:r>
                </w:p>
                <w:p>
                  <w:pPr>
                    <w:spacing w:before="54"/>
                    <w:ind w:left="0" w:right="0" w:firstLine="0"/>
                    <w:jc w:val="center"/>
                    <w:rPr>
                      <w:rFonts w:ascii="Calibri"/>
                      <w:sz w:val="18"/>
                    </w:rPr>
                  </w:pPr>
                  <w:r>
                    <w:rPr>
                      <w:rFonts w:ascii="Calibri"/>
                      <w:color w:val="585858"/>
                      <w:sz w:val="18"/>
                    </w:rPr>
                    <w:t>39.5</w:t>
                  </w:r>
                </w:p>
                <w:p>
                  <w:pPr>
                    <w:spacing w:before="54"/>
                    <w:ind w:left="136" w:right="0" w:firstLine="0"/>
                    <w:jc w:val="center"/>
                    <w:rPr>
                      <w:rFonts w:ascii="Calibri"/>
                      <w:sz w:val="18"/>
                    </w:rPr>
                  </w:pPr>
                  <w:r>
                    <w:rPr>
                      <w:rFonts w:ascii="Calibri"/>
                      <w:color w:val="585858"/>
                      <w:sz w:val="18"/>
                    </w:rPr>
                    <w:t>39</w:t>
                  </w:r>
                </w:p>
                <w:p>
                  <w:pPr>
                    <w:spacing w:before="54"/>
                    <w:ind w:left="0" w:right="0" w:firstLine="0"/>
                    <w:jc w:val="center"/>
                    <w:rPr>
                      <w:rFonts w:ascii="Calibri"/>
                      <w:sz w:val="18"/>
                    </w:rPr>
                  </w:pPr>
                  <w:r>
                    <w:rPr>
                      <w:rFonts w:ascii="Calibri"/>
                      <w:color w:val="585858"/>
                      <w:sz w:val="18"/>
                    </w:rPr>
                    <w:t>38.5</w:t>
                  </w:r>
                </w:p>
                <w:p>
                  <w:pPr>
                    <w:spacing w:before="54"/>
                    <w:ind w:left="136" w:right="0" w:firstLine="0"/>
                    <w:jc w:val="center"/>
                    <w:rPr>
                      <w:rFonts w:ascii="Calibri"/>
                      <w:sz w:val="18"/>
                    </w:rPr>
                  </w:pPr>
                  <w:r>
                    <w:rPr>
                      <w:rFonts w:ascii="Calibri"/>
                      <w:color w:val="585858"/>
                      <w:sz w:val="18"/>
                    </w:rPr>
                    <w:t>38</w:t>
                  </w:r>
                </w:p>
                <w:p>
                  <w:pPr>
                    <w:spacing w:before="54"/>
                    <w:ind w:left="0" w:right="0" w:firstLine="0"/>
                    <w:jc w:val="center"/>
                    <w:rPr>
                      <w:rFonts w:ascii="Calibri"/>
                      <w:sz w:val="18"/>
                    </w:rPr>
                  </w:pPr>
                  <w:r>
                    <w:rPr>
                      <w:rFonts w:ascii="Calibri"/>
                      <w:color w:val="585858"/>
                      <w:sz w:val="18"/>
                    </w:rPr>
                    <w:t>37.5</w:t>
                  </w:r>
                </w:p>
                <w:p>
                  <w:pPr>
                    <w:spacing w:line="216" w:lineRule="exact" w:before="54"/>
                    <w:ind w:left="136" w:right="0" w:firstLine="0"/>
                    <w:jc w:val="center"/>
                    <w:rPr>
                      <w:rFonts w:ascii="Calibri"/>
                      <w:sz w:val="18"/>
                    </w:rPr>
                  </w:pPr>
                  <w:r>
                    <w:rPr>
                      <w:rFonts w:ascii="Calibri"/>
                      <w:color w:val="585858"/>
                      <w:sz w:val="18"/>
                    </w:rPr>
                    <w:t>37</w:t>
                  </w:r>
                </w:p>
              </w:txbxContent>
            </v:textbox>
            <w10:wrap type="topAndBottom"/>
          </v:shape>
        </w:pict>
      </w:r>
      <w:r>
        <w:rPr/>
        <w:pict>
          <v:shape style="position:absolute;margin-left:117.019997pt;margin-top:14.938957pt;width:166.45pt;height:35.5pt;mso-position-horizontal-relative:page;mso-position-vertical-relative:paragraph;z-index:2608;mso-wrap-distance-left:0;mso-wrap-distance-right:0" type="#_x0000_t202" filled="false" stroked="false">
            <v:textbox inset="0,0,0,0">
              <w:txbxContent>
                <w:p>
                  <w:pPr>
                    <w:spacing w:line="257" w:lineRule="exact" w:before="0"/>
                    <w:ind w:left="399" w:right="0" w:firstLine="0"/>
                    <w:jc w:val="left"/>
                    <w:rPr>
                      <w:rFonts w:ascii="Calibri"/>
                      <w:sz w:val="28"/>
                    </w:rPr>
                  </w:pPr>
                  <w:r>
                    <w:rPr>
                      <w:rFonts w:ascii="Calibri"/>
                      <w:color w:val="585858"/>
                      <w:sz w:val="28"/>
                    </w:rPr>
                    <w:t>Equino 3</w:t>
                  </w:r>
                </w:p>
                <w:p>
                  <w:pPr>
                    <w:tabs>
                      <w:tab w:pos="712" w:val="left" w:leader="none"/>
                      <w:tab w:pos="1031" w:val="left" w:leader="none"/>
                      <w:tab w:pos="3328" w:val="left" w:leader="none"/>
                    </w:tabs>
                    <w:spacing w:line="214" w:lineRule="exact" w:before="0"/>
                    <w:ind w:left="825" w:right="0" w:hanging="826"/>
                    <w:jc w:val="left"/>
                    <w:rPr>
                      <w:rFonts w:ascii="Calibri"/>
                      <w:sz w:val="20"/>
                    </w:rPr>
                  </w:pPr>
                  <w:r>
                    <w:rPr>
                      <w:rFonts w:ascii="Calibri"/>
                      <w:sz w:val="20"/>
                    </w:rPr>
                    <w:t>V </w:t>
                  </w:r>
                  <w:r>
                    <w:rPr>
                      <w:rFonts w:ascii="Calibri"/>
                      <w:spacing w:val="2"/>
                      <w:sz w:val="20"/>
                    </w:rPr>
                    <w:t> </w:t>
                  </w:r>
                  <w:r>
                    <w:rPr>
                      <w:rFonts w:ascii="Calibri"/>
                      <w:w w:val="99"/>
                      <w:sz w:val="20"/>
                      <w:u w:val="single" w:color="D9D9D9"/>
                    </w:rPr>
                    <w:t> </w:t>
                  </w:r>
                  <w:r>
                    <w:rPr>
                      <w:rFonts w:ascii="Calibri"/>
                      <w:sz w:val="20"/>
                      <w:u w:val="single" w:color="D9D9D9"/>
                    </w:rPr>
                    <w:tab/>
                  </w:r>
                  <w:r>
                    <w:rPr>
                      <w:rFonts w:ascii="Calibri"/>
                      <w:sz w:val="20"/>
                    </w:rPr>
                    <w:tab/>
                    <w:tab/>
                  </w:r>
                  <w:r>
                    <w:rPr>
                      <w:rFonts w:ascii="Calibri"/>
                      <w:w w:val="99"/>
                      <w:sz w:val="20"/>
                      <w:u w:val="single" w:color="D9D9D9"/>
                    </w:rPr>
                    <w:t> </w:t>
                  </w:r>
                  <w:r>
                    <w:rPr>
                      <w:rFonts w:ascii="Calibri"/>
                      <w:sz w:val="20"/>
                      <w:u w:val="single" w:color="D9D9D9"/>
                    </w:rPr>
                    <w:tab/>
                  </w:r>
                </w:p>
                <w:p>
                  <w:pPr>
                    <w:tabs>
                      <w:tab w:pos="3328" w:val="left" w:leader="none"/>
                    </w:tabs>
                    <w:spacing w:line="238" w:lineRule="exact" w:before="0"/>
                    <w:ind w:left="825" w:right="0" w:firstLine="0"/>
                    <w:jc w:val="left"/>
                    <w:rPr>
                      <w:rFonts w:ascii="Calibri"/>
                      <w:sz w:val="20"/>
                    </w:rPr>
                  </w:pPr>
                  <w:r>
                    <w:rPr>
                      <w:rFonts w:ascii="Calibri"/>
                      <w:sz w:val="20"/>
                    </w:rPr>
                    <w:t>A  </w:t>
                  </w:r>
                  <w:r>
                    <w:rPr>
                      <w:rFonts w:ascii="Calibri"/>
                      <w:w w:val="99"/>
                      <w:sz w:val="20"/>
                      <w:u w:val="single" w:color="D9D9D9"/>
                    </w:rPr>
                    <w:t> </w:t>
                  </w:r>
                  <w:r>
                    <w:rPr>
                      <w:rFonts w:ascii="Calibri"/>
                      <w:sz w:val="20"/>
                      <w:u w:val="single" w:color="D9D9D9"/>
                    </w:rPr>
                    <w:tab/>
                  </w:r>
                </w:p>
              </w:txbxContent>
            </v:textbox>
            <w10:wrap type="topAndBottom"/>
          </v:shape>
        </w:pict>
      </w:r>
      <w:r>
        <w:rPr/>
        <w:pict>
          <v:shape style="position:absolute;margin-left:423.980011pt;margin-top:13.448957pt;width:49.6pt;height:14.05pt;mso-position-horizontal-relative:page;mso-position-vertical-relative:paragraph;z-index:2632;mso-wrap-distance-left:0;mso-wrap-distance-right:0" type="#_x0000_t202" filled="false" stroked="false">
            <v:textbox inset="0,0,0,0">
              <w:txbxContent>
                <w:p>
                  <w:pPr>
                    <w:spacing w:line="281" w:lineRule="exact" w:before="0"/>
                    <w:ind w:left="0" w:right="-16" w:firstLine="0"/>
                    <w:jc w:val="left"/>
                    <w:rPr>
                      <w:rFonts w:ascii="Calibri"/>
                      <w:sz w:val="28"/>
                    </w:rPr>
                  </w:pPr>
                  <w:r>
                    <w:rPr>
                      <w:rFonts w:ascii="Calibri"/>
                      <w:color w:val="585858"/>
                      <w:sz w:val="28"/>
                    </w:rPr>
                    <w:t>Equino</w:t>
                  </w:r>
                  <w:r>
                    <w:rPr>
                      <w:rFonts w:ascii="Calibri"/>
                      <w:color w:val="585858"/>
                      <w:spacing w:val="-8"/>
                      <w:sz w:val="28"/>
                    </w:rPr>
                    <w:t> </w:t>
                  </w:r>
                  <w:r>
                    <w:rPr>
                      <w:rFonts w:ascii="Calibri"/>
                      <w:color w:val="585858"/>
                      <w:sz w:val="28"/>
                    </w:rPr>
                    <w:t>4</w:t>
                  </w:r>
                </w:p>
              </w:txbxContent>
            </v:textbox>
            <w10:wrap type="topAndBottom"/>
          </v:shap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6"/>
        </w:rPr>
      </w:pPr>
      <w:r>
        <w:rPr/>
        <w:pict>
          <v:shape style="position:absolute;margin-left:139.679993pt;margin-top:17.238907pt;width:49.6pt;height:14.05pt;mso-position-horizontal-relative:page;mso-position-vertical-relative:paragraph;z-index:2656;mso-wrap-distance-left:0;mso-wrap-distance-right:0" type="#_x0000_t202" filled="false" stroked="false">
            <v:textbox inset="0,0,0,0">
              <w:txbxContent>
                <w:p>
                  <w:pPr>
                    <w:spacing w:line="281" w:lineRule="exact" w:before="0"/>
                    <w:ind w:left="0" w:right="-16" w:firstLine="0"/>
                    <w:jc w:val="left"/>
                    <w:rPr>
                      <w:rFonts w:ascii="Calibri"/>
                      <w:sz w:val="28"/>
                    </w:rPr>
                  </w:pPr>
                  <w:r>
                    <w:rPr>
                      <w:rFonts w:ascii="Calibri"/>
                      <w:color w:val="585858"/>
                      <w:sz w:val="28"/>
                    </w:rPr>
                    <w:t>Equino</w:t>
                  </w:r>
                  <w:r>
                    <w:rPr>
                      <w:rFonts w:ascii="Calibri"/>
                      <w:color w:val="585858"/>
                      <w:spacing w:val="-8"/>
                      <w:sz w:val="28"/>
                    </w:rPr>
                    <w:t> </w:t>
                  </w:r>
                  <w:r>
                    <w:rPr>
                      <w:rFonts w:ascii="Calibri"/>
                      <w:color w:val="585858"/>
                      <w:sz w:val="28"/>
                    </w:rPr>
                    <w:t>5</w:t>
                  </w:r>
                </w:p>
              </w:txbxContent>
            </v:textbox>
            <w10:wrap type="topAndBottom"/>
          </v:shape>
        </w:pict>
      </w:r>
      <w:r>
        <w:rPr/>
        <w:pict>
          <v:shape style="position:absolute;margin-left:323.519989pt;margin-top:28.608906pt;width:9.15pt;height:9pt;mso-position-horizontal-relative:page;mso-position-vertical-relative:paragraph;z-index:2680;mso-wrap-distance-left:0;mso-wrap-distance-right: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42</w:t>
                  </w:r>
                </w:p>
              </w:txbxContent>
            </v:textbox>
            <w10:wrap type="topAndBottom"/>
          </v:shape>
        </w:pict>
      </w:r>
      <w:r>
        <w:rPr/>
        <w:pict>
          <v:shape style="position:absolute;margin-left:340.920013pt;margin-top:17.238907pt;width:231.85pt;height:14.05pt;mso-position-horizontal-relative:page;mso-position-vertical-relative:paragraph;z-index:2704;mso-wrap-distance-left:0;mso-wrap-distance-right:0" type="#_x0000_t202" filled="false" stroked="false">
            <v:textbox inset="0,0,0,0">
              <w:txbxContent>
                <w:p>
                  <w:pPr>
                    <w:tabs>
                      <w:tab w:pos="1616" w:val="left" w:leader="none"/>
                      <w:tab w:pos="4636" w:val="left" w:leader="none"/>
                    </w:tabs>
                    <w:spacing w:line="281" w:lineRule="exact" w:before="0"/>
                    <w:ind w:left="0" w:right="0" w:firstLine="0"/>
                    <w:jc w:val="left"/>
                    <w:rPr>
                      <w:rFonts w:ascii="Calibri"/>
                      <w:sz w:val="28"/>
                    </w:rPr>
                  </w:pPr>
                  <w:r>
                    <w:rPr>
                      <w:rFonts w:ascii="Calibri"/>
                      <w:color w:val="585858"/>
                      <w:w w:val="100"/>
                      <w:sz w:val="28"/>
                      <w:u w:val="single" w:color="D9D9D9"/>
                    </w:rPr>
                    <w:t> </w:t>
                  </w:r>
                  <w:r>
                    <w:rPr>
                      <w:rFonts w:ascii="Calibri"/>
                      <w:color w:val="585858"/>
                      <w:sz w:val="28"/>
                      <w:u w:val="single" w:color="D9D9D9"/>
                    </w:rPr>
                    <w:tab/>
                    <w:t>Equino</w:t>
                  </w:r>
                  <w:r>
                    <w:rPr>
                      <w:rFonts w:ascii="Calibri"/>
                      <w:color w:val="585858"/>
                      <w:spacing w:val="-8"/>
                      <w:sz w:val="28"/>
                      <w:u w:val="single" w:color="D9D9D9"/>
                    </w:rPr>
                    <w:t> </w:t>
                  </w:r>
                  <w:r>
                    <w:rPr>
                      <w:rFonts w:ascii="Calibri"/>
                      <w:color w:val="585858"/>
                      <w:sz w:val="28"/>
                      <w:u w:val="single" w:color="D9D9D9"/>
                    </w:rPr>
                    <w:t>6</w:t>
                    <w:tab/>
                  </w:r>
                </w:p>
              </w:txbxContent>
            </v:textbox>
            <w10:wrap type="topAndBottom"/>
          </v:shape>
        </w:pict>
      </w:r>
      <w:r>
        <w:rPr/>
        <w:pict>
          <v:shape style="position:absolute;margin-left:47.568001pt;margin-top:39.818905pt;width:9.15pt;height:83.8pt;mso-position-horizontal-relative:page;mso-position-vertical-relative:paragraph;z-index:2728;mso-wrap-distance-left:0;mso-wrap-distance-right: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40</w:t>
                  </w:r>
                </w:p>
                <w:p>
                  <w:pPr>
                    <w:spacing w:before="154"/>
                    <w:ind w:left="0" w:right="-20" w:firstLine="0"/>
                    <w:jc w:val="left"/>
                    <w:rPr>
                      <w:rFonts w:ascii="Calibri"/>
                      <w:sz w:val="18"/>
                    </w:rPr>
                  </w:pPr>
                  <w:r>
                    <w:rPr>
                      <w:rFonts w:ascii="Calibri"/>
                      <w:color w:val="585858"/>
                      <w:sz w:val="18"/>
                    </w:rPr>
                    <w:t>39</w:t>
                  </w:r>
                </w:p>
                <w:p>
                  <w:pPr>
                    <w:spacing w:before="154"/>
                    <w:ind w:left="0" w:right="-20" w:firstLine="0"/>
                    <w:jc w:val="left"/>
                    <w:rPr>
                      <w:rFonts w:ascii="Calibri"/>
                      <w:sz w:val="18"/>
                    </w:rPr>
                  </w:pPr>
                  <w:r>
                    <w:rPr>
                      <w:rFonts w:ascii="Calibri"/>
                      <w:color w:val="585858"/>
                      <w:sz w:val="18"/>
                    </w:rPr>
                    <w:t>38</w:t>
                  </w:r>
                </w:p>
                <w:p>
                  <w:pPr>
                    <w:spacing w:before="154"/>
                    <w:ind w:left="0" w:right="-20" w:firstLine="0"/>
                    <w:jc w:val="left"/>
                    <w:rPr>
                      <w:rFonts w:ascii="Calibri"/>
                      <w:sz w:val="18"/>
                    </w:rPr>
                  </w:pPr>
                  <w:r>
                    <w:rPr>
                      <w:rFonts w:ascii="Calibri"/>
                      <w:color w:val="585858"/>
                      <w:sz w:val="18"/>
                    </w:rPr>
                    <w:t>37</w:t>
                  </w:r>
                </w:p>
                <w:p>
                  <w:pPr>
                    <w:spacing w:line="216" w:lineRule="exact" w:before="154"/>
                    <w:ind w:left="0" w:right="-20" w:firstLine="0"/>
                    <w:jc w:val="left"/>
                    <w:rPr>
                      <w:rFonts w:ascii="Calibri"/>
                      <w:sz w:val="18"/>
                    </w:rPr>
                  </w:pPr>
                  <w:r>
                    <w:rPr>
                      <w:rFonts w:ascii="Calibri"/>
                      <w:color w:val="585858"/>
                      <w:sz w:val="18"/>
                    </w:rPr>
                    <w:t>36</w:t>
                  </w:r>
                </w:p>
              </w:txbxContent>
            </v:textbox>
            <w10:wrap type="topAndBottom"/>
          </v:shape>
        </w:pict>
      </w:r>
      <w:r>
        <w:rPr/>
        <w:pict>
          <v:shape style="position:absolute;margin-left:47.568001pt;margin-top:133.298904pt;width:9.15pt;height:9pt;mso-position-horizontal-relative:page;mso-position-vertical-relative:paragraph;z-index:2752;mso-wrap-distance-left:0;mso-wrap-distance-right: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35</w:t>
                  </w:r>
                </w:p>
              </w:txbxContent>
            </v:textbox>
            <w10:wrap type="topAndBottom"/>
          </v:shape>
        </w:pict>
      </w:r>
      <w:r>
        <w:rPr/>
        <w:pict>
          <v:shape style="position:absolute;margin-left:344.230011pt;margin-top:134.208908pt;width:227.65pt;height:9pt;mso-position-horizontal-relative:page;mso-position-vertical-relative:paragraph;z-index:2776;mso-wrap-distance-left:0;mso-wrap-distance-right: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1   2   3   4   5   6   7   8   9  10 11 12 13 14 15 16 17 18 19 20 21</w:t>
                  </w:r>
                </w:p>
              </w:txbxContent>
            </v:textbox>
            <w10:wrap type="topAndBottom"/>
          </v:shape>
        </w:pict>
      </w:r>
    </w:p>
    <w:p>
      <w:pPr>
        <w:pStyle w:val="BodyText"/>
        <w:spacing w:before="8"/>
        <w:rPr>
          <w:rFonts w:ascii="Calibri"/>
          <w:sz w:val="12"/>
        </w:rPr>
      </w:pPr>
    </w:p>
    <w:p>
      <w:pPr>
        <w:pStyle w:val="BodyText"/>
        <w:spacing w:line="180" w:lineRule="exact"/>
        <w:ind w:left="1356"/>
        <w:rPr>
          <w:rFonts w:ascii="Calibri"/>
          <w:sz w:val="18"/>
        </w:rPr>
      </w:pPr>
      <w:r>
        <w:rPr>
          <w:rFonts w:ascii="Calibri"/>
          <w:position w:val="-3"/>
          <w:sz w:val="18"/>
        </w:rPr>
        <w:pict>
          <v:shape style="width:208.6pt;height:9pt;mso-position-horizontal-relative:char;mso-position-vertical-relative:line" type="#_x0000_t202" filled="false" stroked="false">
            <w10:anchorlock/>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1  2  3  4  5  6  7  8  9 10 11 12 13 14 15 16 17 18 19 20 21</w:t>
                  </w:r>
                </w:p>
              </w:txbxContent>
            </v:textbox>
          </v:shape>
        </w:pict>
      </w:r>
      <w:r>
        <w:rPr>
          <w:rFonts w:ascii="Calibri"/>
          <w:position w:val="-3"/>
          <w:sz w:val="18"/>
        </w:rPr>
      </w:r>
    </w:p>
    <w:p>
      <w:pPr>
        <w:pStyle w:val="BodyText"/>
        <w:rPr>
          <w:rFonts w:ascii="Calibri"/>
          <w:sz w:val="20"/>
        </w:rPr>
      </w:pPr>
    </w:p>
    <w:p>
      <w:pPr>
        <w:pStyle w:val="BodyText"/>
        <w:spacing w:before="1"/>
        <w:rPr>
          <w:rFonts w:ascii="Calibri"/>
          <w:sz w:val="21"/>
        </w:rPr>
      </w:pPr>
      <w:r>
        <w:rPr/>
        <w:pict>
          <v:shape style="position:absolute;margin-left:141.190002pt;margin-top:14.072968pt;width:49.6pt;height:14.05pt;mso-position-horizontal-relative:page;mso-position-vertical-relative:paragraph;z-index:2824;mso-wrap-distance-left:0;mso-wrap-distance-right:0" type="#_x0000_t202" filled="false" stroked="false">
            <v:textbox inset="0,0,0,0">
              <w:txbxContent>
                <w:p>
                  <w:pPr>
                    <w:spacing w:line="281" w:lineRule="exact" w:before="0"/>
                    <w:ind w:left="0" w:right="-16" w:firstLine="0"/>
                    <w:jc w:val="left"/>
                    <w:rPr>
                      <w:rFonts w:ascii="Calibri"/>
                      <w:sz w:val="28"/>
                    </w:rPr>
                  </w:pPr>
                  <w:r>
                    <w:rPr>
                      <w:rFonts w:ascii="Calibri"/>
                      <w:color w:val="585858"/>
                      <w:sz w:val="28"/>
                    </w:rPr>
                    <w:t>Equino</w:t>
                  </w:r>
                  <w:r>
                    <w:rPr>
                      <w:rFonts w:ascii="Calibri"/>
                      <w:color w:val="585858"/>
                      <w:spacing w:val="-8"/>
                      <w:sz w:val="28"/>
                    </w:rPr>
                    <w:t> </w:t>
                  </w:r>
                  <w:r>
                    <w:rPr>
                      <w:rFonts w:ascii="Calibri"/>
                      <w:color w:val="585858"/>
                      <w:sz w:val="28"/>
                    </w:rPr>
                    <w:t>7</w:t>
                  </w:r>
                </w:p>
              </w:txbxContent>
            </v:textbox>
            <w10:wrap type="topAndBottom"/>
          </v:shape>
        </w:pict>
      </w:r>
      <w:r>
        <w:rPr/>
        <w:pict>
          <v:shape style="position:absolute;margin-left:49.080002pt;margin-top:36.67297pt;width:9.15pt;height:46pt;mso-position-horizontal-relative:page;mso-position-vertical-relative:paragraph;z-index:2848;mso-wrap-distance-left:0;mso-wrap-distance-right: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41</w:t>
                  </w:r>
                </w:p>
                <w:p>
                  <w:pPr>
                    <w:spacing w:before="150"/>
                    <w:ind w:left="0" w:right="-20" w:firstLine="0"/>
                    <w:jc w:val="left"/>
                    <w:rPr>
                      <w:rFonts w:ascii="Calibri"/>
                      <w:sz w:val="18"/>
                    </w:rPr>
                  </w:pPr>
                  <w:r>
                    <w:rPr>
                      <w:rFonts w:ascii="Calibri"/>
                      <w:color w:val="585858"/>
                      <w:sz w:val="18"/>
                    </w:rPr>
                    <w:t>40</w:t>
                  </w:r>
                </w:p>
                <w:p>
                  <w:pPr>
                    <w:spacing w:line="216" w:lineRule="exact" w:before="150"/>
                    <w:ind w:left="0" w:right="-20" w:firstLine="0"/>
                    <w:jc w:val="left"/>
                    <w:rPr>
                      <w:rFonts w:ascii="Calibri"/>
                      <w:sz w:val="18"/>
                    </w:rPr>
                  </w:pPr>
                  <w:r>
                    <w:rPr>
                      <w:rFonts w:ascii="Calibri"/>
                      <w:color w:val="585858"/>
                      <w:sz w:val="18"/>
                    </w:rPr>
                    <w:t>39</w:t>
                  </w:r>
                </w:p>
              </w:txbxContent>
            </v:textbox>
            <w10:wrap type="topAndBottom"/>
          </v:shape>
        </w:pict>
      </w:r>
      <w:r>
        <w:rPr/>
        <w:pict>
          <v:shape style="position:absolute;margin-left:140.300003pt;margin-top:80.092972pt;width:5.8pt;height:10pt;mso-position-horizontal-relative:page;mso-position-vertical-relative:paragraph;z-index:2872;mso-wrap-distance-left:0;mso-wrap-distance-right:0"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topAndBottom"/>
          </v:shape>
        </w:pict>
      </w:r>
    </w:p>
    <w:p>
      <w:pPr>
        <w:pStyle w:val="BodyText"/>
        <w:spacing w:before="10"/>
        <w:rPr>
          <w:rFonts w:ascii="Calibri"/>
          <w:sz w:val="10"/>
        </w:rPr>
      </w:pPr>
    </w:p>
    <w:p>
      <w:pPr>
        <w:pStyle w:val="BodyText"/>
        <w:spacing w:before="2"/>
        <w:rPr>
          <w:rFonts w:ascii="Calibri"/>
          <w:sz w:val="2"/>
        </w:rPr>
      </w:pPr>
    </w:p>
    <w:p>
      <w:pPr>
        <w:pStyle w:val="BodyText"/>
        <w:ind w:left="981"/>
        <w:rPr>
          <w:rFonts w:ascii="Calibri"/>
          <w:sz w:val="20"/>
        </w:rPr>
      </w:pPr>
      <w:r>
        <w:rPr>
          <w:rFonts w:ascii="Calibri"/>
          <w:sz w:val="20"/>
        </w:rPr>
        <w:pict>
          <v:shape style="width:9.15pt;height:27.55pt;mso-position-horizontal-relative:char;mso-position-vertical-relative:line" type="#_x0000_t202" filled="false" stroked="false">
            <w10:anchorlock/>
            <v:textbox inset="0,0,0,0">
              <w:txbxContent>
                <w:p>
                  <w:pPr>
                    <w:spacing w:line="183" w:lineRule="exact" w:before="0"/>
                    <w:ind w:left="0" w:right="-20" w:firstLine="0"/>
                    <w:jc w:val="left"/>
                    <w:rPr>
                      <w:rFonts w:ascii="Calibri"/>
                      <w:sz w:val="18"/>
                    </w:rPr>
                  </w:pPr>
                  <w:r>
                    <w:rPr>
                      <w:rFonts w:ascii="Calibri"/>
                      <w:color w:val="585858"/>
                      <w:sz w:val="18"/>
                    </w:rPr>
                    <w:t>38</w:t>
                  </w:r>
                </w:p>
                <w:p>
                  <w:pPr>
                    <w:spacing w:line="216" w:lineRule="exact" w:before="150"/>
                    <w:ind w:left="0" w:right="-20" w:firstLine="0"/>
                    <w:jc w:val="left"/>
                    <w:rPr>
                      <w:rFonts w:ascii="Calibri"/>
                      <w:sz w:val="18"/>
                    </w:rPr>
                  </w:pPr>
                  <w:r>
                    <w:rPr>
                      <w:rFonts w:ascii="Calibri"/>
                      <w:color w:val="585858"/>
                      <w:sz w:val="18"/>
                    </w:rPr>
                    <w:t>37</w:t>
                  </w:r>
                </w:p>
              </w:txbxContent>
            </v:textbox>
          </v:shape>
        </w:pict>
      </w:r>
      <w:r>
        <w:rPr>
          <w:rFonts w:ascii="Calibri"/>
          <w:sz w:val="20"/>
        </w:rPr>
      </w:r>
    </w:p>
    <w:p>
      <w:pPr>
        <w:pStyle w:val="BodyText"/>
        <w:spacing w:before="4"/>
        <w:rPr>
          <w:rFonts w:ascii="Calibri"/>
          <w:sz w:val="4"/>
        </w:rPr>
      </w:pPr>
    </w:p>
    <w:p>
      <w:pPr>
        <w:pStyle w:val="BodyText"/>
        <w:spacing w:line="180" w:lineRule="exact"/>
        <w:ind w:left="1386"/>
        <w:rPr>
          <w:rFonts w:ascii="Calibri"/>
          <w:sz w:val="18"/>
        </w:rPr>
      </w:pPr>
      <w:r>
        <w:rPr>
          <w:rFonts w:ascii="Calibri"/>
          <w:position w:val="-3"/>
          <w:sz w:val="18"/>
        </w:rPr>
        <w:pict>
          <v:shape style="width:208.6pt;height:9pt;mso-position-horizontal-relative:char;mso-position-vertical-relative:line" type="#_x0000_t202" filled="false" stroked="false">
            <w10:anchorlock/>
            <v:textbox inset="0,0,0,0">
              <w:txbxContent>
                <w:p>
                  <w:pPr>
                    <w:spacing w:line="180" w:lineRule="exact" w:before="0"/>
                    <w:ind w:left="0" w:right="0" w:firstLine="0"/>
                    <w:jc w:val="left"/>
                    <w:rPr>
                      <w:rFonts w:ascii="Calibri"/>
                      <w:sz w:val="18"/>
                    </w:rPr>
                  </w:pPr>
                  <w:r>
                    <w:rPr>
                      <w:rFonts w:ascii="Calibri"/>
                      <w:color w:val="585858"/>
                      <w:sz w:val="18"/>
                    </w:rPr>
                    <w:t>1  2  3  4  5  6  7  8  9 10 11 12 13 14 15 16 17 18 19 20 21</w:t>
                  </w:r>
                </w:p>
              </w:txbxContent>
            </v:textbox>
          </v:shape>
        </w:pict>
      </w:r>
      <w:r>
        <w:rPr>
          <w:rFonts w:ascii="Calibri"/>
          <w:position w:val="-3"/>
          <w:sz w:val="18"/>
        </w:rPr>
      </w:r>
    </w:p>
    <w:p>
      <w:pPr>
        <w:pStyle w:val="BodyText"/>
        <w:rPr>
          <w:rFonts w:ascii="Calibri"/>
          <w:sz w:val="20"/>
        </w:rPr>
      </w:pPr>
    </w:p>
    <w:p>
      <w:pPr>
        <w:pStyle w:val="BodyText"/>
        <w:rPr>
          <w:rFonts w:ascii="Calibri"/>
          <w:sz w:val="20"/>
        </w:rPr>
      </w:pPr>
    </w:p>
    <w:p>
      <w:pPr>
        <w:pStyle w:val="BodyText"/>
        <w:spacing w:before="6"/>
        <w:rPr>
          <w:rFonts w:ascii="Calibri"/>
          <w:sz w:val="23"/>
        </w:rPr>
      </w:pPr>
      <w:r>
        <w:rPr/>
        <w:pict>
          <v:group style="position:absolute;margin-left:232.080002pt;margin-top:16.333828pt;width:199.95pt;height:12.45pt;mso-position-horizontal-relative:page;mso-position-vertical-relative:paragraph;z-index:2968;mso-wrap-distance-left:0;mso-wrap-distance-right:0" coordorigin="4642,327" coordsize="3999,249">
            <v:shape style="position:absolute;left:4642;top:327;width:3998;height:247" type="#_x0000_t75" stroked="false">
              <v:imagedata r:id="rId272" o:title=""/>
            </v:shape>
            <v:shape style="position:absolute;left:5717;top:327;width:2028;height:247" type="#_x0000_t75" stroked="false">
              <v:imagedata r:id="rId273" o:title=""/>
            </v:shape>
            <v:shape style="position:absolute;left:4642;top:327;width:3999;height:249" type="#_x0000_t202" filled="false" stroked="false">
              <v:textbox inset="0,0,0,0">
                <w:txbxContent>
                  <w:p>
                    <w:pPr>
                      <w:spacing w:line="240" w:lineRule="exact" w:before="8"/>
                      <w:ind w:left="1210" w:right="0" w:firstLine="0"/>
                      <w:jc w:val="left"/>
                      <w:rPr>
                        <w:rFonts w:ascii="Calibri" w:hAnsi="Calibri"/>
                        <w:sz w:val="20"/>
                      </w:rPr>
                    </w:pPr>
                    <w:r>
                      <w:rPr>
                        <w:rFonts w:ascii="Calibri" w:hAnsi="Calibri"/>
                        <w:sz w:val="20"/>
                      </w:rPr>
                      <w:t>Días pos exposición</w:t>
                    </w:r>
                  </w:p>
                </w:txbxContent>
              </v:textbox>
              <w10:wrap type="none"/>
            </v:shape>
            <w10:wrap type="topAndBottom"/>
          </v:group>
        </w:pict>
      </w:r>
    </w:p>
    <w:p>
      <w:pPr>
        <w:spacing w:after="0"/>
        <w:rPr>
          <w:rFonts w:ascii="Calibri"/>
          <w:sz w:val="23"/>
        </w:rPr>
        <w:sectPr>
          <w:type w:val="continuous"/>
          <w:pgSz w:w="12240" w:h="15840"/>
          <w:pgMar w:top="1420" w:bottom="280" w:left="0" w:right="580"/>
        </w:sectPr>
      </w:pPr>
    </w:p>
    <w:p>
      <w:pPr>
        <w:pStyle w:val="Heading4"/>
        <w:numPr>
          <w:ilvl w:val="0"/>
          <w:numId w:val="13"/>
        </w:numPr>
        <w:tabs>
          <w:tab w:pos="4103" w:val="left" w:leader="none"/>
        </w:tabs>
        <w:spacing w:line="240" w:lineRule="auto" w:before="54" w:after="0"/>
        <w:ind w:left="4102" w:right="0" w:hanging="496"/>
        <w:jc w:val="left"/>
      </w:pPr>
      <w:r>
        <w:rPr/>
        <w:t>DISCUSIÓN</w:t>
      </w:r>
    </w:p>
    <w:p>
      <w:pPr>
        <w:pStyle w:val="BodyText"/>
        <w:rPr>
          <w:b/>
        </w:rPr>
      </w:pPr>
    </w:p>
    <w:p>
      <w:pPr>
        <w:pStyle w:val="BodyText"/>
        <w:rPr>
          <w:b/>
        </w:rPr>
      </w:pPr>
    </w:p>
    <w:p>
      <w:pPr>
        <w:pStyle w:val="BodyText"/>
        <w:spacing w:line="360" w:lineRule="auto"/>
        <w:ind w:left="102" w:right="120"/>
        <w:jc w:val="both"/>
        <w:rPr>
          <w:sz w:val="16"/>
        </w:rPr>
      </w:pPr>
      <w:r>
        <w:rPr/>
        <w:t>La actividad de la EEV en México se conoció desde 1962 cuando ocurrió un brote de encefalitis en seres humanos en Champotón Campeche, donde un total de 13 casos</w:t>
      </w:r>
      <w:r>
        <w:rPr>
          <w:spacing w:val="-9"/>
        </w:rPr>
        <w:t> </w:t>
      </w:r>
      <w:r>
        <w:rPr/>
        <w:t>humanos</w:t>
      </w:r>
      <w:r>
        <w:rPr>
          <w:spacing w:val="-12"/>
        </w:rPr>
        <w:t> </w:t>
      </w:r>
      <w:r>
        <w:rPr/>
        <w:t>fueron</w:t>
      </w:r>
      <w:r>
        <w:rPr>
          <w:spacing w:val="-10"/>
        </w:rPr>
        <w:t> </w:t>
      </w:r>
      <w:r>
        <w:rPr/>
        <w:t>detectados</w:t>
      </w:r>
      <w:r>
        <w:rPr>
          <w:spacing w:val="-12"/>
        </w:rPr>
        <w:t> </w:t>
      </w:r>
      <w:r>
        <w:rPr/>
        <w:t>por</w:t>
      </w:r>
      <w:r>
        <w:rPr>
          <w:spacing w:val="-10"/>
        </w:rPr>
        <w:t> </w:t>
      </w:r>
      <w:r>
        <w:rPr/>
        <w:t>serología;</w:t>
      </w:r>
      <w:r>
        <w:rPr>
          <w:spacing w:val="-9"/>
        </w:rPr>
        <w:t> </w:t>
      </w:r>
      <w:r>
        <w:rPr/>
        <w:t>cinco</w:t>
      </w:r>
      <w:r>
        <w:rPr>
          <w:spacing w:val="-8"/>
        </w:rPr>
        <w:t> </w:t>
      </w:r>
      <w:r>
        <w:rPr/>
        <w:t>pacientes</w:t>
      </w:r>
      <w:r>
        <w:rPr>
          <w:spacing w:val="-12"/>
        </w:rPr>
        <w:t> </w:t>
      </w:r>
      <w:r>
        <w:rPr/>
        <w:t>murieron</w:t>
      </w:r>
      <w:r>
        <w:rPr>
          <w:spacing w:val="-8"/>
        </w:rPr>
        <w:t> </w:t>
      </w:r>
      <w:r>
        <w:rPr/>
        <w:t>(38%</w:t>
      </w:r>
      <w:r>
        <w:rPr>
          <w:spacing w:val="-9"/>
        </w:rPr>
        <w:t> </w:t>
      </w:r>
      <w:r>
        <w:rPr/>
        <w:t>de fatalidad) y tres presentaron secuelas neurológicas.</w:t>
      </w:r>
      <w:r>
        <w:rPr>
          <w:spacing w:val="-15"/>
        </w:rPr>
        <w:t> </w:t>
      </w:r>
      <w:r>
        <w:rPr>
          <w:position w:val="8"/>
          <w:sz w:val="16"/>
        </w:rPr>
        <w:t>(138,139)</w:t>
      </w:r>
    </w:p>
    <w:p>
      <w:pPr>
        <w:pStyle w:val="BodyText"/>
        <w:spacing w:line="360" w:lineRule="auto"/>
        <w:ind w:left="102" w:right="116"/>
        <w:jc w:val="both"/>
      </w:pPr>
      <w:r>
        <w:rPr/>
        <w:t>Estudios</w:t>
      </w:r>
      <w:r>
        <w:rPr>
          <w:spacing w:val="-18"/>
        </w:rPr>
        <w:t> </w:t>
      </w:r>
      <w:r>
        <w:rPr/>
        <w:t>realizados</w:t>
      </w:r>
      <w:r>
        <w:rPr>
          <w:spacing w:val="-19"/>
        </w:rPr>
        <w:t> </w:t>
      </w:r>
      <w:r>
        <w:rPr/>
        <w:t>entre</w:t>
      </w:r>
      <w:r>
        <w:rPr>
          <w:spacing w:val="-16"/>
        </w:rPr>
        <w:t> </w:t>
      </w:r>
      <w:r>
        <w:rPr/>
        <w:t>1962-1964</w:t>
      </w:r>
      <w:r>
        <w:rPr>
          <w:spacing w:val="-18"/>
        </w:rPr>
        <w:t> </w:t>
      </w:r>
      <w:r>
        <w:rPr/>
        <w:t>en</w:t>
      </w:r>
      <w:r>
        <w:rPr>
          <w:spacing w:val="-18"/>
        </w:rPr>
        <w:t> </w:t>
      </w:r>
      <w:r>
        <w:rPr/>
        <w:t>el</w:t>
      </w:r>
      <w:r>
        <w:rPr>
          <w:spacing w:val="-19"/>
        </w:rPr>
        <w:t> </w:t>
      </w:r>
      <w:r>
        <w:rPr/>
        <w:t>sureste</w:t>
      </w:r>
      <w:r>
        <w:rPr>
          <w:spacing w:val="-18"/>
        </w:rPr>
        <w:t> </w:t>
      </w:r>
      <w:r>
        <w:rPr/>
        <w:t>de</w:t>
      </w:r>
      <w:r>
        <w:rPr>
          <w:spacing w:val="-18"/>
        </w:rPr>
        <w:t> </w:t>
      </w:r>
      <w:r>
        <w:rPr/>
        <w:t>la</w:t>
      </w:r>
      <w:r>
        <w:rPr>
          <w:spacing w:val="-16"/>
        </w:rPr>
        <w:t> </w:t>
      </w:r>
      <w:r>
        <w:rPr/>
        <w:t>costa</w:t>
      </w:r>
      <w:r>
        <w:rPr>
          <w:spacing w:val="-17"/>
        </w:rPr>
        <w:t> </w:t>
      </w:r>
      <w:r>
        <w:rPr/>
        <w:t>del</w:t>
      </w:r>
      <w:r>
        <w:rPr>
          <w:spacing w:val="-19"/>
        </w:rPr>
        <w:t> </w:t>
      </w:r>
      <w:r>
        <w:rPr/>
        <w:t>Golfo,</w:t>
      </w:r>
      <w:r>
        <w:rPr>
          <w:spacing w:val="-16"/>
        </w:rPr>
        <w:t> </w:t>
      </w:r>
      <w:r>
        <w:rPr/>
        <w:t>que</w:t>
      </w:r>
      <w:r>
        <w:rPr>
          <w:spacing w:val="-18"/>
        </w:rPr>
        <w:t> </w:t>
      </w:r>
      <w:r>
        <w:rPr/>
        <w:t>incluían los estados de Quintana Roo, Yucatán, Tabasco y Veracruz, identificaron seropositividad para EEV en humanos del 3% de 770 individuos</w:t>
      </w:r>
      <w:r>
        <w:rPr>
          <w:spacing w:val="-27"/>
        </w:rPr>
        <w:t> </w:t>
      </w:r>
      <w:r>
        <w:rPr/>
        <w:t>muestreados.</w:t>
      </w:r>
    </w:p>
    <w:p>
      <w:pPr>
        <w:pStyle w:val="BodyText"/>
        <w:spacing w:line="360" w:lineRule="auto" w:before="5"/>
        <w:ind w:left="102" w:right="122"/>
        <w:jc w:val="both"/>
      </w:pPr>
      <w:r>
        <w:rPr/>
        <w:t>Posteriormente el virus fue aislado por Scherer y colaboradores en 1963 en mosquitos</w:t>
      </w:r>
      <w:r>
        <w:rPr>
          <w:spacing w:val="-14"/>
        </w:rPr>
        <w:t> </w:t>
      </w:r>
      <w:r>
        <w:rPr/>
        <w:t>y</w:t>
      </w:r>
      <w:r>
        <w:rPr>
          <w:spacing w:val="-14"/>
        </w:rPr>
        <w:t> </w:t>
      </w:r>
      <w:r>
        <w:rPr/>
        <w:t>hámsters</w:t>
      </w:r>
      <w:r>
        <w:rPr>
          <w:spacing w:val="39"/>
        </w:rPr>
        <w:t> </w:t>
      </w:r>
      <w:r>
        <w:rPr/>
        <w:t>centinelas</w:t>
      </w:r>
      <w:r>
        <w:rPr>
          <w:spacing w:val="-13"/>
        </w:rPr>
        <w:t> </w:t>
      </w:r>
      <w:r>
        <w:rPr/>
        <w:t>en</w:t>
      </w:r>
      <w:r>
        <w:rPr>
          <w:spacing w:val="-13"/>
        </w:rPr>
        <w:t> </w:t>
      </w:r>
      <w:r>
        <w:rPr/>
        <w:t>la</w:t>
      </w:r>
      <w:r>
        <w:rPr>
          <w:spacing w:val="-13"/>
        </w:rPr>
        <w:t> </w:t>
      </w:r>
      <w:r>
        <w:rPr/>
        <w:t>costa</w:t>
      </w:r>
      <w:r>
        <w:rPr>
          <w:spacing w:val="-13"/>
        </w:rPr>
        <w:t> </w:t>
      </w:r>
      <w:r>
        <w:rPr/>
        <w:t>del</w:t>
      </w:r>
      <w:r>
        <w:rPr>
          <w:spacing w:val="-12"/>
        </w:rPr>
        <w:t> </w:t>
      </w:r>
      <w:r>
        <w:rPr/>
        <w:t>Golfo</w:t>
      </w:r>
      <w:r>
        <w:rPr>
          <w:spacing w:val="-13"/>
        </w:rPr>
        <w:t> </w:t>
      </w:r>
      <w:r>
        <w:rPr/>
        <w:t>de</w:t>
      </w:r>
      <w:r>
        <w:rPr>
          <w:spacing w:val="-11"/>
        </w:rPr>
        <w:t> </w:t>
      </w:r>
      <w:r>
        <w:rPr/>
        <w:t>México</w:t>
      </w:r>
      <w:r>
        <w:rPr>
          <w:spacing w:val="-13"/>
        </w:rPr>
        <w:t> </w:t>
      </w:r>
      <w:r>
        <w:rPr/>
        <w:t>en</w:t>
      </w:r>
      <w:r>
        <w:rPr>
          <w:spacing w:val="-13"/>
        </w:rPr>
        <w:t> </w:t>
      </w:r>
      <w:r>
        <w:rPr/>
        <w:t>Sontecomapan al sur del Veracruz; la cepa aislada fue del subtipo</w:t>
      </w:r>
      <w:r>
        <w:rPr>
          <w:spacing w:val="-20"/>
        </w:rPr>
        <w:t> </w:t>
      </w:r>
      <w:r>
        <w:rPr/>
        <w:t>IE.</w:t>
      </w:r>
    </w:p>
    <w:p>
      <w:pPr>
        <w:pStyle w:val="BodyText"/>
        <w:spacing w:line="360" w:lineRule="auto" w:before="2"/>
        <w:ind w:left="102" w:right="129"/>
        <w:jc w:val="both"/>
      </w:pPr>
      <w:r>
        <w:rPr/>
        <w:t>En 1965 se reportó la muerte de una persona asociada con el subtipo IE del VEEV en la comunidad de Jáltipan, Veracruz.</w:t>
      </w:r>
    </w:p>
    <w:p>
      <w:pPr>
        <w:pStyle w:val="BodyText"/>
        <w:spacing w:line="360" w:lineRule="auto" w:before="2"/>
        <w:ind w:left="102" w:right="119"/>
        <w:jc w:val="both"/>
        <w:rPr>
          <w:sz w:val="16"/>
        </w:rPr>
      </w:pPr>
      <w:r>
        <w:rPr/>
        <w:t>Hasta entonces el subtipo IE del VEEV se había considerado avirulento para los equinos basado en infecciones experimentales de caballos con cepas IE aisladas en</w:t>
      </w:r>
      <w:r>
        <w:rPr>
          <w:spacing w:val="-8"/>
        </w:rPr>
        <w:t> </w:t>
      </w:r>
      <w:r>
        <w:rPr/>
        <w:t>México</w:t>
      </w:r>
      <w:r>
        <w:rPr>
          <w:spacing w:val="-9"/>
        </w:rPr>
        <w:t> </w:t>
      </w:r>
      <w:r>
        <w:rPr/>
        <w:t>y</w:t>
      </w:r>
      <w:r>
        <w:rPr>
          <w:spacing w:val="-12"/>
        </w:rPr>
        <w:t> </w:t>
      </w:r>
      <w:r>
        <w:rPr/>
        <w:t>Nicaragua</w:t>
      </w:r>
      <w:r>
        <w:rPr>
          <w:spacing w:val="-8"/>
        </w:rPr>
        <w:t> </w:t>
      </w:r>
      <w:r>
        <w:rPr/>
        <w:t>en</w:t>
      </w:r>
      <w:r>
        <w:rPr>
          <w:spacing w:val="-11"/>
        </w:rPr>
        <w:t> </w:t>
      </w:r>
      <w:r>
        <w:rPr/>
        <w:t>1960</w:t>
      </w:r>
      <w:r>
        <w:rPr>
          <w:spacing w:val="-6"/>
        </w:rPr>
        <w:t> </w:t>
      </w:r>
      <w:r>
        <w:rPr/>
        <w:t>y</w:t>
      </w:r>
      <w:r>
        <w:rPr>
          <w:spacing w:val="-12"/>
        </w:rPr>
        <w:t> </w:t>
      </w:r>
      <w:r>
        <w:rPr/>
        <w:t>en</w:t>
      </w:r>
      <w:r>
        <w:rPr>
          <w:spacing w:val="-8"/>
        </w:rPr>
        <w:t> </w:t>
      </w:r>
      <w:r>
        <w:rPr/>
        <w:t>la</w:t>
      </w:r>
      <w:r>
        <w:rPr>
          <w:spacing w:val="-11"/>
        </w:rPr>
        <w:t> </w:t>
      </w:r>
      <w:r>
        <w:rPr/>
        <w:t>observación</w:t>
      </w:r>
      <w:r>
        <w:rPr>
          <w:spacing w:val="-11"/>
        </w:rPr>
        <w:t> </w:t>
      </w:r>
      <w:r>
        <w:rPr/>
        <w:t>de</w:t>
      </w:r>
      <w:r>
        <w:rPr>
          <w:spacing w:val="-8"/>
        </w:rPr>
        <w:t> </w:t>
      </w:r>
      <w:r>
        <w:rPr/>
        <w:t>caballos</w:t>
      </w:r>
      <w:r>
        <w:rPr>
          <w:spacing w:val="-9"/>
        </w:rPr>
        <w:t> </w:t>
      </w:r>
      <w:r>
        <w:rPr/>
        <w:t>y</w:t>
      </w:r>
      <w:r>
        <w:rPr>
          <w:spacing w:val="-12"/>
        </w:rPr>
        <w:t> </w:t>
      </w:r>
      <w:r>
        <w:rPr/>
        <w:t>burros</w:t>
      </w:r>
      <w:r>
        <w:rPr>
          <w:spacing w:val="48"/>
        </w:rPr>
        <w:t> </w:t>
      </w:r>
      <w:r>
        <w:rPr/>
        <w:t>infectados naturalmente en México.</w:t>
      </w:r>
      <w:r>
        <w:rPr>
          <w:spacing w:val="-9"/>
        </w:rPr>
        <w:t> </w:t>
      </w:r>
      <w:r>
        <w:rPr>
          <w:position w:val="8"/>
          <w:sz w:val="16"/>
        </w:rPr>
        <w:t>(141)</w:t>
      </w:r>
    </w:p>
    <w:p>
      <w:pPr>
        <w:pStyle w:val="BodyText"/>
        <w:spacing w:line="360" w:lineRule="auto"/>
        <w:ind w:left="102" w:right="117"/>
        <w:jc w:val="both"/>
      </w:pPr>
      <w:r>
        <w:rPr/>
        <w:t>Sin embargo en 1966, un brote encefalitis equina, consistente con etiología viral</w:t>
      </w:r>
      <w:r>
        <w:rPr>
          <w:spacing w:val="-32"/>
        </w:rPr>
        <w:t> </w:t>
      </w:r>
      <w:r>
        <w:rPr/>
        <w:t>de EEV que ocurrió en la costa noroeste de Tamaulipas fue atribuida al subtipo IE del VEEV,</w:t>
      </w:r>
      <w:r>
        <w:rPr>
          <w:spacing w:val="-12"/>
        </w:rPr>
        <w:t> </w:t>
      </w:r>
      <w:r>
        <w:rPr/>
        <w:t>pero</w:t>
      </w:r>
      <w:r>
        <w:rPr>
          <w:spacing w:val="-11"/>
        </w:rPr>
        <w:t> </w:t>
      </w:r>
      <w:r>
        <w:rPr/>
        <w:t>no</w:t>
      </w:r>
      <w:r>
        <w:rPr>
          <w:spacing w:val="-9"/>
        </w:rPr>
        <w:t> </w:t>
      </w:r>
      <w:r>
        <w:rPr/>
        <w:t>existen</w:t>
      </w:r>
      <w:r>
        <w:rPr>
          <w:spacing w:val="-12"/>
        </w:rPr>
        <w:t> </w:t>
      </w:r>
      <w:r>
        <w:rPr/>
        <w:t>aislados</w:t>
      </w:r>
      <w:r>
        <w:rPr>
          <w:spacing w:val="-10"/>
        </w:rPr>
        <w:t> </w:t>
      </w:r>
      <w:r>
        <w:rPr/>
        <w:t>virales</w:t>
      </w:r>
      <w:r>
        <w:rPr>
          <w:spacing w:val="-10"/>
        </w:rPr>
        <w:t> </w:t>
      </w:r>
      <w:r>
        <w:rPr/>
        <w:t>de</w:t>
      </w:r>
      <w:r>
        <w:rPr>
          <w:spacing w:val="-9"/>
        </w:rPr>
        <w:t> </w:t>
      </w:r>
      <w:r>
        <w:rPr/>
        <w:t>ese</w:t>
      </w:r>
      <w:r>
        <w:rPr>
          <w:spacing w:val="-12"/>
        </w:rPr>
        <w:t> </w:t>
      </w:r>
      <w:r>
        <w:rPr/>
        <w:t>brote</w:t>
      </w:r>
      <w:r>
        <w:rPr>
          <w:spacing w:val="-9"/>
        </w:rPr>
        <w:t> </w:t>
      </w:r>
      <w:r>
        <w:rPr/>
        <w:t>para</w:t>
      </w:r>
      <w:r>
        <w:rPr>
          <w:spacing w:val="-10"/>
        </w:rPr>
        <w:t> </w:t>
      </w:r>
      <w:r>
        <w:rPr/>
        <w:t>caracterización</w:t>
      </w:r>
      <w:r>
        <w:rPr>
          <w:spacing w:val="-9"/>
        </w:rPr>
        <w:t> </w:t>
      </w:r>
      <w:r>
        <w:rPr/>
        <w:t>serológica o genética; durante la epizootia se reportaron 1,000 animales con encefalitis y 300 muertes. (53, 105, 140, 141, 143,</w:t>
      </w:r>
      <w:r>
        <w:rPr>
          <w:spacing w:val="-20"/>
        </w:rPr>
        <w:t> </w:t>
      </w:r>
      <w:r>
        <w:rPr/>
        <w:t>144)</w:t>
      </w:r>
    </w:p>
    <w:p>
      <w:pPr>
        <w:pStyle w:val="BodyText"/>
        <w:spacing w:line="360" w:lineRule="auto" w:before="5"/>
        <w:ind w:left="102" w:right="116"/>
        <w:jc w:val="both"/>
      </w:pPr>
      <w:r>
        <w:rPr/>
        <w:t>Entre 1973 y 1992 no existieron reportes de brotes de EEV, lo que llevo a la especulación de que las cepas epizoóticas del VEEV se habían extinguido. Sin embargo a principios y mediados de la década de 1990s, se presentó actividad reemergente del VEEV en el sureste mexicano, Venezuela y Colombia, lo que recalco la continua amenaza del VEEV en el continente Americano.</w:t>
      </w:r>
    </w:p>
    <w:p>
      <w:pPr>
        <w:pStyle w:val="BodyText"/>
        <w:spacing w:line="360" w:lineRule="auto" w:before="2"/>
        <w:ind w:left="102" w:right="123"/>
        <w:jc w:val="both"/>
      </w:pPr>
      <w:r>
        <w:rPr/>
        <w:t>En junio de 1993, se reportaron cuadros neurológicos en equinos del municipio de Mapastepec, Chiapas. Se tomaron muestras de encéfalo para poder realizar el aislamiento viral. Además se incrementó la vigilancia con visitas a ranchos vecinos</w:t>
      </w:r>
    </w:p>
    <w:p>
      <w:pPr>
        <w:spacing w:after="0" w:line="360" w:lineRule="auto"/>
        <w:jc w:val="both"/>
        <w:sectPr>
          <w:footerReference w:type="default" r:id="rId274"/>
          <w:pgSz w:w="12240" w:h="15840"/>
          <w:pgMar w:footer="1113" w:header="0" w:top="1360" w:bottom="1300" w:left="1600" w:right="1580"/>
          <w:pgNumType w:start="66"/>
        </w:sectPr>
      </w:pPr>
    </w:p>
    <w:p>
      <w:pPr>
        <w:pStyle w:val="BodyText"/>
        <w:spacing w:line="362" w:lineRule="auto" w:before="54"/>
        <w:ind w:left="102" w:right="125"/>
        <w:jc w:val="both"/>
      </w:pPr>
      <w:r>
        <w:rPr/>
        <w:t>y se inició un rastreo intensivo, encontrándose antecedentes de equinos con un cuadro de tipo nervioso y mortalidad durante este mes.</w:t>
      </w:r>
    </w:p>
    <w:p>
      <w:pPr>
        <w:pStyle w:val="BodyText"/>
        <w:spacing w:line="360" w:lineRule="auto"/>
        <w:ind w:left="102" w:right="118"/>
        <w:jc w:val="both"/>
        <w:rPr>
          <w:sz w:val="16"/>
        </w:rPr>
      </w:pPr>
      <w:r>
        <w:rPr/>
        <w:t>El 25 de julio se reportó el último caso de este brote y hasta esta fecha se acumularon 61 focos en 8 municipios de la costa de Chiapas localizándose el 71% de los casos en los municipios de Mapastepec y Pijijiapan, con un total de 63 equinos muertos y 132 enfermos en los predios afectados. </w:t>
      </w:r>
      <w:r>
        <w:rPr>
          <w:position w:val="8"/>
          <w:sz w:val="16"/>
        </w:rPr>
        <w:t>(95, 139, 148)</w:t>
      </w:r>
    </w:p>
    <w:p>
      <w:pPr>
        <w:pStyle w:val="BodyText"/>
        <w:spacing w:line="360" w:lineRule="auto"/>
        <w:ind w:left="102" w:right="114"/>
        <w:jc w:val="both"/>
      </w:pPr>
      <w:r>
        <w:rPr/>
        <w:t>Una segunda epizootia equina ocurrió en el estado adyacente de Oaxaca en 1996, involucrando 32 animales (incluyendo 12 muertes). Estudios epidemiológicos y serológicos iniciales señalaron el VEEV como el agente etiológico causante. El subtipo IE fue aislado en dos animales.</w:t>
      </w:r>
    </w:p>
    <w:p>
      <w:pPr>
        <w:pStyle w:val="BodyText"/>
        <w:spacing w:line="360" w:lineRule="auto" w:before="2"/>
        <w:ind w:left="102" w:right="117"/>
        <w:jc w:val="both"/>
        <w:rPr>
          <w:sz w:val="16"/>
        </w:rPr>
      </w:pPr>
      <w:r>
        <w:rPr/>
        <w:t>Esta fue la primera evidencia contundente de una epizootia de EEV asociada al subtipo enzoótico IE, sugiriendo que la cepa IE posee al menos una de las características fenotípicas que normalmente están asociadas con las cepas epizoóticas</w:t>
      </w:r>
      <w:r>
        <w:rPr>
          <w:spacing w:val="-8"/>
        </w:rPr>
        <w:t> </w:t>
      </w:r>
      <w:r>
        <w:rPr/>
        <w:t>IAB</w:t>
      </w:r>
      <w:r>
        <w:rPr>
          <w:spacing w:val="-9"/>
        </w:rPr>
        <w:t> </w:t>
      </w:r>
      <w:r>
        <w:rPr/>
        <w:t>y</w:t>
      </w:r>
      <w:r>
        <w:rPr>
          <w:spacing w:val="-10"/>
        </w:rPr>
        <w:t> </w:t>
      </w:r>
      <w:r>
        <w:rPr/>
        <w:t>IC.</w:t>
      </w:r>
      <w:r>
        <w:rPr>
          <w:spacing w:val="-7"/>
        </w:rPr>
        <w:t> </w:t>
      </w:r>
      <w:r>
        <w:rPr/>
        <w:t>La</w:t>
      </w:r>
      <w:r>
        <w:rPr>
          <w:spacing w:val="-7"/>
        </w:rPr>
        <w:t> </w:t>
      </w:r>
      <w:r>
        <w:rPr/>
        <w:t>alta</w:t>
      </w:r>
      <w:r>
        <w:rPr>
          <w:spacing w:val="-7"/>
        </w:rPr>
        <w:t> </w:t>
      </w:r>
      <w:r>
        <w:rPr/>
        <w:t>similitud</w:t>
      </w:r>
      <w:r>
        <w:rPr>
          <w:spacing w:val="-9"/>
        </w:rPr>
        <w:t> </w:t>
      </w:r>
      <w:r>
        <w:rPr/>
        <w:t>en</w:t>
      </w:r>
      <w:r>
        <w:rPr>
          <w:spacing w:val="-9"/>
        </w:rPr>
        <w:t> </w:t>
      </w:r>
      <w:r>
        <w:rPr/>
        <w:t>las</w:t>
      </w:r>
      <w:r>
        <w:rPr>
          <w:spacing w:val="-10"/>
        </w:rPr>
        <w:t> </w:t>
      </w:r>
      <w:r>
        <w:rPr/>
        <w:t>secuencias</w:t>
      </w:r>
      <w:r>
        <w:rPr>
          <w:spacing w:val="-10"/>
        </w:rPr>
        <w:t> </w:t>
      </w:r>
      <w:r>
        <w:rPr/>
        <w:t>observadas</w:t>
      </w:r>
      <w:r>
        <w:rPr>
          <w:spacing w:val="-12"/>
        </w:rPr>
        <w:t> </w:t>
      </w:r>
      <w:r>
        <w:rPr/>
        <w:t>entre</w:t>
      </w:r>
      <w:r>
        <w:rPr>
          <w:spacing w:val="-9"/>
        </w:rPr>
        <w:t> </w:t>
      </w:r>
      <w:r>
        <w:rPr/>
        <w:t>las</w:t>
      </w:r>
      <w:r>
        <w:rPr>
          <w:spacing w:val="-7"/>
        </w:rPr>
        <w:t> </w:t>
      </w:r>
      <w:r>
        <w:rPr/>
        <w:t>cepas IE</w:t>
      </w:r>
      <w:r>
        <w:rPr>
          <w:spacing w:val="-11"/>
        </w:rPr>
        <w:t> </w:t>
      </w:r>
      <w:r>
        <w:rPr/>
        <w:t>del</w:t>
      </w:r>
      <w:r>
        <w:rPr>
          <w:spacing w:val="-12"/>
        </w:rPr>
        <w:t> </w:t>
      </w:r>
      <w:r>
        <w:rPr/>
        <w:t>VEEV</w:t>
      </w:r>
      <w:r>
        <w:rPr>
          <w:spacing w:val="-11"/>
        </w:rPr>
        <w:t> </w:t>
      </w:r>
      <w:r>
        <w:rPr/>
        <w:t>aisladas</w:t>
      </w:r>
      <w:r>
        <w:rPr>
          <w:spacing w:val="-12"/>
        </w:rPr>
        <w:t> </w:t>
      </w:r>
      <w:r>
        <w:rPr/>
        <w:t>en</w:t>
      </w:r>
      <w:r>
        <w:rPr>
          <w:spacing w:val="-11"/>
        </w:rPr>
        <w:t> </w:t>
      </w:r>
      <w:r>
        <w:rPr/>
        <w:t>las</w:t>
      </w:r>
      <w:r>
        <w:rPr>
          <w:spacing w:val="-11"/>
        </w:rPr>
        <w:t> </w:t>
      </w:r>
      <w:r>
        <w:rPr/>
        <w:t>epizootias</w:t>
      </w:r>
      <w:r>
        <w:rPr>
          <w:spacing w:val="-12"/>
        </w:rPr>
        <w:t> </w:t>
      </w:r>
      <w:r>
        <w:rPr/>
        <w:t>de</w:t>
      </w:r>
      <w:r>
        <w:rPr>
          <w:spacing w:val="-11"/>
        </w:rPr>
        <w:t> </w:t>
      </w:r>
      <w:r>
        <w:rPr/>
        <w:t>Chiapas</w:t>
      </w:r>
      <w:r>
        <w:rPr>
          <w:spacing w:val="-12"/>
        </w:rPr>
        <w:t> </w:t>
      </w:r>
      <w:r>
        <w:rPr/>
        <w:t>y</w:t>
      </w:r>
      <w:r>
        <w:rPr>
          <w:spacing w:val="-13"/>
        </w:rPr>
        <w:t> </w:t>
      </w:r>
      <w:r>
        <w:rPr/>
        <w:t>Oaxaca</w:t>
      </w:r>
      <w:r>
        <w:rPr>
          <w:spacing w:val="-11"/>
        </w:rPr>
        <w:t> </w:t>
      </w:r>
      <w:r>
        <w:rPr/>
        <w:t>y</w:t>
      </w:r>
      <w:r>
        <w:rPr>
          <w:spacing w:val="-13"/>
        </w:rPr>
        <w:t> </w:t>
      </w:r>
      <w:r>
        <w:rPr/>
        <w:t>las</w:t>
      </w:r>
      <w:r>
        <w:rPr>
          <w:spacing w:val="-11"/>
        </w:rPr>
        <w:t> </w:t>
      </w:r>
      <w:r>
        <w:rPr/>
        <w:t>cepas</w:t>
      </w:r>
      <w:r>
        <w:rPr>
          <w:spacing w:val="-12"/>
        </w:rPr>
        <w:t> </w:t>
      </w:r>
      <w:r>
        <w:rPr/>
        <w:t>IE</w:t>
      </w:r>
      <w:r>
        <w:rPr>
          <w:spacing w:val="-11"/>
        </w:rPr>
        <w:t> </w:t>
      </w:r>
      <w:r>
        <w:rPr/>
        <w:t>que</w:t>
      </w:r>
      <w:r>
        <w:rPr>
          <w:spacing w:val="-12"/>
        </w:rPr>
        <w:t> </w:t>
      </w:r>
      <w:r>
        <w:rPr/>
        <w:t>han sido aisladas en las regiones vecinas de México y Guatemala sugieren que, o bien la virulencia en los equinos de estas cepas no había sido detectada en estudios anteriores o que los sutiles cambios genéticos son suficientes para incrementar la virulencia en los equinos significativamente.</w:t>
      </w:r>
      <w:r>
        <w:rPr>
          <w:spacing w:val="-15"/>
        </w:rPr>
        <w:t> </w:t>
      </w:r>
      <w:r>
        <w:rPr>
          <w:position w:val="8"/>
          <w:sz w:val="16"/>
        </w:rPr>
        <w:t>(95,96)</w:t>
      </w:r>
    </w:p>
    <w:p>
      <w:pPr>
        <w:pStyle w:val="BodyText"/>
        <w:spacing w:line="357" w:lineRule="auto" w:before="1"/>
        <w:ind w:left="102" w:right="116"/>
        <w:jc w:val="both"/>
        <w:rPr>
          <w:sz w:val="16"/>
        </w:rPr>
      </w:pPr>
      <w:r>
        <w:rPr/>
        <w:t>En estudios previos ha sido reportada la enfermedad clínica en equinos, asociada con</w:t>
      </w:r>
      <w:r>
        <w:rPr>
          <w:spacing w:val="-16"/>
        </w:rPr>
        <w:t> </w:t>
      </w:r>
      <w:r>
        <w:rPr/>
        <w:t>el</w:t>
      </w:r>
      <w:r>
        <w:rPr>
          <w:spacing w:val="-14"/>
        </w:rPr>
        <w:t> </w:t>
      </w:r>
      <w:r>
        <w:rPr/>
        <w:t>subtipo</w:t>
      </w:r>
      <w:r>
        <w:rPr>
          <w:spacing w:val="-13"/>
        </w:rPr>
        <w:t> </w:t>
      </w:r>
      <w:r>
        <w:rPr/>
        <w:t>IE</w:t>
      </w:r>
      <w:r>
        <w:rPr>
          <w:spacing w:val="-16"/>
        </w:rPr>
        <w:t> </w:t>
      </w:r>
      <w:r>
        <w:rPr/>
        <w:t>del</w:t>
      </w:r>
      <w:r>
        <w:rPr>
          <w:spacing w:val="-17"/>
        </w:rPr>
        <w:t> </w:t>
      </w:r>
      <w:r>
        <w:rPr/>
        <w:t>VEEV,</w:t>
      </w:r>
      <w:r>
        <w:rPr>
          <w:spacing w:val="-16"/>
        </w:rPr>
        <w:t> </w:t>
      </w:r>
      <w:r>
        <w:rPr/>
        <w:t>sin</w:t>
      </w:r>
      <w:r>
        <w:rPr>
          <w:spacing w:val="-16"/>
        </w:rPr>
        <w:t> </w:t>
      </w:r>
      <w:r>
        <w:rPr/>
        <w:t>embargo</w:t>
      </w:r>
      <w:r>
        <w:rPr>
          <w:spacing w:val="-16"/>
        </w:rPr>
        <w:t> </w:t>
      </w:r>
      <w:r>
        <w:rPr/>
        <w:t>no</w:t>
      </w:r>
      <w:r>
        <w:rPr>
          <w:spacing w:val="-15"/>
        </w:rPr>
        <w:t> </w:t>
      </w:r>
      <w:r>
        <w:rPr/>
        <w:t>se</w:t>
      </w:r>
      <w:r>
        <w:rPr>
          <w:spacing w:val="-13"/>
        </w:rPr>
        <w:t> </w:t>
      </w:r>
      <w:r>
        <w:rPr/>
        <w:t>había</w:t>
      </w:r>
      <w:r>
        <w:rPr>
          <w:spacing w:val="-13"/>
        </w:rPr>
        <w:t> </w:t>
      </w:r>
      <w:r>
        <w:rPr/>
        <w:t>registrado</w:t>
      </w:r>
      <w:r>
        <w:rPr>
          <w:spacing w:val="-16"/>
        </w:rPr>
        <w:t> </w:t>
      </w:r>
      <w:r>
        <w:rPr/>
        <w:t>a</w:t>
      </w:r>
      <w:r>
        <w:rPr>
          <w:spacing w:val="-16"/>
        </w:rPr>
        <w:t> </w:t>
      </w:r>
      <w:r>
        <w:rPr/>
        <w:t>detalle,</w:t>
      </w:r>
      <w:r>
        <w:rPr>
          <w:spacing w:val="-13"/>
        </w:rPr>
        <w:t> </w:t>
      </w:r>
      <w:r>
        <w:rPr/>
        <w:t>los</w:t>
      </w:r>
      <w:r>
        <w:rPr>
          <w:spacing w:val="-14"/>
        </w:rPr>
        <w:t> </w:t>
      </w:r>
      <w:r>
        <w:rPr/>
        <w:t>valores hematológicos, temperatura, signos clínicos y lesiones histopatológicas. </w:t>
      </w:r>
      <w:r>
        <w:rPr>
          <w:position w:val="8"/>
          <w:sz w:val="16"/>
        </w:rPr>
        <w:t>(105,130, </w:t>
      </w:r>
      <w:r>
        <w:rPr>
          <w:sz w:val="16"/>
        </w:rPr>
        <w:t>138,139,</w:t>
      </w:r>
      <w:r>
        <w:rPr>
          <w:spacing w:val="-4"/>
          <w:sz w:val="16"/>
        </w:rPr>
        <w:t> </w:t>
      </w:r>
      <w:r>
        <w:rPr>
          <w:sz w:val="16"/>
        </w:rPr>
        <w:t>141)</w:t>
      </w:r>
    </w:p>
    <w:p>
      <w:pPr>
        <w:pStyle w:val="BodyText"/>
        <w:spacing w:before="9"/>
        <w:rPr>
          <w:sz w:val="12"/>
        </w:rPr>
      </w:pPr>
    </w:p>
    <w:p>
      <w:pPr>
        <w:pStyle w:val="BodyText"/>
        <w:spacing w:line="360" w:lineRule="auto" w:before="1"/>
        <w:ind w:left="102" w:right="119"/>
        <w:jc w:val="both"/>
      </w:pPr>
      <w:r>
        <w:rPr/>
        <w:t>Los equinos son excelentes hospederos amplificadores en el ciclo de transmisión del VEEV, debido a los niveles altos de viremia que presenta, combinados con la alta atracción de mosquitos vectores potenciales.</w:t>
      </w:r>
    </w:p>
    <w:p>
      <w:pPr>
        <w:pStyle w:val="BodyText"/>
      </w:pPr>
    </w:p>
    <w:p>
      <w:pPr>
        <w:pStyle w:val="BodyText"/>
        <w:spacing w:line="360" w:lineRule="auto" w:before="142"/>
        <w:ind w:left="102" w:right="124"/>
        <w:jc w:val="both"/>
      </w:pPr>
      <w:r>
        <w:rPr/>
        <w:t>Los</w:t>
      </w:r>
      <w:r>
        <w:rPr>
          <w:spacing w:val="-5"/>
        </w:rPr>
        <w:t> </w:t>
      </w:r>
      <w:r>
        <w:rPr/>
        <w:t>resultados</w:t>
      </w:r>
      <w:r>
        <w:rPr>
          <w:spacing w:val="-8"/>
        </w:rPr>
        <w:t> </w:t>
      </w:r>
      <w:r>
        <w:rPr/>
        <w:t>de</w:t>
      </w:r>
      <w:r>
        <w:rPr>
          <w:spacing w:val="-5"/>
        </w:rPr>
        <w:t> </w:t>
      </w:r>
      <w:r>
        <w:rPr/>
        <w:t>esta</w:t>
      </w:r>
      <w:r>
        <w:rPr>
          <w:spacing w:val="-6"/>
        </w:rPr>
        <w:t> </w:t>
      </w:r>
      <w:r>
        <w:rPr/>
        <w:t>investigación</w:t>
      </w:r>
      <w:r>
        <w:rPr>
          <w:spacing w:val="-4"/>
        </w:rPr>
        <w:t> </w:t>
      </w:r>
      <w:r>
        <w:rPr/>
        <w:t>muestran</w:t>
      </w:r>
      <w:r>
        <w:rPr>
          <w:spacing w:val="-5"/>
        </w:rPr>
        <w:t> </w:t>
      </w:r>
      <w:r>
        <w:rPr/>
        <w:t>que</w:t>
      </w:r>
      <w:r>
        <w:rPr>
          <w:spacing w:val="-5"/>
        </w:rPr>
        <w:t> </w:t>
      </w:r>
      <w:r>
        <w:rPr/>
        <w:t>los</w:t>
      </w:r>
      <w:r>
        <w:rPr>
          <w:spacing w:val="-5"/>
        </w:rPr>
        <w:t> </w:t>
      </w:r>
      <w:r>
        <w:rPr/>
        <w:t>equinos</w:t>
      </w:r>
      <w:r>
        <w:rPr>
          <w:spacing w:val="-5"/>
        </w:rPr>
        <w:t> </w:t>
      </w:r>
      <w:r>
        <w:rPr/>
        <w:t>si</w:t>
      </w:r>
      <w:r>
        <w:rPr>
          <w:spacing w:val="-8"/>
        </w:rPr>
        <w:t> </w:t>
      </w:r>
      <w:r>
        <w:rPr/>
        <w:t>desarrollaron</w:t>
      </w:r>
      <w:r>
        <w:rPr>
          <w:spacing w:val="-4"/>
        </w:rPr>
        <w:t> </w:t>
      </w:r>
      <w:r>
        <w:rPr/>
        <w:t>una enfermedad clínica consistente, en Minatitlán, Veracruz, durante agosto de 2014. Aunque estos equinos fueron observados desde el punto de vista clínico, seguido de la infección natural de EEV, la producción de anticuerpos y los signos  </w:t>
      </w:r>
      <w:r>
        <w:rPr>
          <w:spacing w:val="65"/>
        </w:rPr>
        <w:t> </w:t>
      </w:r>
      <w:r>
        <w:rPr/>
        <w:t>clínicos</w:t>
      </w:r>
    </w:p>
    <w:p>
      <w:pPr>
        <w:spacing w:after="0" w:line="360" w:lineRule="auto"/>
        <w:jc w:val="both"/>
        <w:sectPr>
          <w:pgSz w:w="12240" w:h="15840"/>
          <w:pgMar w:header="0" w:footer="1113" w:top="1360" w:bottom="1300" w:left="1600" w:right="1580"/>
        </w:sectPr>
      </w:pPr>
    </w:p>
    <w:p>
      <w:pPr>
        <w:pStyle w:val="BodyText"/>
        <w:spacing w:line="357" w:lineRule="auto" w:before="54"/>
        <w:ind w:left="102" w:right="123"/>
        <w:jc w:val="both"/>
        <w:rPr>
          <w:sz w:val="16"/>
        </w:rPr>
      </w:pPr>
      <w:r>
        <w:rPr/>
        <w:t>que se presentaron, incluyendo los valores hematológicos, se asimilan a aquellos descritos en estudios de infecciones experimentales y naturales con cepas del </w:t>
      </w:r>
      <w:r>
        <w:rPr>
          <w:position w:val="-7"/>
        </w:rPr>
        <w:t>subtipo IE. </w:t>
      </w:r>
      <w:r>
        <w:rPr>
          <w:sz w:val="16"/>
        </w:rPr>
        <w:t>(105, 121, 130, 141)</w:t>
      </w:r>
    </w:p>
    <w:p>
      <w:pPr>
        <w:pStyle w:val="BodyText"/>
        <w:spacing w:line="360" w:lineRule="auto" w:before="3"/>
        <w:ind w:left="102" w:right="114"/>
        <w:jc w:val="both"/>
      </w:pPr>
      <w:r>
        <w:rPr/>
        <w:t>En un estudio realizado en el municipio de Sontecomapan, Veracruz en 1965, querían demostrar la circulación viral en la región, al mismo tiempo que evaluaron la</w:t>
      </w:r>
      <w:r>
        <w:rPr>
          <w:spacing w:val="-13"/>
        </w:rPr>
        <w:t> </w:t>
      </w:r>
      <w:r>
        <w:rPr/>
        <w:t>patología</w:t>
      </w:r>
      <w:r>
        <w:rPr>
          <w:spacing w:val="-13"/>
        </w:rPr>
        <w:t> </w:t>
      </w:r>
      <w:r>
        <w:rPr/>
        <w:t>en</w:t>
      </w:r>
      <w:r>
        <w:rPr>
          <w:spacing w:val="-13"/>
        </w:rPr>
        <w:t> </w:t>
      </w:r>
      <w:r>
        <w:rPr/>
        <w:t>los</w:t>
      </w:r>
      <w:r>
        <w:rPr>
          <w:spacing w:val="-13"/>
        </w:rPr>
        <w:t> </w:t>
      </w:r>
      <w:r>
        <w:rPr/>
        <w:t>equinos</w:t>
      </w:r>
      <w:r>
        <w:rPr>
          <w:spacing w:val="-14"/>
        </w:rPr>
        <w:t> </w:t>
      </w:r>
      <w:r>
        <w:rPr/>
        <w:t>expuestos</w:t>
      </w:r>
      <w:r>
        <w:rPr>
          <w:spacing w:val="-14"/>
        </w:rPr>
        <w:t> </w:t>
      </w:r>
      <w:r>
        <w:rPr/>
        <w:t>naturalmente</w:t>
      </w:r>
      <w:r>
        <w:rPr>
          <w:spacing w:val="-13"/>
        </w:rPr>
        <w:t> </w:t>
      </w:r>
      <w:r>
        <w:rPr/>
        <w:t>a</w:t>
      </w:r>
      <w:r>
        <w:rPr>
          <w:spacing w:val="-13"/>
        </w:rPr>
        <w:t> </w:t>
      </w:r>
      <w:r>
        <w:rPr/>
        <w:t>la</w:t>
      </w:r>
      <w:r>
        <w:rPr>
          <w:spacing w:val="-13"/>
        </w:rPr>
        <w:t> </w:t>
      </w:r>
      <w:r>
        <w:rPr/>
        <w:t>infección,</w:t>
      </w:r>
      <w:r>
        <w:rPr>
          <w:spacing w:val="-13"/>
        </w:rPr>
        <w:t> </w:t>
      </w:r>
      <w:r>
        <w:rPr/>
        <w:t>el</w:t>
      </w:r>
      <w:r>
        <w:rPr>
          <w:spacing w:val="-14"/>
        </w:rPr>
        <w:t> </w:t>
      </w:r>
      <w:r>
        <w:rPr/>
        <w:t>total</w:t>
      </w:r>
      <w:r>
        <w:rPr>
          <w:spacing w:val="-14"/>
        </w:rPr>
        <w:t> </w:t>
      </w:r>
      <w:r>
        <w:rPr/>
        <w:t>de</w:t>
      </w:r>
      <w:r>
        <w:rPr>
          <w:spacing w:val="-13"/>
        </w:rPr>
        <w:t> </w:t>
      </w:r>
      <w:r>
        <w:rPr/>
        <w:t>los</w:t>
      </w:r>
      <w:r>
        <w:rPr>
          <w:spacing w:val="-13"/>
        </w:rPr>
        <w:t> </w:t>
      </w:r>
      <w:r>
        <w:rPr/>
        <w:t>seis animales se infectaron, y desarrollaron anticuerpos hemoaglutinantes (HI), neutralizantes (N) y de fijación del complemento (FC) para EEV entre 6-22 días después del inicio de la exposición. Solo uno de los animales presento signos clínicos</w:t>
      </w:r>
      <w:r>
        <w:rPr>
          <w:spacing w:val="-8"/>
        </w:rPr>
        <w:t> </w:t>
      </w:r>
      <w:r>
        <w:rPr/>
        <w:t>neurológicos</w:t>
      </w:r>
      <w:r>
        <w:rPr>
          <w:spacing w:val="-8"/>
        </w:rPr>
        <w:t> </w:t>
      </w:r>
      <w:r>
        <w:rPr/>
        <w:t>y</w:t>
      </w:r>
      <w:r>
        <w:rPr>
          <w:spacing w:val="-11"/>
        </w:rPr>
        <w:t> </w:t>
      </w:r>
      <w:r>
        <w:rPr/>
        <w:t>murió.</w:t>
      </w:r>
      <w:r>
        <w:rPr>
          <w:spacing w:val="-8"/>
        </w:rPr>
        <w:t> </w:t>
      </w:r>
      <w:r>
        <w:rPr/>
        <w:t>Algunos</w:t>
      </w:r>
      <w:r>
        <w:rPr>
          <w:spacing w:val="-9"/>
        </w:rPr>
        <w:t> </w:t>
      </w:r>
      <w:r>
        <w:rPr/>
        <w:t>presentaron</w:t>
      </w:r>
      <w:r>
        <w:rPr>
          <w:spacing w:val="-10"/>
        </w:rPr>
        <w:t> </w:t>
      </w:r>
      <w:r>
        <w:rPr/>
        <w:t>fiebre</w:t>
      </w:r>
      <w:r>
        <w:rPr>
          <w:spacing w:val="-11"/>
        </w:rPr>
        <w:t> </w:t>
      </w:r>
      <w:r>
        <w:rPr/>
        <w:t>intermitente</w:t>
      </w:r>
      <w:r>
        <w:rPr>
          <w:spacing w:val="-8"/>
        </w:rPr>
        <w:t> </w:t>
      </w:r>
      <w:r>
        <w:rPr/>
        <w:t>que</w:t>
      </w:r>
      <w:r>
        <w:rPr>
          <w:spacing w:val="-8"/>
        </w:rPr>
        <w:t> </w:t>
      </w:r>
      <w:r>
        <w:rPr/>
        <w:t>coincidió con la detección de la viremia en suero, sin embargo, todos se recuperaron. </w:t>
      </w:r>
      <w:r>
        <w:rPr>
          <w:position w:val="8"/>
          <w:sz w:val="16"/>
        </w:rPr>
        <w:t>(141) </w:t>
      </w:r>
      <w:r>
        <w:rPr/>
        <w:t>Durante este estudio no se realizó aislamiento viral en suero o en</w:t>
      </w:r>
      <w:r>
        <w:rPr>
          <w:spacing w:val="-24"/>
        </w:rPr>
        <w:t> </w:t>
      </w:r>
      <w:r>
        <w:rPr/>
        <w:t>tejidos.</w:t>
      </w:r>
    </w:p>
    <w:p>
      <w:pPr>
        <w:pStyle w:val="BodyText"/>
      </w:pPr>
    </w:p>
    <w:p>
      <w:pPr>
        <w:pStyle w:val="BodyText"/>
        <w:spacing w:line="360" w:lineRule="auto" w:before="142"/>
        <w:ind w:left="102" w:right="117"/>
        <w:jc w:val="both"/>
        <w:rPr>
          <w:sz w:val="16"/>
        </w:rPr>
      </w:pPr>
      <w:r>
        <w:rPr/>
        <w:t>En otro estudio realizado en 1973, previo a la epizootia/epidemia de finales de los 60s principios de los 70s, se infectaron experimentalmente 32 equinos con cepas epizoóticas y enzoóticas del VEEV para determinar la patogenicidad y los patrones de producción de anticuerpos específicos de cada cepa. Las cepas enzoóticas ocasionaron fiebre y leucopenia en 16 caballos que posteriormente desarrollaron cantidades moderadas de anticuerpos HI, N y FC. En contraste los 16 caballos infectados con las cepas epizoóticas del VEEV, mostraron fiebre, leucopenia severa, hematocrito disminuido y signos de encefalitis, viremia más severa, los sobrevivientes presentaron grandes cantidades de anticuerpos N, entre el quinto y sexto día, cuando la viremia termino y la encefalitis clínica comenzó. </w:t>
      </w:r>
      <w:r>
        <w:rPr>
          <w:position w:val="8"/>
          <w:sz w:val="16"/>
        </w:rPr>
        <w:t>(105)</w:t>
      </w:r>
    </w:p>
    <w:p>
      <w:pPr>
        <w:pStyle w:val="BodyText"/>
        <w:spacing w:line="360" w:lineRule="auto" w:before="1"/>
        <w:ind w:left="102" w:right="115"/>
        <w:jc w:val="both"/>
      </w:pPr>
      <w:r>
        <w:rPr/>
        <w:t>Un estudio se llevó a cabo durante los brotes del Pacifico Mexicano (1993-1996), se analizaron los aislados obtenidos durante los brotes (93-42124, ISET-Chi93, Oax131,</w:t>
      </w:r>
      <w:r>
        <w:rPr>
          <w:spacing w:val="-20"/>
        </w:rPr>
        <w:t> </w:t>
      </w:r>
      <w:r>
        <w:rPr/>
        <w:t>and</w:t>
      </w:r>
      <w:r>
        <w:rPr>
          <w:spacing w:val="-20"/>
        </w:rPr>
        <w:t> </w:t>
      </w:r>
      <w:r>
        <w:rPr/>
        <w:t>Oax142)</w:t>
      </w:r>
      <w:r>
        <w:rPr>
          <w:spacing w:val="-18"/>
        </w:rPr>
        <w:t> </w:t>
      </w:r>
      <w:r>
        <w:rPr/>
        <w:t>mostraron</w:t>
      </w:r>
      <w:r>
        <w:rPr>
          <w:spacing w:val="-20"/>
        </w:rPr>
        <w:t> </w:t>
      </w:r>
      <w:r>
        <w:rPr/>
        <w:t>mediante</w:t>
      </w:r>
      <w:r>
        <w:rPr>
          <w:spacing w:val="-18"/>
        </w:rPr>
        <w:t> </w:t>
      </w:r>
      <w:r>
        <w:rPr/>
        <w:t>inmunofluorescencia</w:t>
      </w:r>
      <w:r>
        <w:rPr>
          <w:spacing w:val="-18"/>
        </w:rPr>
        <w:t> </w:t>
      </w:r>
      <w:r>
        <w:rPr/>
        <w:t>indirecta,</w:t>
      </w:r>
      <w:r>
        <w:rPr>
          <w:spacing w:val="-18"/>
        </w:rPr>
        <w:t> </w:t>
      </w:r>
      <w:r>
        <w:rPr/>
        <w:t>inhibición de</w:t>
      </w:r>
      <w:r>
        <w:rPr>
          <w:spacing w:val="-5"/>
        </w:rPr>
        <w:t> </w:t>
      </w:r>
      <w:r>
        <w:rPr/>
        <w:t>la</w:t>
      </w:r>
      <w:r>
        <w:rPr>
          <w:spacing w:val="-7"/>
        </w:rPr>
        <w:t> </w:t>
      </w:r>
      <w:r>
        <w:rPr/>
        <w:t>hemaglutinación,</w:t>
      </w:r>
      <w:r>
        <w:rPr>
          <w:spacing w:val="-7"/>
        </w:rPr>
        <w:t> </w:t>
      </w:r>
      <w:r>
        <w:rPr/>
        <w:t>ELISA</w:t>
      </w:r>
      <w:r>
        <w:rPr>
          <w:spacing w:val="-7"/>
        </w:rPr>
        <w:t> </w:t>
      </w:r>
      <w:r>
        <w:rPr/>
        <w:t>y</w:t>
      </w:r>
      <w:r>
        <w:rPr>
          <w:spacing w:val="-8"/>
        </w:rPr>
        <w:t> </w:t>
      </w:r>
      <w:r>
        <w:rPr/>
        <w:t>secuenciamiento</w:t>
      </w:r>
      <w:r>
        <w:rPr>
          <w:spacing w:val="-6"/>
        </w:rPr>
        <w:t> </w:t>
      </w:r>
      <w:r>
        <w:rPr/>
        <w:t>de</w:t>
      </w:r>
      <w:r>
        <w:rPr>
          <w:spacing w:val="-7"/>
        </w:rPr>
        <w:t> </w:t>
      </w:r>
      <w:r>
        <w:rPr/>
        <w:t>nucleótidos,</w:t>
      </w:r>
      <w:r>
        <w:rPr>
          <w:spacing w:val="-7"/>
        </w:rPr>
        <w:t> </w:t>
      </w:r>
      <w:r>
        <w:rPr/>
        <w:t>que</w:t>
      </w:r>
      <w:r>
        <w:rPr>
          <w:spacing w:val="-5"/>
        </w:rPr>
        <w:t> </w:t>
      </w:r>
      <w:r>
        <w:rPr/>
        <w:t>se</w:t>
      </w:r>
      <w:r>
        <w:rPr>
          <w:spacing w:val="-5"/>
        </w:rPr>
        <w:t> </w:t>
      </w:r>
      <w:r>
        <w:rPr/>
        <w:t>trataba</w:t>
      </w:r>
      <w:r>
        <w:rPr>
          <w:spacing w:val="-7"/>
        </w:rPr>
        <w:t> </w:t>
      </w:r>
      <w:r>
        <w:rPr/>
        <w:t>del VEEV, que anteriormente había sido descrito como avirulento en los equinos. La caracterización genética y el análisis filogenético indicaron que los virus de los brotes eran idénticos o muy parecidos entre ellos y que estaban estrechamente relacionados con las cepas aisladas de Guatemala y la costa del Golfo de </w:t>
      </w:r>
      <w:r>
        <w:rPr>
          <w:spacing w:val="55"/>
        </w:rPr>
        <w:t> </w:t>
      </w:r>
      <w:r>
        <w:rPr/>
        <w:t>México</w:t>
      </w:r>
    </w:p>
    <w:p>
      <w:pPr>
        <w:spacing w:after="0" w:line="360" w:lineRule="auto"/>
        <w:jc w:val="both"/>
        <w:sectPr>
          <w:pgSz w:w="12240" w:h="15840"/>
          <w:pgMar w:header="0" w:footer="1113" w:top="1360" w:bottom="1300" w:left="1600" w:right="1580"/>
        </w:sectPr>
      </w:pPr>
    </w:p>
    <w:p>
      <w:pPr>
        <w:pStyle w:val="BodyText"/>
        <w:spacing w:line="360" w:lineRule="auto" w:before="54"/>
        <w:ind w:left="102" w:right="122"/>
        <w:jc w:val="both"/>
        <w:rPr>
          <w:sz w:val="16"/>
        </w:rPr>
      </w:pPr>
      <w:r>
        <w:rPr/>
        <w:t>(68U201) en un estudio de neutralización por reducción de placas, el suero colectado</w:t>
      </w:r>
      <w:r>
        <w:rPr>
          <w:spacing w:val="-11"/>
        </w:rPr>
        <w:t> </w:t>
      </w:r>
      <w:r>
        <w:rPr/>
        <w:t>de</w:t>
      </w:r>
      <w:r>
        <w:rPr>
          <w:spacing w:val="-11"/>
        </w:rPr>
        <w:t> </w:t>
      </w:r>
      <w:r>
        <w:rPr/>
        <w:t>equinos</w:t>
      </w:r>
      <w:r>
        <w:rPr>
          <w:spacing w:val="-12"/>
        </w:rPr>
        <w:t> </w:t>
      </w:r>
      <w:r>
        <w:rPr/>
        <w:t>sanos</w:t>
      </w:r>
      <w:r>
        <w:rPr>
          <w:spacing w:val="-14"/>
        </w:rPr>
        <w:t> </w:t>
      </w:r>
      <w:r>
        <w:rPr/>
        <w:t>de</w:t>
      </w:r>
      <w:r>
        <w:rPr>
          <w:spacing w:val="-11"/>
        </w:rPr>
        <w:t> </w:t>
      </w:r>
      <w:r>
        <w:rPr/>
        <w:t>los</w:t>
      </w:r>
      <w:r>
        <w:rPr>
          <w:spacing w:val="-13"/>
        </w:rPr>
        <w:t> </w:t>
      </w:r>
      <w:r>
        <w:rPr/>
        <w:t>estado</w:t>
      </w:r>
      <w:r>
        <w:rPr>
          <w:spacing w:val="-13"/>
        </w:rPr>
        <w:t> </w:t>
      </w:r>
      <w:r>
        <w:rPr/>
        <w:t>de</w:t>
      </w:r>
      <w:r>
        <w:rPr>
          <w:spacing w:val="-13"/>
        </w:rPr>
        <w:t> </w:t>
      </w:r>
      <w:r>
        <w:rPr/>
        <w:t>Chiapas</w:t>
      </w:r>
      <w:r>
        <w:rPr>
          <w:spacing w:val="-12"/>
        </w:rPr>
        <w:t> </w:t>
      </w:r>
      <w:r>
        <w:rPr/>
        <w:t>y</w:t>
      </w:r>
      <w:r>
        <w:rPr>
          <w:spacing w:val="-14"/>
        </w:rPr>
        <w:t> </w:t>
      </w:r>
      <w:r>
        <w:rPr/>
        <w:t>Oaxaca</w:t>
      </w:r>
      <w:r>
        <w:rPr>
          <w:spacing w:val="-11"/>
        </w:rPr>
        <w:t> </w:t>
      </w:r>
      <w:r>
        <w:rPr/>
        <w:t>reaccionaron</w:t>
      </w:r>
      <w:r>
        <w:rPr>
          <w:spacing w:val="-13"/>
        </w:rPr>
        <w:t> </w:t>
      </w:r>
      <w:r>
        <w:rPr/>
        <w:t>mejor al aislado 93-42124 que con el aislado IE de Guatemala (68U201), sugiriendo que sutiles cambios genéticos pudieron alterar los dominios de neutralización. No está claro si estos cambios pueden influir en la virulencia en los equinos.</w:t>
      </w:r>
      <w:r>
        <w:rPr>
          <w:spacing w:val="46"/>
        </w:rPr>
        <w:t> </w:t>
      </w:r>
      <w:r>
        <w:rPr>
          <w:position w:val="8"/>
          <w:sz w:val="16"/>
        </w:rPr>
        <w:t>(95)</w:t>
      </w:r>
    </w:p>
    <w:p>
      <w:pPr>
        <w:pStyle w:val="BodyText"/>
        <w:spacing w:line="360" w:lineRule="auto" w:before="1"/>
        <w:ind w:left="102" w:right="116"/>
        <w:jc w:val="both"/>
        <w:rPr>
          <w:sz w:val="16"/>
        </w:rPr>
      </w:pPr>
      <w:r>
        <w:rPr/>
        <w:t>En 2003 se llevó a cabo un estudio para evaluar el papel de los equinos como hospederos amplificadores durante las epizootias de 1993 y 1996 del Pacifico Mexicano, se infectaron experimentalmente 10 equinos utilizando cuatro aislados diferentes.</w:t>
      </w:r>
      <w:r>
        <w:rPr>
          <w:spacing w:val="-12"/>
        </w:rPr>
        <w:t> </w:t>
      </w:r>
      <w:r>
        <w:rPr/>
        <w:t>La</w:t>
      </w:r>
      <w:r>
        <w:rPr>
          <w:spacing w:val="-14"/>
        </w:rPr>
        <w:t> </w:t>
      </w:r>
      <w:r>
        <w:rPr/>
        <w:t>mayoría</w:t>
      </w:r>
      <w:r>
        <w:rPr>
          <w:spacing w:val="-12"/>
        </w:rPr>
        <w:t> </w:t>
      </w:r>
      <w:r>
        <w:rPr/>
        <w:t>de</w:t>
      </w:r>
      <w:r>
        <w:rPr>
          <w:spacing w:val="-10"/>
        </w:rPr>
        <w:t> </w:t>
      </w:r>
      <w:r>
        <w:rPr/>
        <w:t>los</w:t>
      </w:r>
      <w:r>
        <w:rPr>
          <w:spacing w:val="-10"/>
        </w:rPr>
        <w:t> </w:t>
      </w:r>
      <w:r>
        <w:rPr/>
        <w:t>caballos</w:t>
      </w:r>
      <w:r>
        <w:rPr>
          <w:spacing w:val="-15"/>
        </w:rPr>
        <w:t> </w:t>
      </w:r>
      <w:r>
        <w:rPr/>
        <w:t>mostraron</w:t>
      </w:r>
      <w:r>
        <w:rPr>
          <w:spacing w:val="-10"/>
        </w:rPr>
        <w:t> </w:t>
      </w:r>
      <w:r>
        <w:rPr/>
        <w:t>signología</w:t>
      </w:r>
      <w:r>
        <w:rPr>
          <w:spacing w:val="-10"/>
        </w:rPr>
        <w:t> </w:t>
      </w:r>
      <w:r>
        <w:rPr/>
        <w:t>leve</w:t>
      </w:r>
      <w:r>
        <w:rPr>
          <w:spacing w:val="-10"/>
        </w:rPr>
        <w:t> </w:t>
      </w:r>
      <w:r>
        <w:rPr/>
        <w:t>y</w:t>
      </w:r>
      <w:r>
        <w:rPr>
          <w:spacing w:val="-13"/>
        </w:rPr>
        <w:t> </w:t>
      </w:r>
      <w:r>
        <w:rPr/>
        <w:t>una</w:t>
      </w:r>
      <w:r>
        <w:rPr>
          <w:spacing w:val="-10"/>
        </w:rPr>
        <w:t> </w:t>
      </w:r>
      <w:r>
        <w:rPr/>
        <w:t>viremia</w:t>
      </w:r>
      <w:r>
        <w:rPr>
          <w:spacing w:val="-12"/>
        </w:rPr>
        <w:t> </w:t>
      </w:r>
      <w:r>
        <w:rPr/>
        <w:t>baja. La enfermedad neurológica solo se desarrolló en uno de los animales, la examinación histopatológica del cerebro mostro infiltración linfocitaria en las meninges, acumulación de linfocítica perivascular y encefalitis focal. Tres animales mostraron meningoencefalitis moderada sin enfermedad clínica. El ARN viral fue detectado</w:t>
      </w:r>
      <w:r>
        <w:rPr>
          <w:spacing w:val="-8"/>
        </w:rPr>
        <w:t> </w:t>
      </w:r>
      <w:r>
        <w:rPr/>
        <w:t>en</w:t>
      </w:r>
      <w:r>
        <w:rPr>
          <w:spacing w:val="-8"/>
        </w:rPr>
        <w:t> </w:t>
      </w:r>
      <w:r>
        <w:rPr/>
        <w:t>el</w:t>
      </w:r>
      <w:r>
        <w:rPr>
          <w:spacing w:val="-10"/>
        </w:rPr>
        <w:t> </w:t>
      </w:r>
      <w:r>
        <w:rPr/>
        <w:t>cerebro</w:t>
      </w:r>
      <w:r>
        <w:rPr>
          <w:spacing w:val="-8"/>
        </w:rPr>
        <w:t> </w:t>
      </w:r>
      <w:r>
        <w:rPr/>
        <w:t>de</w:t>
      </w:r>
      <w:r>
        <w:rPr>
          <w:spacing w:val="-11"/>
        </w:rPr>
        <w:t> </w:t>
      </w:r>
      <w:r>
        <w:rPr/>
        <w:t>la</w:t>
      </w:r>
      <w:r>
        <w:rPr>
          <w:spacing w:val="-11"/>
        </w:rPr>
        <w:t> </w:t>
      </w:r>
      <w:r>
        <w:rPr/>
        <w:t>mayoría</w:t>
      </w:r>
      <w:r>
        <w:rPr>
          <w:spacing w:val="-8"/>
        </w:rPr>
        <w:t> </w:t>
      </w:r>
      <w:r>
        <w:rPr/>
        <w:t>de</w:t>
      </w:r>
      <w:r>
        <w:rPr>
          <w:spacing w:val="-8"/>
        </w:rPr>
        <w:t> </w:t>
      </w:r>
      <w:r>
        <w:rPr/>
        <w:t>los</w:t>
      </w:r>
      <w:r>
        <w:rPr>
          <w:spacing w:val="-11"/>
        </w:rPr>
        <w:t> </w:t>
      </w:r>
      <w:r>
        <w:rPr/>
        <w:t>animales</w:t>
      </w:r>
      <w:r>
        <w:rPr>
          <w:spacing w:val="-9"/>
        </w:rPr>
        <w:t> </w:t>
      </w:r>
      <w:r>
        <w:rPr/>
        <w:t>entre</w:t>
      </w:r>
      <w:r>
        <w:rPr>
          <w:spacing w:val="-9"/>
        </w:rPr>
        <w:t> </w:t>
      </w:r>
      <w:r>
        <w:rPr/>
        <w:t>los</w:t>
      </w:r>
      <w:r>
        <w:rPr>
          <w:spacing w:val="-11"/>
        </w:rPr>
        <w:t> </w:t>
      </w:r>
      <w:r>
        <w:rPr/>
        <w:t>días</w:t>
      </w:r>
      <w:r>
        <w:rPr>
          <w:spacing w:val="-12"/>
        </w:rPr>
        <w:t> </w:t>
      </w:r>
      <w:r>
        <w:rPr/>
        <w:t>12-14</w:t>
      </w:r>
      <w:r>
        <w:rPr>
          <w:spacing w:val="-11"/>
        </w:rPr>
        <w:t> </w:t>
      </w:r>
      <w:r>
        <w:rPr/>
        <w:t>después de la infección. Estos datos sugieren que la duración y el alcance de los brotes de las epizootias mexicanas de 1993 y 1996 estuvieron limitados por la falta de amplificación</w:t>
      </w:r>
      <w:r>
        <w:rPr>
          <w:spacing w:val="-17"/>
        </w:rPr>
        <w:t> </w:t>
      </w:r>
      <w:r>
        <w:rPr/>
        <w:t>en</w:t>
      </w:r>
      <w:r>
        <w:rPr>
          <w:spacing w:val="-18"/>
        </w:rPr>
        <w:t> </w:t>
      </w:r>
      <w:r>
        <w:rPr/>
        <w:t>los</w:t>
      </w:r>
      <w:r>
        <w:rPr>
          <w:spacing w:val="-18"/>
        </w:rPr>
        <w:t> </w:t>
      </w:r>
      <w:r>
        <w:rPr/>
        <w:t>equinos,</w:t>
      </w:r>
      <w:r>
        <w:rPr>
          <w:spacing w:val="-18"/>
        </w:rPr>
        <w:t> </w:t>
      </w:r>
      <w:r>
        <w:rPr/>
        <w:t>característica</w:t>
      </w:r>
      <w:r>
        <w:rPr>
          <w:spacing w:val="-18"/>
        </w:rPr>
        <w:t> </w:t>
      </w:r>
      <w:r>
        <w:rPr/>
        <w:t>de</w:t>
      </w:r>
      <w:r>
        <w:rPr>
          <w:spacing w:val="-20"/>
        </w:rPr>
        <w:t> </w:t>
      </w:r>
      <w:r>
        <w:rPr/>
        <w:t>brotes</w:t>
      </w:r>
      <w:r>
        <w:rPr>
          <w:spacing w:val="-21"/>
        </w:rPr>
        <w:t> </w:t>
      </w:r>
      <w:r>
        <w:rPr/>
        <w:t>más</w:t>
      </w:r>
      <w:r>
        <w:rPr>
          <w:spacing w:val="-19"/>
        </w:rPr>
        <w:t> </w:t>
      </w:r>
      <w:r>
        <w:rPr/>
        <w:t>extensivos</w:t>
      </w:r>
      <w:r>
        <w:rPr>
          <w:spacing w:val="-19"/>
        </w:rPr>
        <w:t> </w:t>
      </w:r>
      <w:r>
        <w:rPr/>
        <w:t>de</w:t>
      </w:r>
      <w:r>
        <w:rPr>
          <w:spacing w:val="-18"/>
        </w:rPr>
        <w:t> </w:t>
      </w:r>
      <w:r>
        <w:rPr/>
        <w:t>EEV.</w:t>
      </w:r>
      <w:r>
        <w:rPr>
          <w:spacing w:val="30"/>
        </w:rPr>
        <w:t> </w:t>
      </w:r>
      <w:r>
        <w:rPr/>
        <w:t>Estos brotes pudieron ser el resultado de la circulación de una cepa neurotrópica subtipo IE más agresiva o por el aumento en la transmisión a los equinos, debido a la amplificación en otros hospederos vertebrados o transmisión por mosquitos vectores más competentes.</w:t>
      </w:r>
      <w:r>
        <w:rPr>
          <w:spacing w:val="-7"/>
        </w:rPr>
        <w:t> </w:t>
      </w:r>
      <w:r>
        <w:rPr>
          <w:position w:val="8"/>
          <w:sz w:val="16"/>
        </w:rPr>
        <w:t>(139)</w:t>
      </w:r>
    </w:p>
    <w:p>
      <w:pPr>
        <w:pStyle w:val="BodyText"/>
        <w:rPr>
          <w:sz w:val="22"/>
        </w:rPr>
      </w:pPr>
    </w:p>
    <w:p>
      <w:pPr>
        <w:pStyle w:val="BodyText"/>
        <w:spacing w:line="360" w:lineRule="auto"/>
        <w:ind w:left="102" w:right="117"/>
        <w:jc w:val="both"/>
      </w:pPr>
      <w:r>
        <w:rPr/>
        <w:t>Más</w:t>
      </w:r>
      <w:r>
        <w:rPr>
          <w:spacing w:val="-17"/>
        </w:rPr>
        <w:t> </w:t>
      </w:r>
      <w:r>
        <w:rPr/>
        <w:t>tarde</w:t>
      </w:r>
      <w:r>
        <w:rPr>
          <w:spacing w:val="-17"/>
        </w:rPr>
        <w:t> </w:t>
      </w:r>
      <w:r>
        <w:rPr/>
        <w:t>se</w:t>
      </w:r>
      <w:r>
        <w:rPr>
          <w:spacing w:val="-19"/>
        </w:rPr>
        <w:t> </w:t>
      </w:r>
      <w:r>
        <w:rPr/>
        <w:t>llevaron</w:t>
      </w:r>
      <w:r>
        <w:rPr>
          <w:spacing w:val="-19"/>
        </w:rPr>
        <w:t> </w:t>
      </w:r>
      <w:r>
        <w:rPr/>
        <w:t>a</w:t>
      </w:r>
      <w:r>
        <w:rPr>
          <w:spacing w:val="-19"/>
        </w:rPr>
        <w:t> </w:t>
      </w:r>
      <w:r>
        <w:rPr/>
        <w:t>cabo</w:t>
      </w:r>
      <w:r>
        <w:rPr>
          <w:spacing w:val="-17"/>
        </w:rPr>
        <w:t> </w:t>
      </w:r>
      <w:r>
        <w:rPr/>
        <w:t>otros</w:t>
      </w:r>
      <w:r>
        <w:rPr>
          <w:spacing w:val="-20"/>
        </w:rPr>
        <w:t> </w:t>
      </w:r>
      <w:r>
        <w:rPr/>
        <w:t>estudios</w:t>
      </w:r>
      <w:r>
        <w:rPr>
          <w:spacing w:val="-17"/>
        </w:rPr>
        <w:t> </w:t>
      </w:r>
      <w:r>
        <w:rPr/>
        <w:t>que</w:t>
      </w:r>
      <w:r>
        <w:rPr>
          <w:spacing w:val="-17"/>
        </w:rPr>
        <w:t> </w:t>
      </w:r>
      <w:r>
        <w:rPr/>
        <w:t>reportaron</w:t>
      </w:r>
      <w:r>
        <w:rPr>
          <w:spacing w:val="-19"/>
        </w:rPr>
        <w:t> </w:t>
      </w:r>
      <w:r>
        <w:rPr/>
        <w:t>los</w:t>
      </w:r>
      <w:r>
        <w:rPr>
          <w:spacing w:val="-19"/>
        </w:rPr>
        <w:t> </w:t>
      </w:r>
      <w:r>
        <w:rPr/>
        <w:t>hallazgos</w:t>
      </w:r>
      <w:r>
        <w:rPr>
          <w:spacing w:val="-17"/>
        </w:rPr>
        <w:t> </w:t>
      </w:r>
      <w:r>
        <w:rPr/>
        <w:t>serológicos en</w:t>
      </w:r>
      <w:r>
        <w:rPr>
          <w:spacing w:val="-13"/>
        </w:rPr>
        <w:t> </w:t>
      </w:r>
      <w:r>
        <w:rPr/>
        <w:t>la</w:t>
      </w:r>
      <w:r>
        <w:rPr>
          <w:spacing w:val="-13"/>
        </w:rPr>
        <w:t> </w:t>
      </w:r>
      <w:r>
        <w:rPr/>
        <w:t>región</w:t>
      </w:r>
      <w:r>
        <w:rPr>
          <w:spacing w:val="-15"/>
        </w:rPr>
        <w:t> </w:t>
      </w:r>
      <w:r>
        <w:rPr/>
        <w:t>de</w:t>
      </w:r>
      <w:r>
        <w:rPr>
          <w:spacing w:val="-13"/>
        </w:rPr>
        <w:t> </w:t>
      </w:r>
      <w:r>
        <w:rPr/>
        <w:t>la</w:t>
      </w:r>
      <w:r>
        <w:rPr>
          <w:spacing w:val="-13"/>
        </w:rPr>
        <w:t> </w:t>
      </w:r>
      <w:r>
        <w:rPr/>
        <w:t>costa</w:t>
      </w:r>
      <w:r>
        <w:rPr>
          <w:spacing w:val="-15"/>
        </w:rPr>
        <w:t> </w:t>
      </w:r>
      <w:r>
        <w:rPr/>
        <w:t>del</w:t>
      </w:r>
      <w:r>
        <w:rPr>
          <w:spacing w:val="-14"/>
        </w:rPr>
        <w:t> </w:t>
      </w:r>
      <w:r>
        <w:rPr/>
        <w:t>Golfo</w:t>
      </w:r>
      <w:r>
        <w:rPr>
          <w:spacing w:val="-16"/>
        </w:rPr>
        <w:t> </w:t>
      </w:r>
      <w:r>
        <w:rPr/>
        <w:t>de</w:t>
      </w:r>
      <w:r>
        <w:rPr>
          <w:spacing w:val="-13"/>
        </w:rPr>
        <w:t> </w:t>
      </w:r>
      <w:r>
        <w:rPr/>
        <w:t>México</w:t>
      </w:r>
      <w:r>
        <w:rPr>
          <w:spacing w:val="-13"/>
        </w:rPr>
        <w:t> </w:t>
      </w:r>
      <w:r>
        <w:rPr/>
        <w:t>entre</w:t>
      </w:r>
      <w:r>
        <w:rPr>
          <w:spacing w:val="-13"/>
        </w:rPr>
        <w:t> </w:t>
      </w:r>
      <w:r>
        <w:rPr/>
        <w:t>2001-2010.</w:t>
      </w:r>
      <w:r>
        <w:rPr>
          <w:spacing w:val="-13"/>
        </w:rPr>
        <w:t> </w:t>
      </w:r>
      <w:r>
        <w:rPr/>
        <w:t>Se</w:t>
      </w:r>
      <w:r>
        <w:rPr>
          <w:spacing w:val="-13"/>
        </w:rPr>
        <w:t> </w:t>
      </w:r>
      <w:r>
        <w:rPr/>
        <w:t>realizaron</w:t>
      </w:r>
      <w:r>
        <w:rPr>
          <w:spacing w:val="-13"/>
        </w:rPr>
        <w:t> </w:t>
      </w:r>
      <w:r>
        <w:rPr/>
        <w:t>estudios filogenéticos en las cepas aisladas para determinar si existían cambios genéticos sustanciales en el VEEV desde</w:t>
      </w:r>
      <w:r>
        <w:rPr>
          <w:spacing w:val="-15"/>
        </w:rPr>
        <w:t> </w:t>
      </w:r>
      <w:r>
        <w:rPr/>
        <w:t>1960.</w:t>
      </w:r>
    </w:p>
    <w:p>
      <w:pPr>
        <w:pStyle w:val="BodyText"/>
        <w:spacing w:line="360" w:lineRule="auto" w:before="5"/>
        <w:ind w:left="102" w:right="117"/>
        <w:jc w:val="both"/>
      </w:pPr>
      <w:r>
        <w:rPr/>
        <w:t>Basado</w:t>
      </w:r>
      <w:r>
        <w:rPr>
          <w:spacing w:val="-6"/>
        </w:rPr>
        <w:t> </w:t>
      </w:r>
      <w:r>
        <w:rPr/>
        <w:t>en</w:t>
      </w:r>
      <w:r>
        <w:rPr>
          <w:spacing w:val="-6"/>
        </w:rPr>
        <w:t> </w:t>
      </w:r>
      <w:r>
        <w:rPr/>
        <w:t>los</w:t>
      </w:r>
      <w:r>
        <w:rPr>
          <w:spacing w:val="-6"/>
        </w:rPr>
        <w:t> </w:t>
      </w:r>
      <w:r>
        <w:rPr/>
        <w:t>resultados</w:t>
      </w:r>
      <w:r>
        <w:rPr>
          <w:spacing w:val="-7"/>
        </w:rPr>
        <w:t> </w:t>
      </w:r>
      <w:r>
        <w:rPr/>
        <w:t>de</w:t>
      </w:r>
      <w:r>
        <w:rPr>
          <w:spacing w:val="-8"/>
        </w:rPr>
        <w:t> </w:t>
      </w:r>
      <w:r>
        <w:rPr/>
        <w:t>este</w:t>
      </w:r>
      <w:r>
        <w:rPr>
          <w:spacing w:val="-8"/>
        </w:rPr>
        <w:t> </w:t>
      </w:r>
      <w:r>
        <w:rPr/>
        <w:t>estudio</w:t>
      </w:r>
      <w:r>
        <w:rPr>
          <w:spacing w:val="-6"/>
        </w:rPr>
        <w:t> </w:t>
      </w:r>
      <w:r>
        <w:rPr/>
        <w:t>se</w:t>
      </w:r>
      <w:r>
        <w:rPr>
          <w:spacing w:val="-8"/>
        </w:rPr>
        <w:t> </w:t>
      </w:r>
      <w:r>
        <w:rPr/>
        <w:t>pudo</w:t>
      </w:r>
      <w:r>
        <w:rPr>
          <w:spacing w:val="-8"/>
        </w:rPr>
        <w:t> </w:t>
      </w:r>
      <w:r>
        <w:rPr/>
        <w:t>determinar</w:t>
      </w:r>
      <w:r>
        <w:rPr>
          <w:spacing w:val="-7"/>
        </w:rPr>
        <w:t> </w:t>
      </w:r>
      <w:r>
        <w:rPr/>
        <w:t>que</w:t>
      </w:r>
      <w:r>
        <w:rPr>
          <w:spacing w:val="-8"/>
        </w:rPr>
        <w:t> </w:t>
      </w:r>
      <w:r>
        <w:rPr/>
        <w:t>el</w:t>
      </w:r>
      <w:r>
        <w:rPr>
          <w:spacing w:val="-7"/>
        </w:rPr>
        <w:t> </w:t>
      </w:r>
      <w:r>
        <w:rPr/>
        <w:t>linaje</w:t>
      </w:r>
      <w:r>
        <w:rPr>
          <w:spacing w:val="-6"/>
        </w:rPr>
        <w:t> </w:t>
      </w:r>
      <w:r>
        <w:rPr/>
        <w:t>del</w:t>
      </w:r>
      <w:r>
        <w:rPr>
          <w:spacing w:val="-10"/>
        </w:rPr>
        <w:t> </w:t>
      </w:r>
      <w:r>
        <w:rPr/>
        <w:t>Golfo de México tiene una circulación activa en esta región, incluyendo el noreste del estado de</w:t>
      </w:r>
      <w:r>
        <w:rPr>
          <w:spacing w:val="-8"/>
        </w:rPr>
        <w:t> </w:t>
      </w:r>
      <w:r>
        <w:rPr/>
        <w:t>Tamaulipas.</w:t>
      </w:r>
    </w:p>
    <w:p>
      <w:pPr>
        <w:pStyle w:val="BodyText"/>
        <w:spacing w:line="360" w:lineRule="auto" w:before="2"/>
        <w:ind w:left="102" w:right="126"/>
        <w:jc w:val="both"/>
      </w:pPr>
      <w:r>
        <w:rPr/>
        <w:t>Durante este periodo se realizaron cerca de 25 aislados en diferentes especies (equinos, hámsters y mosquitos).</w:t>
      </w:r>
    </w:p>
    <w:p>
      <w:pPr>
        <w:spacing w:after="0" w:line="360" w:lineRule="auto"/>
        <w:jc w:val="both"/>
        <w:sectPr>
          <w:pgSz w:w="12240" w:h="15840"/>
          <w:pgMar w:header="0" w:footer="1113" w:top="1360" w:bottom="1320" w:left="1600" w:right="1580"/>
        </w:sectPr>
      </w:pPr>
    </w:p>
    <w:p>
      <w:pPr>
        <w:pStyle w:val="BodyText"/>
        <w:ind w:left="101"/>
        <w:rPr>
          <w:sz w:val="20"/>
        </w:rPr>
      </w:pPr>
      <w:r>
        <w:rPr>
          <w:sz w:val="20"/>
        </w:rPr>
        <w:drawing>
          <wp:inline distT="0" distB="0" distL="0" distR="0">
            <wp:extent cx="5599350" cy="3274123"/>
            <wp:effectExtent l="0" t="0" r="0" b="0"/>
            <wp:docPr id="37" name="image239.jpeg" descr=""/>
            <wp:cNvGraphicFramePr>
              <a:graphicFrameLocks noChangeAspect="1"/>
            </wp:cNvGraphicFramePr>
            <a:graphic>
              <a:graphicData uri="http://schemas.openxmlformats.org/drawingml/2006/picture">
                <pic:pic>
                  <pic:nvPicPr>
                    <pic:cNvPr id="38" name="image239.jpeg"/>
                    <pic:cNvPicPr/>
                  </pic:nvPicPr>
                  <pic:blipFill>
                    <a:blip r:embed="rId276" cstate="print"/>
                    <a:stretch>
                      <a:fillRect/>
                    </a:stretch>
                  </pic:blipFill>
                  <pic:spPr>
                    <a:xfrm>
                      <a:off x="0" y="0"/>
                      <a:ext cx="5599350" cy="3274123"/>
                    </a:xfrm>
                    <a:prstGeom prst="rect">
                      <a:avLst/>
                    </a:prstGeom>
                  </pic:spPr>
                </pic:pic>
              </a:graphicData>
            </a:graphic>
          </wp:inline>
        </w:drawing>
      </w:r>
      <w:r>
        <w:rPr>
          <w:sz w:val="20"/>
        </w:rPr>
      </w:r>
    </w:p>
    <w:p>
      <w:pPr>
        <w:spacing w:before="141"/>
        <w:ind w:left="102" w:right="116" w:firstLine="0"/>
        <w:jc w:val="both"/>
        <w:rPr>
          <w:sz w:val="22"/>
        </w:rPr>
      </w:pPr>
      <w:r>
        <w:rPr>
          <w:sz w:val="22"/>
        </w:rPr>
        <w:t>Figura 17 Distribución geográfica del VEEV subtipo IE. Basado en análisis filogenéticos de estas cepas, los genotipos del Pacifico están representados en azul, mientras que los genotipos</w:t>
      </w:r>
      <w:r>
        <w:rPr>
          <w:spacing w:val="-7"/>
          <w:sz w:val="22"/>
        </w:rPr>
        <w:t> </w:t>
      </w:r>
      <w:r>
        <w:rPr>
          <w:sz w:val="22"/>
        </w:rPr>
        <w:t>del</w:t>
      </w:r>
      <w:r>
        <w:rPr>
          <w:spacing w:val="-9"/>
          <w:sz w:val="22"/>
        </w:rPr>
        <w:t> </w:t>
      </w:r>
      <w:r>
        <w:rPr>
          <w:sz w:val="22"/>
        </w:rPr>
        <w:t>Golfo</w:t>
      </w:r>
      <w:r>
        <w:rPr>
          <w:spacing w:val="-10"/>
          <w:sz w:val="22"/>
        </w:rPr>
        <w:t> </w:t>
      </w:r>
      <w:r>
        <w:rPr>
          <w:sz w:val="22"/>
        </w:rPr>
        <w:t>y</w:t>
      </w:r>
      <w:r>
        <w:rPr>
          <w:spacing w:val="-10"/>
          <w:sz w:val="22"/>
        </w:rPr>
        <w:t> </w:t>
      </w:r>
      <w:r>
        <w:rPr>
          <w:sz w:val="22"/>
        </w:rPr>
        <w:t>Caribe</w:t>
      </w:r>
      <w:r>
        <w:rPr>
          <w:spacing w:val="-6"/>
          <w:sz w:val="22"/>
        </w:rPr>
        <w:t> </w:t>
      </w:r>
      <w:r>
        <w:rPr>
          <w:sz w:val="22"/>
        </w:rPr>
        <w:t>están</w:t>
      </w:r>
      <w:r>
        <w:rPr>
          <w:spacing w:val="-8"/>
          <w:sz w:val="22"/>
        </w:rPr>
        <w:t> </w:t>
      </w:r>
      <w:r>
        <w:rPr>
          <w:sz w:val="22"/>
        </w:rPr>
        <w:t>en</w:t>
      </w:r>
      <w:r>
        <w:rPr>
          <w:spacing w:val="-10"/>
          <w:sz w:val="22"/>
        </w:rPr>
        <w:t> </w:t>
      </w:r>
      <w:r>
        <w:rPr>
          <w:sz w:val="22"/>
        </w:rPr>
        <w:t>color</w:t>
      </w:r>
      <w:r>
        <w:rPr>
          <w:spacing w:val="-7"/>
          <w:sz w:val="22"/>
        </w:rPr>
        <w:t> </w:t>
      </w:r>
      <w:r>
        <w:rPr>
          <w:sz w:val="22"/>
        </w:rPr>
        <w:t>verde,</w:t>
      </w:r>
      <w:r>
        <w:rPr>
          <w:spacing w:val="-7"/>
          <w:sz w:val="22"/>
        </w:rPr>
        <w:t> </w:t>
      </w:r>
      <w:r>
        <w:rPr>
          <w:sz w:val="22"/>
        </w:rPr>
        <w:t>y</w:t>
      </w:r>
      <w:r>
        <w:rPr>
          <w:spacing w:val="-10"/>
          <w:sz w:val="22"/>
        </w:rPr>
        <w:t> </w:t>
      </w:r>
      <w:r>
        <w:rPr>
          <w:sz w:val="22"/>
        </w:rPr>
        <w:t>los</w:t>
      </w:r>
      <w:r>
        <w:rPr>
          <w:spacing w:val="-8"/>
          <w:sz w:val="22"/>
        </w:rPr>
        <w:t> </w:t>
      </w:r>
      <w:r>
        <w:rPr>
          <w:sz w:val="22"/>
        </w:rPr>
        <w:t>genotipos</w:t>
      </w:r>
      <w:r>
        <w:rPr>
          <w:spacing w:val="-7"/>
          <w:sz w:val="22"/>
        </w:rPr>
        <w:t> </w:t>
      </w:r>
      <w:r>
        <w:rPr>
          <w:sz w:val="22"/>
        </w:rPr>
        <w:t>de</w:t>
      </w:r>
      <w:r>
        <w:rPr>
          <w:spacing w:val="-8"/>
          <w:sz w:val="22"/>
        </w:rPr>
        <w:t> </w:t>
      </w:r>
      <w:r>
        <w:rPr>
          <w:sz w:val="22"/>
        </w:rPr>
        <w:t>Panamá</w:t>
      </w:r>
      <w:r>
        <w:rPr>
          <w:spacing w:val="-8"/>
          <w:sz w:val="22"/>
        </w:rPr>
        <w:t> </w:t>
      </w:r>
      <w:r>
        <w:rPr>
          <w:sz w:val="22"/>
        </w:rPr>
        <w:t>en</w:t>
      </w:r>
      <w:r>
        <w:rPr>
          <w:spacing w:val="-8"/>
          <w:sz w:val="22"/>
        </w:rPr>
        <w:t> </w:t>
      </w:r>
      <w:r>
        <w:rPr>
          <w:sz w:val="22"/>
        </w:rPr>
        <w:t>color</w:t>
      </w:r>
      <w:r>
        <w:rPr>
          <w:spacing w:val="-9"/>
          <w:sz w:val="22"/>
        </w:rPr>
        <w:t> </w:t>
      </w:r>
      <w:r>
        <w:rPr>
          <w:sz w:val="22"/>
        </w:rPr>
        <w:t>rojo.</w:t>
      </w:r>
    </w:p>
    <w:p>
      <w:pPr>
        <w:spacing w:line="156" w:lineRule="exact" w:before="0"/>
        <w:ind w:left="102" w:right="0" w:firstLine="0"/>
        <w:jc w:val="both"/>
        <w:rPr>
          <w:sz w:val="14"/>
        </w:rPr>
      </w:pPr>
      <w:r>
        <w:rPr>
          <w:sz w:val="14"/>
        </w:rPr>
        <w:t>(138, 139)</w:t>
      </w:r>
    </w:p>
    <w:p>
      <w:pPr>
        <w:pStyle w:val="BodyText"/>
        <w:rPr>
          <w:sz w:val="14"/>
        </w:rPr>
      </w:pPr>
    </w:p>
    <w:p>
      <w:pPr>
        <w:pStyle w:val="BodyText"/>
        <w:spacing w:before="6"/>
        <w:rPr>
          <w:sz w:val="18"/>
        </w:rPr>
      </w:pPr>
    </w:p>
    <w:p>
      <w:pPr>
        <w:pStyle w:val="BodyText"/>
        <w:spacing w:line="360" w:lineRule="auto"/>
        <w:ind w:left="102" w:right="116"/>
        <w:jc w:val="both"/>
      </w:pPr>
      <w:r>
        <w:rPr/>
        <w:t>En un estudio más reciente en la región de Minatitlán, Veracruz, los equinos</w:t>
      </w:r>
      <w:r>
        <w:rPr>
          <w:spacing w:val="-36"/>
        </w:rPr>
        <w:t> </w:t>
      </w:r>
      <w:r>
        <w:rPr/>
        <w:t>fueron expuestos de manera natural a la infección de EEV (Estrada- Franco, J.G., Unpublished data, 2009), uno de 5 animales murió con signos neurológicos graves (ataxia,</w:t>
      </w:r>
      <w:r>
        <w:rPr>
          <w:spacing w:val="-6"/>
        </w:rPr>
        <w:t> </w:t>
      </w:r>
      <w:r>
        <w:rPr/>
        <w:t>pedaleo,</w:t>
      </w:r>
      <w:r>
        <w:rPr>
          <w:spacing w:val="-6"/>
        </w:rPr>
        <w:t> </w:t>
      </w:r>
      <w:r>
        <w:rPr/>
        <w:t>incoordinación),</w:t>
      </w:r>
      <w:r>
        <w:rPr>
          <w:spacing w:val="-7"/>
        </w:rPr>
        <w:t> </w:t>
      </w:r>
      <w:r>
        <w:rPr/>
        <w:t>sin</w:t>
      </w:r>
      <w:r>
        <w:rPr>
          <w:spacing w:val="-9"/>
        </w:rPr>
        <w:t> </w:t>
      </w:r>
      <w:r>
        <w:rPr/>
        <w:t>embargo</w:t>
      </w:r>
      <w:r>
        <w:rPr>
          <w:spacing w:val="-6"/>
        </w:rPr>
        <w:t> </w:t>
      </w:r>
      <w:r>
        <w:rPr/>
        <w:t>no</w:t>
      </w:r>
      <w:r>
        <w:rPr>
          <w:spacing w:val="-8"/>
        </w:rPr>
        <w:t> </w:t>
      </w:r>
      <w:r>
        <w:rPr/>
        <w:t>fue</w:t>
      </w:r>
      <w:r>
        <w:rPr>
          <w:spacing w:val="-8"/>
        </w:rPr>
        <w:t> </w:t>
      </w:r>
      <w:r>
        <w:rPr/>
        <w:t>posible</w:t>
      </w:r>
      <w:r>
        <w:rPr>
          <w:spacing w:val="-6"/>
        </w:rPr>
        <w:t> </w:t>
      </w:r>
      <w:r>
        <w:rPr/>
        <w:t>realizar</w:t>
      </w:r>
      <w:r>
        <w:rPr>
          <w:spacing w:val="-7"/>
        </w:rPr>
        <w:t> </w:t>
      </w:r>
      <w:r>
        <w:rPr/>
        <w:t>la</w:t>
      </w:r>
      <w:r>
        <w:rPr>
          <w:spacing w:val="-6"/>
        </w:rPr>
        <w:t> </w:t>
      </w:r>
      <w:r>
        <w:rPr/>
        <w:t>necropsia</w:t>
      </w:r>
      <w:r>
        <w:rPr>
          <w:spacing w:val="-6"/>
        </w:rPr>
        <w:t> </w:t>
      </w:r>
      <w:r>
        <w:rPr/>
        <w:t>y no se obtuvieron muestras de ningún</w:t>
      </w:r>
      <w:r>
        <w:rPr>
          <w:spacing w:val="-14"/>
        </w:rPr>
        <w:t> </w:t>
      </w:r>
      <w:r>
        <w:rPr/>
        <w:t>tejido.</w:t>
      </w:r>
    </w:p>
    <w:p>
      <w:pPr>
        <w:pStyle w:val="BodyText"/>
        <w:spacing w:line="360" w:lineRule="auto" w:before="2"/>
        <w:ind w:left="102" w:right="120"/>
        <w:jc w:val="both"/>
      </w:pPr>
      <w:r>
        <w:rPr/>
        <w:t>Durante</w:t>
      </w:r>
      <w:r>
        <w:rPr>
          <w:spacing w:val="-15"/>
        </w:rPr>
        <w:t> </w:t>
      </w:r>
      <w:r>
        <w:rPr/>
        <w:t>esa</w:t>
      </w:r>
      <w:r>
        <w:rPr>
          <w:spacing w:val="-16"/>
        </w:rPr>
        <w:t> </w:t>
      </w:r>
      <w:r>
        <w:rPr/>
        <w:t>ocasión</w:t>
      </w:r>
      <w:r>
        <w:rPr>
          <w:spacing w:val="-16"/>
        </w:rPr>
        <w:t> </w:t>
      </w:r>
      <w:r>
        <w:rPr/>
        <w:t>fue</w:t>
      </w:r>
      <w:r>
        <w:rPr>
          <w:spacing w:val="-13"/>
        </w:rPr>
        <w:t> </w:t>
      </w:r>
      <w:r>
        <w:rPr/>
        <w:t>posible</w:t>
      </w:r>
      <w:r>
        <w:rPr>
          <w:spacing w:val="-13"/>
        </w:rPr>
        <w:t> </w:t>
      </w:r>
      <w:r>
        <w:rPr/>
        <w:t>aislar</w:t>
      </w:r>
      <w:r>
        <w:rPr>
          <w:spacing w:val="-15"/>
        </w:rPr>
        <w:t> </w:t>
      </w:r>
      <w:r>
        <w:rPr/>
        <w:t>el</w:t>
      </w:r>
      <w:r>
        <w:rPr>
          <w:spacing w:val="-14"/>
        </w:rPr>
        <w:t> </w:t>
      </w:r>
      <w:r>
        <w:rPr/>
        <w:t>virus</w:t>
      </w:r>
      <w:r>
        <w:rPr>
          <w:spacing w:val="-14"/>
        </w:rPr>
        <w:t> </w:t>
      </w:r>
      <w:r>
        <w:rPr/>
        <w:t>de</w:t>
      </w:r>
      <w:r>
        <w:rPr>
          <w:spacing w:val="-13"/>
        </w:rPr>
        <w:t> </w:t>
      </w:r>
      <w:r>
        <w:rPr/>
        <w:t>los</w:t>
      </w:r>
      <w:r>
        <w:rPr>
          <w:spacing w:val="-16"/>
        </w:rPr>
        <w:t> </w:t>
      </w:r>
      <w:r>
        <w:rPr/>
        <w:t>equinos,</w:t>
      </w:r>
      <w:r>
        <w:rPr>
          <w:spacing w:val="-16"/>
        </w:rPr>
        <w:t> </w:t>
      </w:r>
      <w:r>
        <w:rPr/>
        <w:t>así</w:t>
      </w:r>
      <w:r>
        <w:rPr>
          <w:spacing w:val="-16"/>
        </w:rPr>
        <w:t> </w:t>
      </w:r>
      <w:r>
        <w:rPr/>
        <w:t>como</w:t>
      </w:r>
      <w:r>
        <w:rPr>
          <w:spacing w:val="-16"/>
        </w:rPr>
        <w:t> </w:t>
      </w:r>
      <w:r>
        <w:rPr/>
        <w:t>de</w:t>
      </w:r>
      <w:r>
        <w:rPr>
          <w:spacing w:val="-16"/>
        </w:rPr>
        <w:t> </w:t>
      </w:r>
      <w:r>
        <w:rPr/>
        <w:t>hámsters colocados como carnada en trampas Trinidad y mosquitos recolectados en estas mismas trampas. El aislado se secuencio y se determinó que era diferente de los aislados hechos con anterioridad en la región, se denominó</w:t>
      </w:r>
      <w:r>
        <w:rPr>
          <w:spacing w:val="-19"/>
        </w:rPr>
        <w:t> </w:t>
      </w:r>
      <w:r>
        <w:rPr/>
        <w:t>MEX-MINAT-2008.</w:t>
      </w:r>
    </w:p>
    <w:p>
      <w:pPr>
        <w:pStyle w:val="BodyText"/>
        <w:spacing w:line="360" w:lineRule="auto" w:before="5"/>
        <w:ind w:left="102" w:right="117"/>
        <w:jc w:val="both"/>
      </w:pPr>
      <w:r>
        <w:rPr/>
        <w:t>Los siete equinos en el presente estudio presentaron anticuerpos neutralizantes desde entre los días 8-15, que iban desde 20 hasta 140.</w:t>
      </w:r>
    </w:p>
    <w:p>
      <w:pPr>
        <w:pStyle w:val="BodyText"/>
        <w:spacing w:line="360" w:lineRule="auto" w:before="5"/>
        <w:ind w:left="102" w:right="124"/>
        <w:jc w:val="both"/>
      </w:pPr>
      <w:r>
        <w:rPr/>
        <w:t>En el presente estudio dos de los siete equinos (1 y 6) presentaron signos neurológicos severos, que incluían ataxia, nistagmo, pedaleo, vueltas en círculo, disfagia y salivación, sin embargo ninguno de los animales murió, fueron eutanasiados.</w:t>
      </w:r>
    </w:p>
    <w:p>
      <w:pPr>
        <w:spacing w:after="0" w:line="360" w:lineRule="auto"/>
        <w:jc w:val="both"/>
        <w:sectPr>
          <w:footerReference w:type="default" r:id="rId275"/>
          <w:pgSz w:w="12240" w:h="15840"/>
          <w:pgMar w:footer="1120" w:header="0" w:top="1420" w:bottom="1320" w:left="1600" w:right="1580"/>
        </w:sectPr>
      </w:pPr>
    </w:p>
    <w:p>
      <w:pPr>
        <w:pStyle w:val="BodyText"/>
        <w:spacing w:line="360" w:lineRule="auto" w:before="54"/>
        <w:ind w:left="102" w:right="104"/>
        <w:jc w:val="both"/>
      </w:pPr>
      <w:r>
        <w:rPr/>
        <w:t>El</w:t>
      </w:r>
      <w:r>
        <w:rPr>
          <w:spacing w:val="-13"/>
        </w:rPr>
        <w:t> </w:t>
      </w:r>
      <w:r>
        <w:rPr/>
        <w:t>animal</w:t>
      </w:r>
      <w:r>
        <w:rPr>
          <w:spacing w:val="-13"/>
        </w:rPr>
        <w:t> </w:t>
      </w:r>
      <w:r>
        <w:rPr/>
        <w:t>2</w:t>
      </w:r>
      <w:r>
        <w:rPr>
          <w:spacing w:val="-14"/>
        </w:rPr>
        <w:t> </w:t>
      </w:r>
      <w:r>
        <w:rPr/>
        <w:t>no</w:t>
      </w:r>
      <w:r>
        <w:rPr>
          <w:spacing w:val="-12"/>
        </w:rPr>
        <w:t> </w:t>
      </w:r>
      <w:r>
        <w:rPr/>
        <w:t>presento</w:t>
      </w:r>
      <w:r>
        <w:rPr>
          <w:spacing w:val="-12"/>
        </w:rPr>
        <w:t> </w:t>
      </w:r>
      <w:r>
        <w:rPr/>
        <w:t>signos</w:t>
      </w:r>
      <w:r>
        <w:rPr>
          <w:spacing w:val="-13"/>
        </w:rPr>
        <w:t> </w:t>
      </w:r>
      <w:r>
        <w:rPr/>
        <w:t>neurológicos</w:t>
      </w:r>
      <w:r>
        <w:rPr>
          <w:spacing w:val="-14"/>
        </w:rPr>
        <w:t> </w:t>
      </w:r>
      <w:r>
        <w:rPr/>
        <w:t>de</w:t>
      </w:r>
      <w:r>
        <w:rPr>
          <w:spacing w:val="-12"/>
        </w:rPr>
        <w:t> </w:t>
      </w:r>
      <w:r>
        <w:rPr/>
        <w:t>ningún</w:t>
      </w:r>
      <w:r>
        <w:rPr>
          <w:spacing w:val="-12"/>
        </w:rPr>
        <w:t> </w:t>
      </w:r>
      <w:r>
        <w:rPr/>
        <w:t>tipo,</w:t>
      </w:r>
      <w:r>
        <w:rPr>
          <w:spacing w:val="-12"/>
        </w:rPr>
        <w:t> </w:t>
      </w:r>
      <w:r>
        <w:rPr/>
        <w:t>sin</w:t>
      </w:r>
      <w:r>
        <w:rPr>
          <w:spacing w:val="-12"/>
        </w:rPr>
        <w:t> </w:t>
      </w:r>
      <w:r>
        <w:rPr/>
        <w:t>embargo</w:t>
      </w:r>
      <w:r>
        <w:rPr>
          <w:spacing w:val="-12"/>
        </w:rPr>
        <w:t> </w:t>
      </w:r>
      <w:r>
        <w:rPr/>
        <w:t>fue</w:t>
      </w:r>
      <w:r>
        <w:rPr>
          <w:spacing w:val="-14"/>
        </w:rPr>
        <w:t> </w:t>
      </w:r>
      <w:r>
        <w:rPr/>
        <w:t>posible aislar</w:t>
      </w:r>
      <w:r>
        <w:rPr>
          <w:spacing w:val="-5"/>
        </w:rPr>
        <w:t> </w:t>
      </w:r>
      <w:r>
        <w:rPr/>
        <w:t>el</w:t>
      </w:r>
      <w:r>
        <w:rPr>
          <w:spacing w:val="-5"/>
        </w:rPr>
        <w:t> </w:t>
      </w:r>
      <w:r>
        <w:rPr/>
        <w:t>virus</w:t>
      </w:r>
      <w:r>
        <w:rPr>
          <w:spacing w:val="-4"/>
        </w:rPr>
        <w:t> </w:t>
      </w:r>
      <w:r>
        <w:rPr/>
        <w:t>del</w:t>
      </w:r>
      <w:r>
        <w:rPr>
          <w:spacing w:val="-5"/>
        </w:rPr>
        <w:t> </w:t>
      </w:r>
      <w:r>
        <w:rPr/>
        <w:t>encéfalo</w:t>
      </w:r>
      <w:r>
        <w:rPr>
          <w:spacing w:val="-4"/>
        </w:rPr>
        <w:t> </w:t>
      </w:r>
      <w:r>
        <w:rPr/>
        <w:t>y</w:t>
      </w:r>
      <w:r>
        <w:rPr>
          <w:spacing w:val="-7"/>
        </w:rPr>
        <w:t> </w:t>
      </w:r>
      <w:r>
        <w:rPr/>
        <w:t>de</w:t>
      </w:r>
      <w:r>
        <w:rPr>
          <w:spacing w:val="-4"/>
        </w:rPr>
        <w:t> </w:t>
      </w:r>
      <w:r>
        <w:rPr/>
        <w:t>la</w:t>
      </w:r>
      <w:r>
        <w:rPr>
          <w:spacing w:val="-4"/>
        </w:rPr>
        <w:t> </w:t>
      </w:r>
      <w:r>
        <w:rPr/>
        <w:t>médula</w:t>
      </w:r>
      <w:r>
        <w:rPr>
          <w:spacing w:val="-4"/>
        </w:rPr>
        <w:t> </w:t>
      </w:r>
      <w:r>
        <w:rPr/>
        <w:t>espinal,</w:t>
      </w:r>
      <w:r>
        <w:rPr>
          <w:spacing w:val="-4"/>
        </w:rPr>
        <w:t> </w:t>
      </w:r>
      <w:r>
        <w:rPr/>
        <w:t>lo</w:t>
      </w:r>
      <w:r>
        <w:rPr>
          <w:spacing w:val="-4"/>
        </w:rPr>
        <w:t> </w:t>
      </w:r>
      <w:r>
        <w:rPr/>
        <w:t>que</w:t>
      </w:r>
      <w:r>
        <w:rPr>
          <w:spacing w:val="-4"/>
        </w:rPr>
        <w:t> </w:t>
      </w:r>
      <w:r>
        <w:rPr/>
        <w:t>nos</w:t>
      </w:r>
      <w:r>
        <w:rPr>
          <w:spacing w:val="-4"/>
        </w:rPr>
        <w:t> </w:t>
      </w:r>
      <w:r>
        <w:rPr/>
        <w:t>indica</w:t>
      </w:r>
      <w:r>
        <w:rPr>
          <w:spacing w:val="-4"/>
        </w:rPr>
        <w:t> </w:t>
      </w:r>
      <w:r>
        <w:rPr/>
        <w:t>que</w:t>
      </w:r>
      <w:r>
        <w:rPr>
          <w:spacing w:val="-4"/>
        </w:rPr>
        <w:t> </w:t>
      </w:r>
      <w:r>
        <w:rPr/>
        <w:t>en</w:t>
      </w:r>
      <w:r>
        <w:rPr>
          <w:spacing w:val="-4"/>
        </w:rPr>
        <w:t> </w:t>
      </w:r>
      <w:r>
        <w:rPr/>
        <w:t>caso</w:t>
      </w:r>
      <w:r>
        <w:rPr>
          <w:spacing w:val="-4"/>
        </w:rPr>
        <w:t> </w:t>
      </w:r>
      <w:r>
        <w:rPr/>
        <w:t>de esta cepa enzoótica es posible que el animal adquiera la infección, se replique en nódulos linfáticos y llegue hasta el encéfalo, sin producir daños en el sistema nervioso.</w:t>
      </w:r>
    </w:p>
    <w:p>
      <w:pPr>
        <w:pStyle w:val="BodyText"/>
        <w:spacing w:line="360" w:lineRule="auto" w:before="5"/>
        <w:ind w:left="102" w:right="104"/>
        <w:jc w:val="both"/>
        <w:rPr>
          <w:sz w:val="16"/>
        </w:rPr>
      </w:pPr>
      <w:r>
        <w:rPr/>
        <w:t>Es de llamar la atención que en los siete equinos los valores de glóbulos rojos, hemoglobina y hematocrito estuvieron disminuidos prácticamente durante toda la etapa experimental. Esta alteración en los valores del hemograma había sido reportada previamente en infecciones experimentales de equinos con cepas epizoóticas. </w:t>
      </w:r>
      <w:r>
        <w:rPr>
          <w:position w:val="8"/>
          <w:sz w:val="16"/>
        </w:rPr>
        <w:t>(95)</w:t>
      </w:r>
    </w:p>
    <w:p>
      <w:pPr>
        <w:pStyle w:val="BodyText"/>
        <w:spacing w:line="360" w:lineRule="auto"/>
        <w:ind w:left="102" w:right="104"/>
        <w:jc w:val="both"/>
      </w:pPr>
      <w:r>
        <w:rPr/>
        <w:t>La neutrofilia generalizada de los siete animales, fue causada probablemente por una infección cutánea en el área de la colocación del dispositivo medidor de temperatura, aunada a la presencia de moscas.</w:t>
      </w:r>
    </w:p>
    <w:p>
      <w:pPr>
        <w:pStyle w:val="BodyText"/>
        <w:spacing w:line="360" w:lineRule="auto" w:before="5"/>
        <w:ind w:left="102" w:right="98"/>
        <w:jc w:val="both"/>
      </w:pPr>
      <w:r>
        <w:rPr/>
        <w:t>En 2014, cinco años después del último estudio realizado en Minatitlán, es posible afirmar que el VEEV subtipo IE, se encuentra en circulación constante, que si bien los equinos nos son considerados como amplificadores principales en el ciclo selvático de las cepas enzoóticas, si desarrollan una enfermedad clínica, y montan una respuesta neutralizante contra el VEEV.</w:t>
      </w:r>
    </w:p>
    <w:p>
      <w:pPr>
        <w:spacing w:after="0" w:line="360" w:lineRule="auto"/>
        <w:jc w:val="both"/>
        <w:sectPr>
          <w:footerReference w:type="default" r:id="rId277"/>
          <w:pgSz w:w="12240" w:h="15840"/>
          <w:pgMar w:footer="1116" w:header="0" w:top="1360" w:bottom="1300" w:left="1600" w:right="1600"/>
          <w:pgNumType w:start="71"/>
        </w:sectPr>
      </w:pPr>
    </w:p>
    <w:p>
      <w:pPr>
        <w:pStyle w:val="Heading4"/>
        <w:numPr>
          <w:ilvl w:val="0"/>
          <w:numId w:val="13"/>
        </w:numPr>
        <w:tabs>
          <w:tab w:pos="3897" w:val="left" w:leader="none"/>
        </w:tabs>
        <w:spacing w:line="240" w:lineRule="auto" w:before="54" w:after="0"/>
        <w:ind w:left="3897" w:right="0" w:hanging="363"/>
        <w:jc w:val="left"/>
      </w:pPr>
      <w:r>
        <w:rPr/>
        <w:t>CONCLUSIÓN</w:t>
      </w:r>
    </w:p>
    <w:p>
      <w:pPr>
        <w:pStyle w:val="BodyText"/>
        <w:rPr>
          <w:b/>
        </w:rPr>
      </w:pPr>
    </w:p>
    <w:p>
      <w:pPr>
        <w:pStyle w:val="BodyText"/>
        <w:rPr>
          <w:b/>
        </w:rPr>
      </w:pPr>
    </w:p>
    <w:p>
      <w:pPr>
        <w:pStyle w:val="BodyText"/>
        <w:spacing w:line="360" w:lineRule="auto"/>
        <w:ind w:left="102" w:right="124"/>
        <w:jc w:val="both"/>
      </w:pPr>
      <w:r>
        <w:rPr/>
        <w:t>La EEV continúa siendo una amenaza constante para la salud pública y animal en el continente americano, el presente estudio muestra la circulación y la transmisión enzoótica del VEEV en una región conurbada del estado de Veracruz.</w:t>
      </w:r>
    </w:p>
    <w:p>
      <w:pPr>
        <w:pStyle w:val="BodyText"/>
        <w:spacing w:line="360" w:lineRule="auto" w:before="5"/>
        <w:ind w:left="102" w:right="116"/>
        <w:jc w:val="both"/>
      </w:pPr>
      <w:r>
        <w:rPr/>
        <w:t>Si tomamos en cuenta que las cepas epizoóticas tienen el potencial de surgir de una cepa enzoótica, y que estas generalmente no son diagnosticadas correctamente por falta de infraestructura de los servicios de salud. Además de la movilización constante de individuos virémicos debido a la comercialización y el turismo, </w:t>
      </w:r>
      <w:r>
        <w:rPr>
          <w:color w:val="202020"/>
        </w:rPr>
        <w:t>subrayan una urgente necesidad de que los formuladores de políticas de salud pública de México y EE.UU., así como a la comunidad científica continúen desarrollando</w:t>
      </w:r>
      <w:r>
        <w:rPr>
          <w:color w:val="202020"/>
          <w:spacing w:val="-9"/>
        </w:rPr>
        <w:t> </w:t>
      </w:r>
      <w:r>
        <w:rPr>
          <w:color w:val="202020"/>
        </w:rPr>
        <w:t>estrategias</w:t>
      </w:r>
      <w:r>
        <w:rPr>
          <w:color w:val="202020"/>
          <w:spacing w:val="-9"/>
        </w:rPr>
        <w:t> </w:t>
      </w:r>
      <w:r>
        <w:rPr>
          <w:color w:val="202020"/>
        </w:rPr>
        <w:t>para</w:t>
      </w:r>
      <w:r>
        <w:rPr>
          <w:color w:val="202020"/>
          <w:spacing w:val="-9"/>
        </w:rPr>
        <w:t> </w:t>
      </w:r>
      <w:r>
        <w:rPr>
          <w:color w:val="202020"/>
        </w:rPr>
        <w:t>la</w:t>
      </w:r>
      <w:r>
        <w:rPr>
          <w:color w:val="202020"/>
          <w:spacing w:val="-11"/>
        </w:rPr>
        <w:t> </w:t>
      </w:r>
      <w:r>
        <w:rPr>
          <w:color w:val="202020"/>
        </w:rPr>
        <w:t>prevención</w:t>
      </w:r>
      <w:r>
        <w:rPr>
          <w:color w:val="202020"/>
          <w:spacing w:val="-10"/>
        </w:rPr>
        <w:t> </w:t>
      </w:r>
      <w:r>
        <w:rPr>
          <w:color w:val="202020"/>
        </w:rPr>
        <w:t>y</w:t>
      </w:r>
      <w:r>
        <w:rPr>
          <w:color w:val="202020"/>
          <w:spacing w:val="-12"/>
        </w:rPr>
        <w:t> </w:t>
      </w:r>
      <w:r>
        <w:rPr>
          <w:color w:val="202020"/>
        </w:rPr>
        <w:t>el</w:t>
      </w:r>
      <w:r>
        <w:rPr>
          <w:color w:val="202020"/>
          <w:spacing w:val="-10"/>
        </w:rPr>
        <w:t> </w:t>
      </w:r>
      <w:r>
        <w:rPr>
          <w:color w:val="202020"/>
        </w:rPr>
        <w:t>control</w:t>
      </w:r>
      <w:r>
        <w:rPr>
          <w:color w:val="202020"/>
          <w:spacing w:val="-12"/>
        </w:rPr>
        <w:t> </w:t>
      </w:r>
      <w:r>
        <w:rPr>
          <w:color w:val="202020"/>
        </w:rPr>
        <w:t>de</w:t>
      </w:r>
      <w:r>
        <w:rPr>
          <w:color w:val="202020"/>
          <w:spacing w:val="-8"/>
        </w:rPr>
        <w:t> </w:t>
      </w:r>
      <w:r>
        <w:rPr>
          <w:color w:val="202020"/>
        </w:rPr>
        <w:t>la</w:t>
      </w:r>
      <w:r>
        <w:rPr>
          <w:color w:val="202020"/>
          <w:spacing w:val="-8"/>
        </w:rPr>
        <w:t> </w:t>
      </w:r>
      <w:r>
        <w:rPr>
          <w:color w:val="202020"/>
        </w:rPr>
        <w:t>EEV</w:t>
      </w:r>
      <w:r>
        <w:rPr/>
        <w:t>,</w:t>
      </w:r>
      <w:r>
        <w:rPr>
          <w:spacing w:val="-11"/>
        </w:rPr>
        <w:t> </w:t>
      </w:r>
      <w:r>
        <w:rPr/>
        <w:t>es</w:t>
      </w:r>
      <w:r>
        <w:rPr>
          <w:spacing w:val="-9"/>
        </w:rPr>
        <w:t> </w:t>
      </w:r>
      <w:r>
        <w:rPr/>
        <w:t>la</w:t>
      </w:r>
      <w:r>
        <w:rPr>
          <w:spacing w:val="-9"/>
        </w:rPr>
        <w:t> </w:t>
      </w:r>
      <w:r>
        <w:rPr/>
        <w:t>unificación de</w:t>
      </w:r>
      <w:r>
        <w:rPr>
          <w:spacing w:val="-11"/>
        </w:rPr>
        <w:t> </w:t>
      </w:r>
      <w:r>
        <w:rPr/>
        <w:t>los</w:t>
      </w:r>
      <w:r>
        <w:rPr>
          <w:spacing w:val="-5"/>
        </w:rPr>
        <w:t> </w:t>
      </w:r>
      <w:r>
        <w:rPr/>
        <w:t>esfuerzos</w:t>
      </w:r>
      <w:r>
        <w:rPr>
          <w:spacing w:val="-5"/>
        </w:rPr>
        <w:t> </w:t>
      </w:r>
      <w:r>
        <w:rPr/>
        <w:t>de</w:t>
      </w:r>
      <w:r>
        <w:rPr>
          <w:spacing w:val="-5"/>
        </w:rPr>
        <w:t> </w:t>
      </w:r>
      <w:r>
        <w:rPr/>
        <w:t>los</w:t>
      </w:r>
      <w:r>
        <w:rPr>
          <w:spacing w:val="-6"/>
        </w:rPr>
        <w:t> </w:t>
      </w:r>
      <w:r>
        <w:rPr/>
        <w:t>diferentes</w:t>
      </w:r>
      <w:r>
        <w:rPr>
          <w:spacing w:val="-5"/>
        </w:rPr>
        <w:t> </w:t>
      </w:r>
      <w:r>
        <w:rPr/>
        <w:t>sectores</w:t>
      </w:r>
      <w:r>
        <w:rPr>
          <w:spacing w:val="-5"/>
        </w:rPr>
        <w:t> </w:t>
      </w:r>
      <w:r>
        <w:rPr/>
        <w:t>del</w:t>
      </w:r>
      <w:r>
        <w:rPr>
          <w:spacing w:val="-5"/>
        </w:rPr>
        <w:t> </w:t>
      </w:r>
      <w:r>
        <w:rPr/>
        <w:t>nivel</w:t>
      </w:r>
      <w:r>
        <w:rPr>
          <w:spacing w:val="-5"/>
        </w:rPr>
        <w:t> </w:t>
      </w:r>
      <w:r>
        <w:rPr/>
        <w:t>público</w:t>
      </w:r>
      <w:r>
        <w:rPr>
          <w:spacing w:val="-5"/>
        </w:rPr>
        <w:t> </w:t>
      </w:r>
      <w:r>
        <w:rPr/>
        <w:t>y</w:t>
      </w:r>
      <w:r>
        <w:rPr>
          <w:spacing w:val="-7"/>
        </w:rPr>
        <w:t> </w:t>
      </w:r>
      <w:r>
        <w:rPr/>
        <w:t>del</w:t>
      </w:r>
      <w:r>
        <w:rPr>
          <w:spacing w:val="-5"/>
        </w:rPr>
        <w:t> </w:t>
      </w:r>
      <w:r>
        <w:rPr/>
        <w:t>privado,</w:t>
      </w:r>
      <w:r>
        <w:rPr>
          <w:spacing w:val="-5"/>
        </w:rPr>
        <w:t> </w:t>
      </w:r>
      <w:r>
        <w:rPr/>
        <w:t>mediante el</w:t>
      </w:r>
      <w:r>
        <w:rPr>
          <w:spacing w:val="-11"/>
        </w:rPr>
        <w:t> </w:t>
      </w:r>
      <w:r>
        <w:rPr/>
        <w:t>trabajo</w:t>
      </w:r>
      <w:r>
        <w:rPr>
          <w:spacing w:val="-10"/>
        </w:rPr>
        <w:t> </w:t>
      </w:r>
      <w:r>
        <w:rPr/>
        <w:t>interdisciplinario,</w:t>
      </w:r>
      <w:r>
        <w:rPr>
          <w:spacing w:val="-12"/>
        </w:rPr>
        <w:t> </w:t>
      </w:r>
      <w:r>
        <w:rPr/>
        <w:t>la</w:t>
      </w:r>
      <w:r>
        <w:rPr>
          <w:spacing w:val="-12"/>
        </w:rPr>
        <w:t> </w:t>
      </w:r>
      <w:r>
        <w:rPr/>
        <w:t>coordinación</w:t>
      </w:r>
      <w:r>
        <w:rPr>
          <w:spacing w:val="-9"/>
        </w:rPr>
        <w:t> </w:t>
      </w:r>
      <w:r>
        <w:rPr/>
        <w:t>y</w:t>
      </w:r>
      <w:r>
        <w:rPr>
          <w:spacing w:val="-14"/>
        </w:rPr>
        <w:t> </w:t>
      </w:r>
      <w:r>
        <w:rPr/>
        <w:t>cooperación</w:t>
      </w:r>
      <w:r>
        <w:rPr>
          <w:spacing w:val="-12"/>
        </w:rPr>
        <w:t> </w:t>
      </w:r>
      <w:r>
        <w:rPr/>
        <w:t>en</w:t>
      </w:r>
      <w:r>
        <w:rPr>
          <w:spacing w:val="-12"/>
        </w:rPr>
        <w:t> </w:t>
      </w:r>
      <w:r>
        <w:rPr/>
        <w:t>el</w:t>
      </w:r>
      <w:r>
        <w:rPr>
          <w:spacing w:val="-13"/>
        </w:rPr>
        <w:t> </w:t>
      </w:r>
      <w:r>
        <w:rPr/>
        <w:t>ámbito</w:t>
      </w:r>
      <w:r>
        <w:rPr>
          <w:spacing w:val="-9"/>
        </w:rPr>
        <w:t> </w:t>
      </w:r>
      <w:r>
        <w:rPr/>
        <w:t>nacional</w:t>
      </w:r>
      <w:r>
        <w:rPr>
          <w:spacing w:val="-11"/>
        </w:rPr>
        <w:t> </w:t>
      </w:r>
      <w:r>
        <w:rPr/>
        <w:t>y</w:t>
      </w:r>
      <w:r>
        <w:rPr>
          <w:spacing w:val="-13"/>
        </w:rPr>
        <w:t> </w:t>
      </w:r>
      <w:r>
        <w:rPr/>
        <w:t>en el</w:t>
      </w:r>
      <w:r>
        <w:rPr>
          <w:spacing w:val="-5"/>
        </w:rPr>
        <w:t> </w:t>
      </w:r>
      <w:r>
        <w:rPr/>
        <w:t>internacional.</w:t>
      </w:r>
    </w:p>
    <w:p>
      <w:pPr>
        <w:pStyle w:val="BodyText"/>
        <w:spacing w:line="360" w:lineRule="auto" w:before="5"/>
        <w:ind w:left="102" w:right="116"/>
        <w:jc w:val="both"/>
      </w:pPr>
      <w:r>
        <w:rPr/>
        <w:t>Son varios los aspectos que se deben reforzar, estos tienen que ver con la generación de conocimiento, mediante un programa de investigación estratégica que abarque los agentes, los vectores y reservorios, los sistemas de información y vigilancia epidemiológica.</w:t>
      </w:r>
    </w:p>
    <w:p>
      <w:pPr>
        <w:pStyle w:val="BodyText"/>
        <w:spacing w:line="360" w:lineRule="auto" w:before="5"/>
        <w:ind w:left="102" w:right="123"/>
        <w:jc w:val="both"/>
      </w:pPr>
      <w:r>
        <w:rPr/>
        <w:t>Se</w:t>
      </w:r>
      <w:r>
        <w:rPr>
          <w:spacing w:val="-6"/>
        </w:rPr>
        <w:t> </w:t>
      </w:r>
      <w:r>
        <w:rPr/>
        <w:t>deben</w:t>
      </w:r>
      <w:r>
        <w:rPr>
          <w:spacing w:val="-7"/>
        </w:rPr>
        <w:t> </w:t>
      </w:r>
      <w:r>
        <w:rPr/>
        <w:t>tener</w:t>
      </w:r>
      <w:r>
        <w:rPr>
          <w:spacing w:val="-7"/>
        </w:rPr>
        <w:t> </w:t>
      </w:r>
      <w:r>
        <w:rPr/>
        <w:t>bien</w:t>
      </w:r>
      <w:r>
        <w:rPr>
          <w:spacing w:val="-6"/>
        </w:rPr>
        <w:t> </w:t>
      </w:r>
      <w:r>
        <w:rPr/>
        <w:t>identificados</w:t>
      </w:r>
      <w:r>
        <w:rPr>
          <w:spacing w:val="-7"/>
        </w:rPr>
        <w:t> </w:t>
      </w:r>
      <w:r>
        <w:rPr/>
        <w:t>todos</w:t>
      </w:r>
      <w:r>
        <w:rPr>
          <w:spacing w:val="-7"/>
        </w:rPr>
        <w:t> </w:t>
      </w:r>
      <w:r>
        <w:rPr/>
        <w:t>los</w:t>
      </w:r>
      <w:r>
        <w:rPr>
          <w:spacing w:val="-6"/>
        </w:rPr>
        <w:t> </w:t>
      </w:r>
      <w:r>
        <w:rPr/>
        <w:t>elementos</w:t>
      </w:r>
      <w:r>
        <w:rPr>
          <w:spacing w:val="-7"/>
        </w:rPr>
        <w:t> </w:t>
      </w:r>
      <w:r>
        <w:rPr/>
        <w:t>involucrados</w:t>
      </w:r>
      <w:r>
        <w:rPr>
          <w:spacing w:val="-9"/>
        </w:rPr>
        <w:t> </w:t>
      </w:r>
      <w:r>
        <w:rPr/>
        <w:t>en</w:t>
      </w:r>
      <w:r>
        <w:rPr>
          <w:spacing w:val="-6"/>
        </w:rPr>
        <w:t> </w:t>
      </w:r>
      <w:r>
        <w:rPr/>
        <w:t>los</w:t>
      </w:r>
      <w:r>
        <w:rPr>
          <w:spacing w:val="-6"/>
        </w:rPr>
        <w:t> </w:t>
      </w:r>
      <w:r>
        <w:rPr/>
        <w:t>ciclos</w:t>
      </w:r>
      <w:r>
        <w:rPr>
          <w:spacing w:val="-7"/>
        </w:rPr>
        <w:t> </w:t>
      </w:r>
      <w:r>
        <w:rPr/>
        <w:t>de transmisión viral, los hospederos amplificadores y los vectores transmisores. Tanto el equino como el humano son hospederos incidentales, que se infectan el entrar en ecosistemas en donde se encuentra la circulación</w:t>
      </w:r>
      <w:r>
        <w:rPr>
          <w:spacing w:val="-22"/>
        </w:rPr>
        <w:t> </w:t>
      </w:r>
      <w:r>
        <w:rPr/>
        <w:t>viral.</w:t>
      </w:r>
    </w:p>
    <w:p>
      <w:pPr>
        <w:pStyle w:val="BodyText"/>
        <w:spacing w:line="360" w:lineRule="auto" w:before="5"/>
        <w:ind w:left="102" w:right="115"/>
        <w:jc w:val="both"/>
      </w:pPr>
      <w:r>
        <w:rPr/>
        <w:t>Es importante mantener a la población informada acerca de la enfermedad y sus posibles maneras de prevención, los organismos de control deberán promover espacios para la discusión, e implementar estrategias eficaces en materia de educación sanitaria, dirigidas hacia comunidad según sus características</w:t>
      </w:r>
      <w:r>
        <w:rPr>
          <w:spacing w:val="-29"/>
        </w:rPr>
        <w:t> </w:t>
      </w:r>
      <w:r>
        <w:rPr/>
        <w:t>culturales y nivel</w:t>
      </w:r>
      <w:r>
        <w:rPr>
          <w:spacing w:val="-8"/>
        </w:rPr>
        <w:t> </w:t>
      </w:r>
      <w:r>
        <w:rPr/>
        <w:t>educativo.</w:t>
      </w:r>
    </w:p>
    <w:p>
      <w:pPr>
        <w:pStyle w:val="BodyText"/>
        <w:spacing w:line="360" w:lineRule="auto" w:before="2"/>
        <w:ind w:left="102" w:right="119"/>
        <w:jc w:val="both"/>
      </w:pPr>
      <w:r>
        <w:rPr/>
        <w:t>La vigilancia epidemiológica del VEEV comprende el monitoreo de la actividad vírica, las poblaciones de vectores, las infecciones en huéspedes vertebrados,  los</w:t>
      </w:r>
    </w:p>
    <w:p>
      <w:pPr>
        <w:spacing w:after="0" w:line="360" w:lineRule="auto"/>
        <w:jc w:val="both"/>
        <w:sectPr>
          <w:pgSz w:w="12240" w:h="15840"/>
          <w:pgMar w:header="0" w:footer="1116" w:top="1360" w:bottom="1320" w:left="1600" w:right="1580"/>
        </w:sectPr>
      </w:pPr>
    </w:p>
    <w:p>
      <w:pPr>
        <w:pStyle w:val="BodyText"/>
        <w:spacing w:line="362" w:lineRule="auto" w:before="54"/>
        <w:ind w:left="102" w:right="105"/>
        <w:jc w:val="both"/>
      </w:pPr>
      <w:r>
        <w:rPr/>
        <w:t>casos en seres humanos, el clima y otros factores, para poder detectar o predecir cambios en la dinámica de transmisión de los agentes víricos.</w:t>
      </w:r>
    </w:p>
    <w:p>
      <w:pPr>
        <w:pStyle w:val="BodyText"/>
        <w:spacing w:line="360" w:lineRule="auto"/>
        <w:ind w:left="102" w:right="102"/>
        <w:jc w:val="both"/>
      </w:pPr>
      <w:r>
        <w:rPr/>
        <w:t>Los programas de vigilancia deben centrar sus actividades en las zonas de mayor concentración</w:t>
      </w:r>
      <w:r>
        <w:rPr>
          <w:spacing w:val="-20"/>
        </w:rPr>
        <w:t> </w:t>
      </w:r>
      <w:r>
        <w:rPr/>
        <w:t>de</w:t>
      </w:r>
      <w:r>
        <w:rPr>
          <w:spacing w:val="-18"/>
        </w:rPr>
        <w:t> </w:t>
      </w:r>
      <w:r>
        <w:rPr/>
        <w:t>equinos,</w:t>
      </w:r>
      <w:r>
        <w:rPr>
          <w:spacing w:val="-18"/>
        </w:rPr>
        <w:t> </w:t>
      </w:r>
      <w:r>
        <w:rPr/>
        <w:t>cercanas</w:t>
      </w:r>
      <w:r>
        <w:rPr>
          <w:spacing w:val="-19"/>
        </w:rPr>
        <w:t> </w:t>
      </w:r>
      <w:r>
        <w:rPr/>
        <w:t>a</w:t>
      </w:r>
      <w:r>
        <w:rPr>
          <w:spacing w:val="-18"/>
        </w:rPr>
        <w:t> </w:t>
      </w:r>
      <w:r>
        <w:rPr/>
        <w:t>los</w:t>
      </w:r>
      <w:r>
        <w:rPr>
          <w:spacing w:val="-18"/>
        </w:rPr>
        <w:t> </w:t>
      </w:r>
      <w:r>
        <w:rPr/>
        <w:t>centros</w:t>
      </w:r>
      <w:r>
        <w:rPr>
          <w:spacing w:val="-19"/>
        </w:rPr>
        <w:t> </w:t>
      </w:r>
      <w:r>
        <w:rPr/>
        <w:t>urbanos,</w:t>
      </w:r>
      <w:r>
        <w:rPr>
          <w:spacing w:val="-18"/>
        </w:rPr>
        <w:t> </w:t>
      </w:r>
      <w:r>
        <w:rPr/>
        <w:t>o</w:t>
      </w:r>
      <w:r>
        <w:rPr>
          <w:spacing w:val="-20"/>
        </w:rPr>
        <w:t> </w:t>
      </w:r>
      <w:r>
        <w:rPr/>
        <w:t>en</w:t>
      </w:r>
      <w:r>
        <w:rPr>
          <w:spacing w:val="-18"/>
        </w:rPr>
        <w:t> </w:t>
      </w:r>
      <w:r>
        <w:rPr/>
        <w:t>los</w:t>
      </w:r>
      <w:r>
        <w:rPr>
          <w:spacing w:val="-21"/>
        </w:rPr>
        <w:t> </w:t>
      </w:r>
      <w:r>
        <w:rPr/>
        <w:t>focos</w:t>
      </w:r>
      <w:r>
        <w:rPr>
          <w:spacing w:val="-19"/>
        </w:rPr>
        <w:t> </w:t>
      </w:r>
      <w:r>
        <w:rPr/>
        <w:t>enzoóticos que ya han sido reportados previamente, como es el caso de Minatitlán, específicamente</w:t>
      </w:r>
      <w:r>
        <w:rPr>
          <w:spacing w:val="-19"/>
        </w:rPr>
        <w:t> </w:t>
      </w:r>
      <w:r>
        <w:rPr/>
        <w:t>el</w:t>
      </w:r>
      <w:r>
        <w:rPr>
          <w:spacing w:val="-18"/>
        </w:rPr>
        <w:t> </w:t>
      </w:r>
      <w:r>
        <w:rPr/>
        <w:t>Ejido</w:t>
      </w:r>
      <w:r>
        <w:rPr>
          <w:spacing w:val="-19"/>
        </w:rPr>
        <w:t> </w:t>
      </w:r>
      <w:r>
        <w:rPr/>
        <w:t>Tacoteno,</w:t>
      </w:r>
      <w:r>
        <w:rPr>
          <w:spacing w:val="-19"/>
        </w:rPr>
        <w:t> </w:t>
      </w:r>
      <w:r>
        <w:rPr/>
        <w:t>en</w:t>
      </w:r>
      <w:r>
        <w:rPr>
          <w:spacing w:val="-19"/>
        </w:rPr>
        <w:t> </w:t>
      </w:r>
      <w:r>
        <w:rPr/>
        <w:t>el</w:t>
      </w:r>
      <w:r>
        <w:rPr>
          <w:spacing w:val="-18"/>
        </w:rPr>
        <w:t> </w:t>
      </w:r>
      <w:r>
        <w:rPr/>
        <w:t>que</w:t>
      </w:r>
      <w:r>
        <w:rPr>
          <w:spacing w:val="-19"/>
        </w:rPr>
        <w:t> </w:t>
      </w:r>
      <w:r>
        <w:rPr/>
        <w:t>se</w:t>
      </w:r>
      <w:r>
        <w:rPr>
          <w:spacing w:val="-17"/>
        </w:rPr>
        <w:t> </w:t>
      </w:r>
      <w:r>
        <w:rPr/>
        <w:t>ha</w:t>
      </w:r>
      <w:r>
        <w:rPr>
          <w:spacing w:val="-17"/>
        </w:rPr>
        <w:t> </w:t>
      </w:r>
      <w:r>
        <w:rPr/>
        <w:t>reportado</w:t>
      </w:r>
      <w:r>
        <w:rPr>
          <w:spacing w:val="-17"/>
        </w:rPr>
        <w:t> </w:t>
      </w:r>
      <w:r>
        <w:rPr/>
        <w:t>la</w:t>
      </w:r>
      <w:r>
        <w:rPr>
          <w:spacing w:val="-17"/>
        </w:rPr>
        <w:t> </w:t>
      </w:r>
      <w:r>
        <w:rPr/>
        <w:t>circulación</w:t>
      </w:r>
      <w:r>
        <w:rPr>
          <w:spacing w:val="-19"/>
        </w:rPr>
        <w:t> </w:t>
      </w:r>
      <w:r>
        <w:rPr/>
        <w:t>de</w:t>
      </w:r>
      <w:r>
        <w:rPr>
          <w:spacing w:val="-19"/>
        </w:rPr>
        <w:t> </w:t>
      </w:r>
      <w:r>
        <w:rPr/>
        <w:t>VEEV subtipo IE desde</w:t>
      </w:r>
      <w:r>
        <w:rPr>
          <w:spacing w:val="-10"/>
        </w:rPr>
        <w:t> </w:t>
      </w:r>
      <w:r>
        <w:rPr/>
        <w:t>2008.</w:t>
      </w:r>
    </w:p>
    <w:p>
      <w:pPr>
        <w:pStyle w:val="BodyText"/>
        <w:spacing w:line="360" w:lineRule="auto" w:before="5"/>
        <w:ind w:left="102" w:right="103"/>
        <w:jc w:val="both"/>
      </w:pPr>
      <w:r>
        <w:rPr/>
        <w:t>Estudios</w:t>
      </w:r>
      <w:r>
        <w:rPr>
          <w:spacing w:val="-17"/>
        </w:rPr>
        <w:t> </w:t>
      </w:r>
      <w:r>
        <w:rPr/>
        <w:t>complementarios</w:t>
      </w:r>
      <w:r>
        <w:rPr>
          <w:spacing w:val="-15"/>
        </w:rPr>
        <w:t> </w:t>
      </w:r>
      <w:r>
        <w:rPr/>
        <w:t>para</w:t>
      </w:r>
      <w:r>
        <w:rPr>
          <w:spacing w:val="-17"/>
        </w:rPr>
        <w:t> </w:t>
      </w:r>
      <w:r>
        <w:rPr/>
        <w:t>secuenciar</w:t>
      </w:r>
      <w:r>
        <w:rPr>
          <w:spacing w:val="-18"/>
        </w:rPr>
        <w:t> </w:t>
      </w:r>
      <w:r>
        <w:rPr/>
        <w:t>los</w:t>
      </w:r>
      <w:r>
        <w:rPr>
          <w:spacing w:val="-15"/>
        </w:rPr>
        <w:t> </w:t>
      </w:r>
      <w:r>
        <w:rPr/>
        <w:t>aislados</w:t>
      </w:r>
      <w:r>
        <w:rPr>
          <w:spacing w:val="-15"/>
        </w:rPr>
        <w:t> </w:t>
      </w:r>
      <w:r>
        <w:rPr/>
        <w:t>obtenidos</w:t>
      </w:r>
      <w:r>
        <w:rPr>
          <w:spacing w:val="-17"/>
        </w:rPr>
        <w:t> </w:t>
      </w:r>
      <w:r>
        <w:rPr/>
        <w:t>durante</w:t>
      </w:r>
      <w:r>
        <w:rPr>
          <w:spacing w:val="-16"/>
        </w:rPr>
        <w:t> </w:t>
      </w:r>
      <w:r>
        <w:rPr/>
        <w:t>el</w:t>
      </w:r>
      <w:r>
        <w:rPr>
          <w:spacing w:val="-18"/>
        </w:rPr>
        <w:t> </w:t>
      </w:r>
      <w:r>
        <w:rPr/>
        <w:t>trabajo de investigación son necesarios para determinar si se trata de las mismas cepas que se han aislado previamente en la región o estamos tratando con una nueva cepa. Así mismo es necesario conducir un experimento para evaluar la patogenicidad del VEEV en equinos, en condiciones controladas, para minimizar el impacto de los factores externos y de esta forma obtener datos más</w:t>
      </w:r>
      <w:r>
        <w:rPr>
          <w:spacing w:val="-23"/>
        </w:rPr>
        <w:t> </w:t>
      </w:r>
      <w:r>
        <w:rPr/>
        <w:t>concisos.</w:t>
      </w:r>
    </w:p>
    <w:p>
      <w:pPr>
        <w:pStyle w:val="BodyText"/>
        <w:spacing w:line="360" w:lineRule="auto" w:before="5"/>
        <w:ind w:left="102" w:right="98"/>
        <w:jc w:val="both"/>
      </w:pPr>
      <w:r>
        <w:rPr/>
        <w:t>Sin embargo con todos los elementos obtenidos en el presente estudio se puede concluir que la cepa zontica subtipo IE circulante en el Golfo de México, si produce enfermedad en los equinos. Es importante tener caracterizada la enfermedad causada</w:t>
      </w:r>
      <w:r>
        <w:rPr>
          <w:spacing w:val="-16"/>
        </w:rPr>
        <w:t> </w:t>
      </w:r>
      <w:r>
        <w:rPr/>
        <w:t>por</w:t>
      </w:r>
      <w:r>
        <w:rPr>
          <w:spacing w:val="-15"/>
        </w:rPr>
        <w:t> </w:t>
      </w:r>
      <w:r>
        <w:rPr/>
        <w:t>el</w:t>
      </w:r>
      <w:r>
        <w:rPr>
          <w:spacing w:val="-14"/>
        </w:rPr>
        <w:t> </w:t>
      </w:r>
      <w:r>
        <w:rPr/>
        <w:t>VEEV</w:t>
      </w:r>
      <w:r>
        <w:rPr>
          <w:spacing w:val="-16"/>
        </w:rPr>
        <w:t> </w:t>
      </w:r>
      <w:r>
        <w:rPr/>
        <w:t>subtipo</w:t>
      </w:r>
      <w:r>
        <w:rPr>
          <w:spacing w:val="-13"/>
        </w:rPr>
        <w:t> </w:t>
      </w:r>
      <w:r>
        <w:rPr/>
        <w:t>IE</w:t>
      </w:r>
      <w:r>
        <w:rPr>
          <w:spacing w:val="-15"/>
        </w:rPr>
        <w:t> </w:t>
      </w:r>
      <w:r>
        <w:rPr/>
        <w:t>porque</w:t>
      </w:r>
      <w:r>
        <w:rPr>
          <w:spacing w:val="-16"/>
        </w:rPr>
        <w:t> </w:t>
      </w:r>
      <w:r>
        <w:rPr/>
        <w:t>es</w:t>
      </w:r>
      <w:r>
        <w:rPr>
          <w:spacing w:val="42"/>
        </w:rPr>
        <w:t> </w:t>
      </w:r>
      <w:r>
        <w:rPr/>
        <w:t>el</w:t>
      </w:r>
      <w:r>
        <w:rPr>
          <w:spacing w:val="-14"/>
        </w:rPr>
        <w:t> </w:t>
      </w:r>
      <w:r>
        <w:rPr/>
        <w:t>indicador</w:t>
      </w:r>
      <w:r>
        <w:rPr>
          <w:spacing w:val="-15"/>
        </w:rPr>
        <w:t> </w:t>
      </w:r>
      <w:r>
        <w:rPr/>
        <w:t>más</w:t>
      </w:r>
      <w:r>
        <w:rPr>
          <w:spacing w:val="-14"/>
        </w:rPr>
        <w:t> </w:t>
      </w:r>
      <w:r>
        <w:rPr/>
        <w:t>común</w:t>
      </w:r>
      <w:r>
        <w:rPr>
          <w:spacing w:val="-13"/>
        </w:rPr>
        <w:t> </w:t>
      </w:r>
      <w:r>
        <w:rPr/>
        <w:t>de</w:t>
      </w:r>
      <w:r>
        <w:rPr>
          <w:spacing w:val="-13"/>
        </w:rPr>
        <w:t> </w:t>
      </w:r>
      <w:r>
        <w:rPr/>
        <w:t>la</w:t>
      </w:r>
      <w:r>
        <w:rPr>
          <w:spacing w:val="-13"/>
        </w:rPr>
        <w:t> </w:t>
      </w:r>
      <w:r>
        <w:rPr/>
        <w:t>inminencia de</w:t>
      </w:r>
      <w:r>
        <w:rPr>
          <w:spacing w:val="-18"/>
        </w:rPr>
        <w:t> </w:t>
      </w:r>
      <w:r>
        <w:rPr/>
        <w:t>un</w:t>
      </w:r>
      <w:r>
        <w:rPr>
          <w:spacing w:val="-18"/>
        </w:rPr>
        <w:t> </w:t>
      </w:r>
      <w:r>
        <w:rPr/>
        <w:t>brote</w:t>
      </w:r>
      <w:r>
        <w:rPr>
          <w:spacing w:val="-18"/>
        </w:rPr>
        <w:t> </w:t>
      </w:r>
      <w:r>
        <w:rPr/>
        <w:t>de</w:t>
      </w:r>
      <w:r>
        <w:rPr>
          <w:spacing w:val="-17"/>
        </w:rPr>
        <w:t> </w:t>
      </w:r>
      <w:r>
        <w:rPr/>
        <w:t>encefalitis</w:t>
      </w:r>
      <w:r>
        <w:rPr>
          <w:spacing w:val="-17"/>
        </w:rPr>
        <w:t> </w:t>
      </w:r>
      <w:r>
        <w:rPr/>
        <w:t>equina</w:t>
      </w:r>
      <w:r>
        <w:rPr>
          <w:spacing w:val="-18"/>
        </w:rPr>
        <w:t> </w:t>
      </w:r>
      <w:r>
        <w:rPr/>
        <w:t>es</w:t>
      </w:r>
      <w:r>
        <w:rPr>
          <w:spacing w:val="-17"/>
        </w:rPr>
        <w:t> </w:t>
      </w:r>
      <w:r>
        <w:rPr/>
        <w:t>la</w:t>
      </w:r>
      <w:r>
        <w:rPr>
          <w:spacing w:val="-18"/>
        </w:rPr>
        <w:t> </w:t>
      </w:r>
      <w:r>
        <w:rPr/>
        <w:t>aparición</w:t>
      </w:r>
      <w:r>
        <w:rPr>
          <w:spacing w:val="-16"/>
        </w:rPr>
        <w:t> </w:t>
      </w:r>
      <w:r>
        <w:rPr/>
        <w:t>de</w:t>
      </w:r>
      <w:r>
        <w:rPr>
          <w:spacing w:val="-17"/>
        </w:rPr>
        <w:t> </w:t>
      </w:r>
      <w:r>
        <w:rPr/>
        <w:t>casos</w:t>
      </w:r>
      <w:r>
        <w:rPr>
          <w:spacing w:val="-17"/>
        </w:rPr>
        <w:t> </w:t>
      </w:r>
      <w:r>
        <w:rPr/>
        <w:t>clínicos</w:t>
      </w:r>
      <w:r>
        <w:rPr>
          <w:spacing w:val="-17"/>
        </w:rPr>
        <w:t> </w:t>
      </w:r>
      <w:r>
        <w:rPr/>
        <w:t>en</w:t>
      </w:r>
      <w:r>
        <w:rPr>
          <w:spacing w:val="-18"/>
        </w:rPr>
        <w:t> </w:t>
      </w:r>
      <w:r>
        <w:rPr/>
        <w:t>estos</w:t>
      </w:r>
      <w:r>
        <w:rPr>
          <w:spacing w:val="-19"/>
        </w:rPr>
        <w:t> </w:t>
      </w:r>
      <w:r>
        <w:rPr/>
        <w:t>animales. Al ser amplificadores muy eficientes del virus, tienen niveles de viremia muy altos, lo que propicia un aumento en la transmisión de la</w:t>
      </w:r>
      <w:r>
        <w:rPr>
          <w:spacing w:val="-20"/>
        </w:rPr>
        <w:t> </w:t>
      </w:r>
      <w:r>
        <w:rPr/>
        <w:t>enfermedad.</w:t>
      </w:r>
    </w:p>
    <w:p>
      <w:pPr>
        <w:spacing w:after="0" w:line="360" w:lineRule="auto"/>
        <w:jc w:val="both"/>
        <w:sectPr>
          <w:pgSz w:w="12240" w:h="15840"/>
          <w:pgMar w:header="0" w:footer="1116" w:top="1360" w:bottom="1300" w:left="1600" w:right="1600"/>
        </w:sectPr>
      </w:pPr>
    </w:p>
    <w:p>
      <w:pPr>
        <w:pStyle w:val="Heading4"/>
        <w:numPr>
          <w:ilvl w:val="0"/>
          <w:numId w:val="13"/>
        </w:numPr>
        <w:tabs>
          <w:tab w:pos="3809" w:val="left" w:leader="none"/>
        </w:tabs>
        <w:spacing w:line="240" w:lineRule="auto" w:before="54" w:after="0"/>
        <w:ind w:left="3808" w:right="0" w:hanging="295"/>
        <w:jc w:val="left"/>
      </w:pPr>
      <w:r>
        <w:rPr/>
        <w:t>REFERENCIAS</w:t>
      </w:r>
    </w:p>
    <w:p>
      <w:pPr>
        <w:spacing w:before="138"/>
        <w:ind w:left="102" w:right="0" w:firstLine="0"/>
        <w:jc w:val="left"/>
        <w:rPr>
          <w:sz w:val="16"/>
        </w:rPr>
      </w:pPr>
      <w:r>
        <w:rPr>
          <w:w w:val="100"/>
          <w:sz w:val="16"/>
        </w:rPr>
        <w:t>1</w:t>
      </w:r>
    </w:p>
    <w:p>
      <w:pPr>
        <w:pStyle w:val="BodyText"/>
        <w:spacing w:before="6"/>
        <w:rPr>
          <w:sz w:val="9"/>
        </w:rPr>
      </w:pPr>
    </w:p>
    <w:p>
      <w:pPr>
        <w:spacing w:after="0"/>
        <w:rPr>
          <w:sz w:val="9"/>
        </w:rPr>
        <w:sectPr>
          <w:footerReference w:type="default" r:id="rId278"/>
          <w:pgSz w:w="12240" w:h="15840"/>
          <w:pgMar w:footer="626" w:header="0" w:top="1360" w:bottom="820" w:left="1600" w:right="1580"/>
          <w:pgNumType w:start="74"/>
        </w:sectPr>
      </w:pPr>
    </w:p>
    <w:p>
      <w:pPr>
        <w:pStyle w:val="ListParagraph"/>
        <w:numPr>
          <w:ilvl w:val="0"/>
          <w:numId w:val="14"/>
        </w:numPr>
        <w:tabs>
          <w:tab w:pos="237" w:val="left" w:leader="none"/>
        </w:tabs>
        <w:spacing w:line="273" w:lineRule="auto" w:before="81" w:after="0"/>
        <w:ind w:left="102" w:right="1" w:firstLine="0"/>
        <w:jc w:val="both"/>
        <w:rPr>
          <w:sz w:val="16"/>
        </w:rPr>
      </w:pPr>
      <w:r>
        <w:rPr>
          <w:sz w:val="16"/>
        </w:rPr>
        <w:t>Weaver, S.C.,Winegar, R.,Mangerb, I. D. y Forrester, N.L.: Alphaviruses: Population genetics and determinants of emergence Antiviral Res.,94: 242–257,</w:t>
      </w:r>
      <w:r>
        <w:rPr>
          <w:spacing w:val="-19"/>
          <w:sz w:val="16"/>
        </w:rPr>
        <w:t> </w:t>
      </w:r>
      <w:r>
        <w:rPr>
          <w:sz w:val="16"/>
        </w:rPr>
        <w:t>2012.</w:t>
      </w:r>
    </w:p>
    <w:p>
      <w:pPr>
        <w:pStyle w:val="BodyText"/>
        <w:spacing w:before="4"/>
        <w:rPr>
          <w:sz w:val="14"/>
        </w:rPr>
      </w:pPr>
    </w:p>
    <w:p>
      <w:pPr>
        <w:pStyle w:val="ListParagraph"/>
        <w:numPr>
          <w:ilvl w:val="0"/>
          <w:numId w:val="14"/>
        </w:numPr>
        <w:tabs>
          <w:tab w:pos="446" w:val="left" w:leader="none"/>
        </w:tabs>
        <w:spacing w:line="271" w:lineRule="auto" w:before="0" w:after="0"/>
        <w:ind w:left="102" w:right="0" w:firstLine="0"/>
        <w:jc w:val="both"/>
        <w:rPr>
          <w:sz w:val="16"/>
        </w:rPr>
      </w:pPr>
      <w:hyperlink r:id="rId279">
        <w:r>
          <w:rPr>
            <w:sz w:val="16"/>
          </w:rPr>
          <w:t>Beck CE,</w:t>
        </w:r>
      </w:hyperlink>
      <w:r>
        <w:rPr>
          <w:sz w:val="16"/>
        </w:rPr>
        <w:t> </w:t>
      </w:r>
      <w:hyperlink r:id="rId280">
        <w:r>
          <w:rPr>
            <w:sz w:val="16"/>
          </w:rPr>
          <w:t>Wyckoff RW.</w:t>
        </w:r>
      </w:hyperlink>
      <w:r>
        <w:rPr>
          <w:sz w:val="16"/>
        </w:rPr>
        <w:t> Venezuelan Equine Encephalomyelitis. </w:t>
      </w:r>
      <w:hyperlink r:id="rId281">
        <w:r>
          <w:rPr>
            <w:sz w:val="16"/>
          </w:rPr>
          <w:t>Science.</w:t>
        </w:r>
      </w:hyperlink>
      <w:r>
        <w:rPr>
          <w:sz w:val="16"/>
        </w:rPr>
        <w:t> 1938 Dec 2;</w:t>
      </w:r>
      <w:r>
        <w:rPr>
          <w:spacing w:val="-22"/>
          <w:sz w:val="16"/>
        </w:rPr>
        <w:t> </w:t>
      </w:r>
      <w:r>
        <w:rPr>
          <w:sz w:val="16"/>
        </w:rPr>
        <w:t>88(2292):530.</w:t>
      </w:r>
    </w:p>
    <w:p>
      <w:pPr>
        <w:pStyle w:val="BodyText"/>
        <w:spacing w:before="6"/>
        <w:rPr>
          <w:sz w:val="14"/>
        </w:rPr>
      </w:pPr>
    </w:p>
    <w:p>
      <w:pPr>
        <w:pStyle w:val="ListParagraph"/>
        <w:numPr>
          <w:ilvl w:val="0"/>
          <w:numId w:val="14"/>
        </w:numPr>
        <w:tabs>
          <w:tab w:pos="237" w:val="left" w:leader="none"/>
        </w:tabs>
        <w:spacing w:line="273" w:lineRule="auto" w:before="0" w:after="0"/>
        <w:ind w:left="102" w:right="1" w:firstLine="0"/>
        <w:jc w:val="both"/>
        <w:rPr>
          <w:sz w:val="16"/>
        </w:rPr>
      </w:pPr>
      <w:r>
        <w:rPr>
          <w:sz w:val="16"/>
        </w:rPr>
        <w:t>Shan, M. S. y Giltner, L.T.: Equine Encephalomyelitis studies</w:t>
      </w:r>
      <w:r>
        <w:rPr>
          <w:spacing w:val="-10"/>
          <w:sz w:val="16"/>
        </w:rPr>
        <w:t> </w:t>
      </w:r>
      <w:r>
        <w:rPr>
          <w:sz w:val="16"/>
        </w:rPr>
        <w:t>cross</w:t>
      </w:r>
      <w:r>
        <w:rPr>
          <w:spacing w:val="-10"/>
          <w:sz w:val="16"/>
        </w:rPr>
        <w:t> </w:t>
      </w:r>
      <w:r>
        <w:rPr>
          <w:sz w:val="16"/>
        </w:rPr>
        <w:t>immunity</w:t>
      </w:r>
      <w:r>
        <w:rPr>
          <w:spacing w:val="-12"/>
          <w:sz w:val="16"/>
        </w:rPr>
        <w:t> </w:t>
      </w:r>
      <w:r>
        <w:rPr>
          <w:sz w:val="16"/>
        </w:rPr>
        <w:t>test</w:t>
      </w:r>
      <w:r>
        <w:rPr>
          <w:spacing w:val="-10"/>
          <w:sz w:val="16"/>
        </w:rPr>
        <w:t> </w:t>
      </w:r>
      <w:r>
        <w:rPr>
          <w:sz w:val="16"/>
        </w:rPr>
        <w:t>between</w:t>
      </w:r>
      <w:r>
        <w:rPr>
          <w:spacing w:val="-9"/>
          <w:sz w:val="16"/>
        </w:rPr>
        <w:t> </w:t>
      </w:r>
      <w:r>
        <w:rPr>
          <w:sz w:val="16"/>
        </w:rPr>
        <w:t>Eastern</w:t>
      </w:r>
      <w:r>
        <w:rPr>
          <w:spacing w:val="-9"/>
          <w:sz w:val="16"/>
        </w:rPr>
        <w:t> </w:t>
      </w:r>
      <w:r>
        <w:rPr>
          <w:sz w:val="16"/>
        </w:rPr>
        <w:t>and</w:t>
      </w:r>
      <w:r>
        <w:rPr>
          <w:spacing w:val="-16"/>
          <w:sz w:val="16"/>
        </w:rPr>
        <w:t> </w:t>
      </w:r>
      <w:r>
        <w:rPr>
          <w:sz w:val="16"/>
        </w:rPr>
        <w:t>Western tupes of virus. Jour. Vet. Med. Ass. Amer., 39:764-772, 1935.</w:t>
      </w:r>
    </w:p>
    <w:p>
      <w:pPr>
        <w:pStyle w:val="BodyText"/>
        <w:spacing w:before="4"/>
        <w:rPr>
          <w:sz w:val="14"/>
        </w:rPr>
      </w:pPr>
    </w:p>
    <w:p>
      <w:pPr>
        <w:pStyle w:val="ListParagraph"/>
        <w:numPr>
          <w:ilvl w:val="0"/>
          <w:numId w:val="14"/>
        </w:numPr>
        <w:tabs>
          <w:tab w:pos="270" w:val="left" w:leader="none"/>
        </w:tabs>
        <w:spacing w:line="276" w:lineRule="auto" w:before="0" w:after="0"/>
        <w:ind w:left="102" w:right="0" w:firstLine="0"/>
        <w:jc w:val="both"/>
        <w:rPr>
          <w:sz w:val="16"/>
        </w:rPr>
      </w:pPr>
      <w:r>
        <w:rPr>
          <w:sz w:val="16"/>
        </w:rPr>
        <w:t>Kubes,</w:t>
      </w:r>
      <w:r>
        <w:rPr>
          <w:spacing w:val="-12"/>
          <w:sz w:val="16"/>
        </w:rPr>
        <w:t> </w:t>
      </w:r>
      <w:r>
        <w:rPr>
          <w:sz w:val="16"/>
        </w:rPr>
        <w:t>V.</w:t>
      </w:r>
      <w:r>
        <w:rPr>
          <w:spacing w:val="-11"/>
          <w:sz w:val="16"/>
        </w:rPr>
        <w:t> </w:t>
      </w:r>
      <w:r>
        <w:rPr>
          <w:sz w:val="16"/>
        </w:rPr>
        <w:t>y</w:t>
      </w:r>
      <w:r>
        <w:rPr>
          <w:spacing w:val="-14"/>
          <w:sz w:val="16"/>
        </w:rPr>
        <w:t> </w:t>
      </w:r>
      <w:r>
        <w:rPr>
          <w:sz w:val="16"/>
        </w:rPr>
        <w:t>Ríos,</w:t>
      </w:r>
      <w:r>
        <w:rPr>
          <w:spacing w:val="-15"/>
          <w:sz w:val="16"/>
        </w:rPr>
        <w:t> </w:t>
      </w:r>
      <w:r>
        <w:rPr>
          <w:sz w:val="16"/>
        </w:rPr>
        <w:t>F.:</w:t>
      </w:r>
      <w:r>
        <w:rPr>
          <w:spacing w:val="-11"/>
          <w:sz w:val="16"/>
        </w:rPr>
        <w:t> </w:t>
      </w:r>
      <w:r>
        <w:rPr>
          <w:sz w:val="16"/>
        </w:rPr>
        <w:t>Datos</w:t>
      </w:r>
      <w:r>
        <w:rPr>
          <w:spacing w:val="-12"/>
          <w:sz w:val="16"/>
        </w:rPr>
        <w:t> </w:t>
      </w:r>
      <w:r>
        <w:rPr>
          <w:sz w:val="16"/>
        </w:rPr>
        <w:t>preliminares</w:t>
      </w:r>
      <w:r>
        <w:rPr>
          <w:spacing w:val="-12"/>
          <w:sz w:val="16"/>
        </w:rPr>
        <w:t> </w:t>
      </w:r>
      <w:r>
        <w:rPr>
          <w:sz w:val="16"/>
        </w:rPr>
        <w:t>sobre</w:t>
      </w:r>
      <w:r>
        <w:rPr>
          <w:spacing w:val="-14"/>
          <w:sz w:val="16"/>
        </w:rPr>
        <w:t> </w:t>
      </w:r>
      <w:r>
        <w:rPr>
          <w:sz w:val="16"/>
        </w:rPr>
        <w:t>el</w:t>
      </w:r>
      <w:r>
        <w:rPr>
          <w:spacing w:val="-13"/>
          <w:sz w:val="16"/>
        </w:rPr>
        <w:t> </w:t>
      </w:r>
      <w:r>
        <w:rPr>
          <w:sz w:val="16"/>
        </w:rPr>
        <w:t>agente etiológico de la Encefalitis Infecciosa de los Equinos en Venezuela. Publicación de la Dirección de Ganadería. Ministerio de Agricultura y Cría. Caracas, Venezuela, 1938.</w:t>
      </w:r>
    </w:p>
    <w:p>
      <w:pPr>
        <w:pStyle w:val="BodyText"/>
        <w:spacing w:before="2"/>
        <w:rPr>
          <w:sz w:val="14"/>
        </w:rPr>
      </w:pPr>
    </w:p>
    <w:p>
      <w:pPr>
        <w:pStyle w:val="ListParagraph"/>
        <w:numPr>
          <w:ilvl w:val="0"/>
          <w:numId w:val="14"/>
        </w:numPr>
        <w:tabs>
          <w:tab w:pos="330" w:val="left" w:leader="none"/>
        </w:tabs>
        <w:spacing w:line="273" w:lineRule="auto" w:before="0" w:after="0"/>
        <w:ind w:left="102" w:right="1" w:firstLine="0"/>
        <w:jc w:val="both"/>
        <w:rPr>
          <w:sz w:val="16"/>
        </w:rPr>
      </w:pPr>
      <w:r>
        <w:rPr>
          <w:sz w:val="16"/>
        </w:rPr>
        <w:t>Kubes, V. y Diamante, A.: Estudios de inmunidad cruzada</w:t>
      </w:r>
      <w:r>
        <w:rPr>
          <w:spacing w:val="-14"/>
          <w:sz w:val="16"/>
        </w:rPr>
        <w:t> </w:t>
      </w:r>
      <w:r>
        <w:rPr>
          <w:sz w:val="16"/>
        </w:rPr>
        <w:t>entre</w:t>
      </w:r>
      <w:r>
        <w:rPr>
          <w:spacing w:val="-14"/>
          <w:sz w:val="16"/>
        </w:rPr>
        <w:t> </w:t>
      </w:r>
      <w:r>
        <w:rPr>
          <w:sz w:val="16"/>
        </w:rPr>
        <w:t>el</w:t>
      </w:r>
      <w:r>
        <w:rPr>
          <w:spacing w:val="-13"/>
          <w:sz w:val="16"/>
        </w:rPr>
        <w:t> </w:t>
      </w:r>
      <w:r>
        <w:rPr>
          <w:sz w:val="16"/>
        </w:rPr>
        <w:t>Virus</w:t>
      </w:r>
      <w:r>
        <w:rPr>
          <w:spacing w:val="-12"/>
          <w:sz w:val="16"/>
        </w:rPr>
        <w:t> </w:t>
      </w:r>
      <w:r>
        <w:rPr>
          <w:sz w:val="16"/>
        </w:rPr>
        <w:t>de</w:t>
      </w:r>
      <w:r>
        <w:rPr>
          <w:spacing w:val="-16"/>
          <w:sz w:val="16"/>
        </w:rPr>
        <w:t> </w:t>
      </w:r>
      <w:r>
        <w:rPr>
          <w:sz w:val="16"/>
        </w:rPr>
        <w:t>la</w:t>
      </w:r>
      <w:r>
        <w:rPr>
          <w:spacing w:val="-14"/>
          <w:sz w:val="16"/>
        </w:rPr>
        <w:t> </w:t>
      </w:r>
      <w:r>
        <w:rPr>
          <w:sz w:val="16"/>
        </w:rPr>
        <w:t>Encefalitis</w:t>
      </w:r>
      <w:r>
        <w:rPr>
          <w:spacing w:val="-12"/>
          <w:sz w:val="16"/>
        </w:rPr>
        <w:t> </w:t>
      </w:r>
      <w:r>
        <w:rPr>
          <w:sz w:val="16"/>
        </w:rPr>
        <w:t>Equina</w:t>
      </w:r>
      <w:r>
        <w:rPr>
          <w:spacing w:val="-17"/>
          <w:sz w:val="16"/>
        </w:rPr>
        <w:t> </w:t>
      </w:r>
      <w:r>
        <w:rPr>
          <w:sz w:val="16"/>
        </w:rPr>
        <w:t>Venezolana y los virus de Encefalomielitis del este, oeste y argentino. Bol. Inst. Inv. Vet. 1:</w:t>
      </w:r>
      <w:r>
        <w:rPr>
          <w:spacing w:val="-15"/>
          <w:sz w:val="16"/>
        </w:rPr>
        <w:t> </w:t>
      </w:r>
      <w:r>
        <w:rPr>
          <w:sz w:val="16"/>
        </w:rPr>
        <w:t>49-72,1941.</w:t>
      </w:r>
    </w:p>
    <w:p>
      <w:pPr>
        <w:pStyle w:val="BodyText"/>
        <w:spacing w:before="4"/>
        <w:rPr>
          <w:sz w:val="14"/>
        </w:rPr>
      </w:pPr>
    </w:p>
    <w:p>
      <w:pPr>
        <w:pStyle w:val="ListParagraph"/>
        <w:numPr>
          <w:ilvl w:val="0"/>
          <w:numId w:val="14"/>
        </w:numPr>
        <w:tabs>
          <w:tab w:pos="299" w:val="left" w:leader="none"/>
        </w:tabs>
        <w:spacing w:line="273" w:lineRule="auto" w:before="0" w:after="0"/>
        <w:ind w:left="102" w:right="1" w:firstLine="0"/>
        <w:jc w:val="both"/>
        <w:rPr>
          <w:sz w:val="16"/>
        </w:rPr>
      </w:pPr>
      <w:r>
        <w:rPr>
          <w:sz w:val="16"/>
        </w:rPr>
        <w:t>Kubes, V. y Ríos, F.: Preliminary data in the etiology agent of infectious encephalomyelitis of equine in Venezuela, Science,</w:t>
      </w:r>
      <w:r>
        <w:rPr>
          <w:spacing w:val="-11"/>
          <w:sz w:val="16"/>
        </w:rPr>
        <w:t> </w:t>
      </w:r>
      <w:r>
        <w:rPr>
          <w:sz w:val="16"/>
        </w:rPr>
        <w:t>90:20,1939.</w:t>
      </w:r>
    </w:p>
    <w:p>
      <w:pPr>
        <w:pStyle w:val="BodyText"/>
        <w:spacing w:before="4"/>
        <w:rPr>
          <w:sz w:val="14"/>
        </w:rPr>
      </w:pPr>
    </w:p>
    <w:p>
      <w:pPr>
        <w:pStyle w:val="ListParagraph"/>
        <w:numPr>
          <w:ilvl w:val="0"/>
          <w:numId w:val="14"/>
        </w:numPr>
        <w:tabs>
          <w:tab w:pos="369" w:val="left" w:leader="none"/>
        </w:tabs>
        <w:spacing w:line="276" w:lineRule="auto" w:before="0" w:after="0"/>
        <w:ind w:left="102" w:right="1" w:firstLine="0"/>
        <w:jc w:val="both"/>
        <w:rPr>
          <w:sz w:val="16"/>
        </w:rPr>
      </w:pPr>
      <w:r>
        <w:rPr>
          <w:sz w:val="16"/>
        </w:rPr>
        <w:t>Kubes, V.: La peste loca de las bestias, sus manifestaciones, tratamiento y prevención. Publicación de la Dirección de Ganadería. Ministerio de Agricultura y Cría. Caracas,</w:t>
      </w:r>
      <w:r>
        <w:rPr>
          <w:spacing w:val="-11"/>
          <w:sz w:val="16"/>
        </w:rPr>
        <w:t> </w:t>
      </w:r>
      <w:r>
        <w:rPr>
          <w:sz w:val="16"/>
        </w:rPr>
        <w:t>Venezuela,1936.</w:t>
      </w:r>
    </w:p>
    <w:p>
      <w:pPr>
        <w:pStyle w:val="BodyText"/>
        <w:rPr>
          <w:sz w:val="14"/>
        </w:rPr>
      </w:pPr>
    </w:p>
    <w:p>
      <w:pPr>
        <w:pStyle w:val="ListParagraph"/>
        <w:numPr>
          <w:ilvl w:val="0"/>
          <w:numId w:val="14"/>
        </w:numPr>
        <w:tabs>
          <w:tab w:pos="285" w:val="left" w:leader="none"/>
        </w:tabs>
        <w:spacing w:line="276" w:lineRule="auto" w:before="0" w:after="0"/>
        <w:ind w:left="102" w:right="0" w:firstLine="0"/>
        <w:jc w:val="both"/>
        <w:rPr>
          <w:sz w:val="16"/>
        </w:rPr>
      </w:pPr>
      <w:r>
        <w:rPr>
          <w:sz w:val="16"/>
        </w:rPr>
        <w:t>Kubes, V. y Ríos, F.: The causative agent of infectious equine encephalomyelitis en Venezuela. Science, 90:20- 21,1939.</w:t>
      </w:r>
    </w:p>
    <w:p>
      <w:pPr>
        <w:pStyle w:val="BodyText"/>
        <w:spacing w:before="2"/>
        <w:rPr>
          <w:sz w:val="14"/>
        </w:rPr>
      </w:pPr>
    </w:p>
    <w:p>
      <w:pPr>
        <w:pStyle w:val="ListParagraph"/>
        <w:numPr>
          <w:ilvl w:val="0"/>
          <w:numId w:val="14"/>
        </w:numPr>
        <w:tabs>
          <w:tab w:pos="337" w:val="left" w:leader="none"/>
        </w:tabs>
        <w:spacing w:line="271" w:lineRule="auto" w:before="0" w:after="0"/>
        <w:ind w:left="102" w:right="1" w:firstLine="0"/>
        <w:jc w:val="both"/>
        <w:rPr>
          <w:sz w:val="16"/>
        </w:rPr>
      </w:pPr>
      <w:r>
        <w:rPr>
          <w:sz w:val="16"/>
        </w:rPr>
        <w:t>De Mucha- Macías, J.: Infecciones por Arbovirus. Gaceta Médica de México, XCIII:</w:t>
      </w:r>
      <w:r>
        <w:rPr>
          <w:spacing w:val="-17"/>
          <w:sz w:val="16"/>
        </w:rPr>
        <w:t> </w:t>
      </w:r>
      <w:r>
        <w:rPr>
          <w:sz w:val="16"/>
        </w:rPr>
        <w:t>415-420,1963.</w:t>
      </w:r>
    </w:p>
    <w:p>
      <w:pPr>
        <w:pStyle w:val="BodyText"/>
        <w:spacing w:before="6"/>
        <w:rPr>
          <w:sz w:val="14"/>
        </w:rPr>
      </w:pPr>
    </w:p>
    <w:p>
      <w:pPr>
        <w:pStyle w:val="ListParagraph"/>
        <w:numPr>
          <w:ilvl w:val="0"/>
          <w:numId w:val="14"/>
        </w:numPr>
        <w:tabs>
          <w:tab w:pos="429" w:val="left" w:leader="none"/>
        </w:tabs>
        <w:spacing w:line="273" w:lineRule="auto" w:before="0" w:after="0"/>
        <w:ind w:left="102" w:right="1" w:firstLine="0"/>
        <w:jc w:val="both"/>
        <w:rPr>
          <w:sz w:val="16"/>
        </w:rPr>
      </w:pPr>
      <w:r>
        <w:rPr>
          <w:sz w:val="16"/>
        </w:rPr>
        <w:t>De Mucha- Macías, J. y Sánchez Spíndola, I y Campillo Sainz, C.: Venezuelan Equine Encephalomyelitis antibodies in human beings of Southeastern</w:t>
      </w:r>
      <w:r>
        <w:rPr>
          <w:spacing w:val="-12"/>
          <w:sz w:val="16"/>
        </w:rPr>
        <w:t> </w:t>
      </w:r>
      <w:r>
        <w:rPr>
          <w:sz w:val="16"/>
        </w:rPr>
        <w:t>Mexico.</w:t>
      </w:r>
      <w:r>
        <w:rPr>
          <w:spacing w:val="-13"/>
          <w:sz w:val="16"/>
        </w:rPr>
        <w:t> </w:t>
      </w:r>
      <w:r>
        <w:rPr>
          <w:sz w:val="16"/>
        </w:rPr>
        <w:t>Am.</w:t>
      </w:r>
      <w:r>
        <w:rPr>
          <w:spacing w:val="-15"/>
          <w:sz w:val="16"/>
        </w:rPr>
        <w:t> </w:t>
      </w:r>
      <w:r>
        <w:rPr>
          <w:sz w:val="16"/>
        </w:rPr>
        <w:t>J.</w:t>
      </w:r>
      <w:r>
        <w:rPr>
          <w:spacing w:val="-12"/>
          <w:sz w:val="16"/>
        </w:rPr>
        <w:t> </w:t>
      </w:r>
      <w:r>
        <w:rPr>
          <w:sz w:val="16"/>
        </w:rPr>
        <w:t>Trop.</w:t>
      </w:r>
      <w:r>
        <w:rPr>
          <w:spacing w:val="-12"/>
          <w:sz w:val="16"/>
        </w:rPr>
        <w:t> </w:t>
      </w:r>
      <w:r>
        <w:rPr>
          <w:sz w:val="16"/>
        </w:rPr>
        <w:t>Med.</w:t>
      </w:r>
      <w:r>
        <w:rPr>
          <w:spacing w:val="-11"/>
          <w:sz w:val="16"/>
        </w:rPr>
        <w:t> </w:t>
      </w:r>
      <w:r>
        <w:rPr>
          <w:sz w:val="16"/>
        </w:rPr>
        <w:t>Hyg.</w:t>
      </w:r>
      <w:r>
        <w:rPr>
          <w:spacing w:val="-12"/>
          <w:sz w:val="16"/>
        </w:rPr>
        <w:t> </w:t>
      </w:r>
      <w:r>
        <w:rPr>
          <w:sz w:val="16"/>
        </w:rPr>
        <w:t>15:364-368, 1966.</w:t>
      </w:r>
    </w:p>
    <w:p>
      <w:pPr>
        <w:pStyle w:val="BodyText"/>
        <w:spacing w:before="4"/>
        <w:rPr>
          <w:sz w:val="14"/>
        </w:rPr>
      </w:pPr>
    </w:p>
    <w:p>
      <w:pPr>
        <w:pStyle w:val="ListParagraph"/>
        <w:numPr>
          <w:ilvl w:val="0"/>
          <w:numId w:val="14"/>
        </w:numPr>
        <w:tabs>
          <w:tab w:pos="405" w:val="left" w:leader="none"/>
        </w:tabs>
        <w:spacing w:line="276" w:lineRule="auto" w:before="0" w:after="0"/>
        <w:ind w:left="102" w:right="0" w:firstLine="0"/>
        <w:jc w:val="both"/>
        <w:rPr>
          <w:sz w:val="16"/>
        </w:rPr>
      </w:pPr>
      <w:r>
        <w:rPr>
          <w:sz w:val="16"/>
        </w:rPr>
        <w:t>Trapido, H.: Geographic distribution and ecological setting. En, Proceedings of the workshop-symposium on Venezuelan Encephalitis Virus. Washington, D. C., September, 1971 (Pan American Health Organization, Scientific, Publication No. 243), pp. 302-312,</w:t>
      </w:r>
      <w:r>
        <w:rPr>
          <w:spacing w:val="-17"/>
          <w:sz w:val="16"/>
        </w:rPr>
        <w:t> </w:t>
      </w:r>
      <w:r>
        <w:rPr>
          <w:sz w:val="16"/>
        </w:rPr>
        <w:t>1972.</w:t>
      </w:r>
    </w:p>
    <w:p>
      <w:pPr>
        <w:pStyle w:val="BodyText"/>
        <w:rPr>
          <w:sz w:val="14"/>
        </w:rPr>
      </w:pPr>
    </w:p>
    <w:p>
      <w:pPr>
        <w:pStyle w:val="ListParagraph"/>
        <w:numPr>
          <w:ilvl w:val="0"/>
          <w:numId w:val="14"/>
        </w:numPr>
        <w:tabs>
          <w:tab w:pos="431" w:val="left" w:leader="none"/>
        </w:tabs>
        <w:spacing w:line="276" w:lineRule="auto" w:before="0" w:after="0"/>
        <w:ind w:left="102" w:right="2" w:firstLine="0"/>
        <w:jc w:val="both"/>
        <w:rPr>
          <w:sz w:val="16"/>
        </w:rPr>
      </w:pPr>
      <w:r>
        <w:rPr>
          <w:sz w:val="16"/>
        </w:rPr>
        <w:t>Correa, G. P.: Encefalitis Equina de Venezuela, Boletín del Instituto Nacional de Investigaciones Pecuarias,</w:t>
      </w:r>
      <w:r>
        <w:rPr>
          <w:spacing w:val="-8"/>
          <w:sz w:val="16"/>
        </w:rPr>
        <w:t> </w:t>
      </w:r>
      <w:r>
        <w:rPr>
          <w:sz w:val="16"/>
        </w:rPr>
        <w:t>1972.</w:t>
      </w:r>
    </w:p>
    <w:p>
      <w:pPr>
        <w:pStyle w:val="BodyText"/>
        <w:spacing w:before="2"/>
        <w:rPr>
          <w:sz w:val="14"/>
        </w:rPr>
      </w:pPr>
    </w:p>
    <w:p>
      <w:pPr>
        <w:pStyle w:val="ListParagraph"/>
        <w:numPr>
          <w:ilvl w:val="0"/>
          <w:numId w:val="14"/>
        </w:numPr>
        <w:tabs>
          <w:tab w:pos="407" w:val="left" w:leader="none"/>
        </w:tabs>
        <w:spacing w:line="273" w:lineRule="auto" w:before="0" w:after="0"/>
        <w:ind w:left="102" w:right="1" w:firstLine="0"/>
        <w:jc w:val="both"/>
        <w:rPr>
          <w:sz w:val="16"/>
        </w:rPr>
      </w:pPr>
      <w:r>
        <w:rPr>
          <w:sz w:val="16"/>
        </w:rPr>
        <w:t>Gilgard, R.T.: Clinical study of Venezuelan Equine Encephalomylietis</w:t>
      </w:r>
      <w:r>
        <w:rPr>
          <w:spacing w:val="-6"/>
          <w:sz w:val="16"/>
        </w:rPr>
        <w:t> </w:t>
      </w:r>
      <w:r>
        <w:rPr>
          <w:sz w:val="16"/>
        </w:rPr>
        <w:t>Virus</w:t>
      </w:r>
      <w:r>
        <w:rPr>
          <w:spacing w:val="-6"/>
          <w:sz w:val="16"/>
        </w:rPr>
        <w:t> </w:t>
      </w:r>
      <w:r>
        <w:rPr>
          <w:sz w:val="16"/>
        </w:rPr>
        <w:t>in</w:t>
      </w:r>
      <w:r>
        <w:rPr>
          <w:spacing w:val="-7"/>
          <w:sz w:val="16"/>
        </w:rPr>
        <w:t> </w:t>
      </w:r>
      <w:r>
        <w:rPr>
          <w:sz w:val="16"/>
        </w:rPr>
        <w:t>Trinidad,</w:t>
      </w:r>
      <w:r>
        <w:rPr>
          <w:spacing w:val="-6"/>
          <w:sz w:val="16"/>
        </w:rPr>
        <w:t> </w:t>
      </w:r>
      <w:r>
        <w:rPr>
          <w:sz w:val="16"/>
        </w:rPr>
        <w:t>Jour.</w:t>
      </w:r>
      <w:r>
        <w:rPr>
          <w:spacing w:val="-9"/>
          <w:sz w:val="16"/>
        </w:rPr>
        <w:t> </w:t>
      </w:r>
      <w:r>
        <w:rPr>
          <w:sz w:val="16"/>
        </w:rPr>
        <w:t>Amer.</w:t>
      </w:r>
      <w:r>
        <w:rPr>
          <w:spacing w:val="-9"/>
          <w:sz w:val="16"/>
        </w:rPr>
        <w:t> </w:t>
      </w:r>
      <w:r>
        <w:rPr>
          <w:sz w:val="16"/>
        </w:rPr>
        <w:t>Vet.</w:t>
      </w:r>
      <w:r>
        <w:rPr>
          <w:spacing w:val="-6"/>
          <w:sz w:val="16"/>
        </w:rPr>
        <w:t> </w:t>
      </w:r>
      <w:r>
        <w:rPr>
          <w:sz w:val="16"/>
        </w:rPr>
        <w:t>Ass. 54:</w:t>
      </w:r>
      <w:r>
        <w:rPr>
          <w:spacing w:val="-6"/>
          <w:sz w:val="16"/>
        </w:rPr>
        <w:t> </w:t>
      </w:r>
      <w:r>
        <w:rPr>
          <w:sz w:val="16"/>
        </w:rPr>
        <w:t>266-277,1945</w:t>
      </w:r>
    </w:p>
    <w:p>
      <w:pPr>
        <w:pStyle w:val="BodyText"/>
        <w:spacing w:before="4"/>
        <w:rPr>
          <w:sz w:val="14"/>
        </w:rPr>
      </w:pPr>
    </w:p>
    <w:p>
      <w:pPr>
        <w:pStyle w:val="ListParagraph"/>
        <w:numPr>
          <w:ilvl w:val="0"/>
          <w:numId w:val="15"/>
        </w:numPr>
        <w:tabs>
          <w:tab w:pos="417" w:val="left" w:leader="none"/>
        </w:tabs>
        <w:spacing w:line="276" w:lineRule="auto" w:before="0" w:after="0"/>
        <w:ind w:left="102" w:right="1" w:firstLine="0"/>
        <w:jc w:val="both"/>
        <w:rPr>
          <w:sz w:val="16"/>
        </w:rPr>
      </w:pPr>
      <w:r>
        <w:rPr>
          <w:sz w:val="16"/>
        </w:rPr>
        <w:t>Young, N.A. y Johnson, K.M.: Viruses of the Venezuelan Equine Encephalomyelitis complex:</w:t>
      </w:r>
      <w:r>
        <w:rPr>
          <w:spacing w:val="-3"/>
          <w:sz w:val="16"/>
        </w:rPr>
        <w:t> </w:t>
      </w:r>
      <w:r>
        <w:rPr>
          <w:sz w:val="16"/>
        </w:rPr>
        <w:t>infection</w:t>
      </w:r>
    </w:p>
    <w:p>
      <w:pPr>
        <w:spacing w:line="271" w:lineRule="auto" w:before="81"/>
        <w:ind w:left="102" w:right="116" w:firstLine="0"/>
        <w:jc w:val="both"/>
        <w:rPr>
          <w:sz w:val="16"/>
        </w:rPr>
      </w:pPr>
      <w:r>
        <w:rPr/>
        <w:br w:type="column"/>
      </w:r>
      <w:r>
        <w:rPr>
          <w:sz w:val="16"/>
        </w:rPr>
        <w:t>and cross- challenge of rodents with VEE, Mucambo and Pixuna</w:t>
      </w:r>
      <w:r>
        <w:rPr>
          <w:spacing w:val="-10"/>
          <w:sz w:val="16"/>
        </w:rPr>
        <w:t> </w:t>
      </w:r>
      <w:r>
        <w:rPr>
          <w:sz w:val="16"/>
        </w:rPr>
        <w:t>viruses.</w:t>
      </w:r>
      <w:r>
        <w:rPr>
          <w:spacing w:val="-11"/>
          <w:sz w:val="16"/>
        </w:rPr>
        <w:t> </w:t>
      </w:r>
      <w:r>
        <w:rPr>
          <w:sz w:val="16"/>
        </w:rPr>
        <w:t>Am.</w:t>
      </w:r>
      <w:r>
        <w:rPr>
          <w:spacing w:val="-11"/>
          <w:sz w:val="16"/>
        </w:rPr>
        <w:t> </w:t>
      </w:r>
      <w:r>
        <w:rPr>
          <w:sz w:val="16"/>
        </w:rPr>
        <w:t>J.</w:t>
      </w:r>
      <w:r>
        <w:rPr>
          <w:spacing w:val="-11"/>
          <w:sz w:val="16"/>
        </w:rPr>
        <w:t> </w:t>
      </w:r>
      <w:r>
        <w:rPr>
          <w:sz w:val="16"/>
        </w:rPr>
        <w:t>Trop.</w:t>
      </w:r>
      <w:r>
        <w:rPr>
          <w:spacing w:val="-9"/>
          <w:sz w:val="16"/>
        </w:rPr>
        <w:t> </w:t>
      </w:r>
      <w:r>
        <w:rPr>
          <w:sz w:val="16"/>
        </w:rPr>
        <w:t>Med.</w:t>
      </w:r>
      <w:r>
        <w:rPr>
          <w:spacing w:val="-13"/>
          <w:sz w:val="16"/>
        </w:rPr>
        <w:t> </w:t>
      </w:r>
      <w:r>
        <w:rPr>
          <w:sz w:val="16"/>
        </w:rPr>
        <w:t>Hyg.,</w:t>
      </w:r>
      <w:r>
        <w:rPr>
          <w:spacing w:val="-9"/>
          <w:sz w:val="16"/>
        </w:rPr>
        <w:t> </w:t>
      </w:r>
      <w:r>
        <w:rPr>
          <w:sz w:val="16"/>
        </w:rPr>
        <w:t>18:280-289,1969.</w:t>
      </w:r>
    </w:p>
    <w:p>
      <w:pPr>
        <w:pStyle w:val="BodyText"/>
        <w:spacing w:before="6"/>
        <w:rPr>
          <w:sz w:val="14"/>
        </w:rPr>
      </w:pPr>
    </w:p>
    <w:p>
      <w:pPr>
        <w:pStyle w:val="ListParagraph"/>
        <w:numPr>
          <w:ilvl w:val="0"/>
          <w:numId w:val="15"/>
        </w:numPr>
        <w:tabs>
          <w:tab w:pos="357" w:val="left" w:leader="none"/>
        </w:tabs>
        <w:spacing w:line="273" w:lineRule="auto" w:before="0" w:after="0"/>
        <w:ind w:left="102" w:right="117" w:firstLine="0"/>
        <w:jc w:val="both"/>
        <w:rPr>
          <w:sz w:val="16"/>
        </w:rPr>
      </w:pPr>
      <w:r>
        <w:rPr>
          <w:sz w:val="16"/>
        </w:rPr>
        <w:t>.De Mucha- Macías, J. y Sánchez Spíndola, I.:Two human cases of laboratory infection with Mucambo virus. Am. J. Trop. Med. Hyg., 14:471-478,</w:t>
      </w:r>
      <w:r>
        <w:rPr>
          <w:spacing w:val="-14"/>
          <w:sz w:val="16"/>
        </w:rPr>
        <w:t> </w:t>
      </w:r>
      <w:r>
        <w:rPr>
          <w:sz w:val="16"/>
        </w:rPr>
        <w:t>1965.</w:t>
      </w:r>
    </w:p>
    <w:p>
      <w:pPr>
        <w:pStyle w:val="BodyText"/>
        <w:rPr>
          <w:sz w:val="16"/>
        </w:rPr>
      </w:pPr>
    </w:p>
    <w:p>
      <w:pPr>
        <w:pStyle w:val="BodyText"/>
        <w:rPr>
          <w:sz w:val="16"/>
        </w:rPr>
      </w:pPr>
    </w:p>
    <w:p>
      <w:pPr>
        <w:pStyle w:val="BodyText"/>
        <w:spacing w:before="8"/>
        <w:rPr>
          <w:sz w:val="14"/>
        </w:rPr>
      </w:pPr>
    </w:p>
    <w:p>
      <w:pPr>
        <w:pStyle w:val="ListParagraph"/>
        <w:numPr>
          <w:ilvl w:val="0"/>
          <w:numId w:val="15"/>
        </w:numPr>
        <w:tabs>
          <w:tab w:pos="316" w:val="left" w:leader="none"/>
        </w:tabs>
        <w:spacing w:line="273" w:lineRule="auto" w:before="0" w:after="0"/>
        <w:ind w:left="102" w:right="114" w:firstLine="0"/>
        <w:jc w:val="both"/>
        <w:rPr>
          <w:sz w:val="16"/>
        </w:rPr>
      </w:pPr>
      <w:r>
        <w:rPr>
          <w:sz w:val="16"/>
        </w:rPr>
        <w:t>De</w:t>
      </w:r>
      <w:r>
        <w:rPr>
          <w:spacing w:val="-12"/>
          <w:sz w:val="16"/>
        </w:rPr>
        <w:t> </w:t>
      </w:r>
      <w:r>
        <w:rPr>
          <w:sz w:val="16"/>
        </w:rPr>
        <w:t>Mucha</w:t>
      </w:r>
      <w:r>
        <w:rPr>
          <w:spacing w:val="-12"/>
          <w:sz w:val="16"/>
        </w:rPr>
        <w:t> </w:t>
      </w:r>
      <w:r>
        <w:rPr>
          <w:sz w:val="16"/>
        </w:rPr>
        <w:t>Macías,</w:t>
      </w:r>
      <w:r>
        <w:rPr>
          <w:spacing w:val="-11"/>
          <w:sz w:val="16"/>
        </w:rPr>
        <w:t> </w:t>
      </w:r>
      <w:r>
        <w:rPr>
          <w:sz w:val="16"/>
        </w:rPr>
        <w:t>J.</w:t>
      </w:r>
      <w:r>
        <w:rPr>
          <w:spacing w:val="-11"/>
          <w:sz w:val="16"/>
        </w:rPr>
        <w:t> </w:t>
      </w:r>
      <w:r>
        <w:rPr>
          <w:sz w:val="16"/>
        </w:rPr>
        <w:t>y</w:t>
      </w:r>
      <w:r>
        <w:rPr>
          <w:spacing w:val="-12"/>
          <w:sz w:val="16"/>
        </w:rPr>
        <w:t> </w:t>
      </w:r>
      <w:r>
        <w:rPr>
          <w:sz w:val="16"/>
        </w:rPr>
        <w:t>Morilla</w:t>
      </w:r>
      <w:r>
        <w:rPr>
          <w:spacing w:val="-11"/>
          <w:sz w:val="16"/>
        </w:rPr>
        <w:t> </w:t>
      </w:r>
      <w:r>
        <w:rPr>
          <w:sz w:val="16"/>
        </w:rPr>
        <w:t>González,</w:t>
      </w:r>
      <w:r>
        <w:rPr>
          <w:spacing w:val="-11"/>
          <w:sz w:val="16"/>
        </w:rPr>
        <w:t> </w:t>
      </w:r>
      <w:r>
        <w:rPr>
          <w:sz w:val="16"/>
        </w:rPr>
        <w:t>A.:</w:t>
      </w:r>
      <w:r>
        <w:rPr>
          <w:spacing w:val="-12"/>
          <w:sz w:val="16"/>
        </w:rPr>
        <w:t> </w:t>
      </w:r>
      <w:r>
        <w:rPr>
          <w:sz w:val="16"/>
        </w:rPr>
        <w:t>Encefalitis Equina de Venezuela, Estudio de una cepa aislada en México. Rev. Invest. Salud Públ. (Méx.)., XXVII: 85- 110,1967.</w:t>
      </w:r>
    </w:p>
    <w:p>
      <w:pPr>
        <w:pStyle w:val="BodyText"/>
        <w:spacing w:before="5"/>
        <w:rPr>
          <w:sz w:val="14"/>
        </w:rPr>
      </w:pPr>
    </w:p>
    <w:p>
      <w:pPr>
        <w:spacing w:line="273" w:lineRule="auto" w:before="0"/>
        <w:ind w:left="102" w:right="120" w:firstLine="0"/>
        <w:jc w:val="both"/>
        <w:rPr>
          <w:sz w:val="16"/>
        </w:rPr>
      </w:pPr>
      <w:r>
        <w:rPr>
          <w:sz w:val="16"/>
        </w:rPr>
        <w:t>17. Acha, P., Szyfres, B.: Zoonosis y Enfermedades Transmisibles comunes al hombre y los animales. OPS, Publ. Científica No. 503, 2ª Ed., 1986.</w:t>
      </w:r>
    </w:p>
    <w:p>
      <w:pPr>
        <w:pStyle w:val="BodyText"/>
        <w:spacing w:before="4"/>
        <w:rPr>
          <w:sz w:val="14"/>
        </w:rPr>
      </w:pPr>
    </w:p>
    <w:p>
      <w:pPr>
        <w:spacing w:line="276" w:lineRule="auto" w:before="0"/>
        <w:ind w:left="102" w:right="114" w:firstLine="0"/>
        <w:jc w:val="both"/>
        <w:rPr>
          <w:sz w:val="16"/>
        </w:rPr>
      </w:pPr>
      <w:r>
        <w:rPr>
          <w:sz w:val="16"/>
        </w:rPr>
        <w:t>18 Murphy, A.F. y Harrison, A.K.: The virus: morphology and morphogenesis. En Proceedings of the workshop- symposium on Venezuelan Encephalitis Virus. Washington, D. C., September, 1971 (Pan American Health Organization, Scientific, Publication No. 243),28- 39,1972.</w:t>
      </w:r>
    </w:p>
    <w:p>
      <w:pPr>
        <w:pStyle w:val="BodyText"/>
        <w:spacing w:before="2"/>
        <w:rPr>
          <w:sz w:val="14"/>
        </w:rPr>
      </w:pPr>
    </w:p>
    <w:p>
      <w:pPr>
        <w:pStyle w:val="ListParagraph"/>
        <w:numPr>
          <w:ilvl w:val="0"/>
          <w:numId w:val="16"/>
        </w:numPr>
        <w:tabs>
          <w:tab w:pos="445" w:val="left" w:leader="none"/>
        </w:tabs>
        <w:spacing w:line="273" w:lineRule="auto" w:before="0" w:after="0"/>
        <w:ind w:left="102" w:right="118" w:firstLine="0"/>
        <w:jc w:val="both"/>
        <w:rPr>
          <w:sz w:val="16"/>
        </w:rPr>
      </w:pPr>
      <w:r>
        <w:rPr>
          <w:sz w:val="16"/>
        </w:rPr>
        <w:t>Groot, H.: Estudio sobre virus transmitidos por artópodos en Colmbia. Rev. Acad. Colom. Cien. Exac. Nat., 7: 3-23,</w:t>
      </w:r>
      <w:r>
        <w:rPr>
          <w:spacing w:val="-6"/>
          <w:sz w:val="16"/>
        </w:rPr>
        <w:t> </w:t>
      </w:r>
      <w:r>
        <w:rPr>
          <w:sz w:val="16"/>
        </w:rPr>
        <w:t>1964</w:t>
      </w:r>
    </w:p>
    <w:p>
      <w:pPr>
        <w:pStyle w:val="BodyText"/>
        <w:spacing w:before="4"/>
        <w:rPr>
          <w:sz w:val="14"/>
        </w:rPr>
      </w:pPr>
    </w:p>
    <w:p>
      <w:pPr>
        <w:pStyle w:val="ListParagraph"/>
        <w:numPr>
          <w:ilvl w:val="0"/>
          <w:numId w:val="16"/>
        </w:numPr>
        <w:tabs>
          <w:tab w:pos="544" w:val="left" w:leader="none"/>
        </w:tabs>
        <w:spacing w:line="273" w:lineRule="auto" w:before="0" w:after="0"/>
        <w:ind w:left="102" w:right="119" w:firstLine="0"/>
        <w:jc w:val="both"/>
        <w:rPr>
          <w:sz w:val="16"/>
        </w:rPr>
      </w:pPr>
      <w:r>
        <w:rPr>
          <w:sz w:val="16"/>
        </w:rPr>
        <w:t>Casals, J.: Arbovirus infections. En Serological Epidemiology. Editado por J. R. Paul y C. White, Academic Press, New York y Londres., pp 99-117,</w:t>
      </w:r>
      <w:r>
        <w:rPr>
          <w:spacing w:val="-24"/>
          <w:sz w:val="16"/>
        </w:rPr>
        <w:t> </w:t>
      </w:r>
      <w:r>
        <w:rPr>
          <w:sz w:val="16"/>
        </w:rPr>
        <w:t>1973.</w:t>
      </w:r>
    </w:p>
    <w:p>
      <w:pPr>
        <w:pStyle w:val="BodyText"/>
        <w:spacing w:before="4"/>
        <w:rPr>
          <w:sz w:val="14"/>
        </w:rPr>
      </w:pPr>
    </w:p>
    <w:p>
      <w:pPr>
        <w:pStyle w:val="ListParagraph"/>
        <w:numPr>
          <w:ilvl w:val="0"/>
          <w:numId w:val="16"/>
        </w:numPr>
        <w:tabs>
          <w:tab w:pos="326" w:val="left" w:leader="none"/>
        </w:tabs>
        <w:spacing w:line="276" w:lineRule="auto" w:before="0" w:after="0"/>
        <w:ind w:left="102" w:right="119" w:firstLine="0"/>
        <w:jc w:val="both"/>
        <w:rPr>
          <w:sz w:val="16"/>
        </w:rPr>
      </w:pPr>
      <w:r>
        <w:rPr>
          <w:sz w:val="16"/>
        </w:rPr>
        <w:t>Froeschle, J. E. y Reeves, W. C.: Serologic epidemiology of Western Equine ans St. Louis encephalitis virus infection in California. II. Analysis of inapparent</w:t>
      </w:r>
      <w:r>
        <w:rPr>
          <w:spacing w:val="-9"/>
          <w:sz w:val="16"/>
        </w:rPr>
        <w:t> </w:t>
      </w:r>
      <w:r>
        <w:rPr>
          <w:sz w:val="16"/>
        </w:rPr>
        <w:t>infections</w:t>
      </w:r>
      <w:r>
        <w:rPr>
          <w:spacing w:val="-11"/>
          <w:sz w:val="16"/>
        </w:rPr>
        <w:t> </w:t>
      </w:r>
      <w:r>
        <w:rPr>
          <w:sz w:val="16"/>
        </w:rPr>
        <w:t>in</w:t>
      </w:r>
      <w:r>
        <w:rPr>
          <w:spacing w:val="-10"/>
          <w:sz w:val="16"/>
        </w:rPr>
        <w:t> </w:t>
      </w:r>
      <w:r>
        <w:rPr>
          <w:sz w:val="16"/>
        </w:rPr>
        <w:t>residents</w:t>
      </w:r>
      <w:r>
        <w:rPr>
          <w:spacing w:val="-11"/>
          <w:sz w:val="16"/>
        </w:rPr>
        <w:t> </w:t>
      </w:r>
      <w:r>
        <w:rPr>
          <w:sz w:val="16"/>
        </w:rPr>
        <w:t>of</w:t>
      </w:r>
      <w:r>
        <w:rPr>
          <w:spacing w:val="-9"/>
          <w:sz w:val="16"/>
        </w:rPr>
        <w:t> </w:t>
      </w:r>
      <w:r>
        <w:rPr>
          <w:sz w:val="16"/>
        </w:rPr>
        <w:t>an</w:t>
      </w:r>
      <w:r>
        <w:rPr>
          <w:spacing w:val="-13"/>
          <w:sz w:val="16"/>
        </w:rPr>
        <w:t> </w:t>
      </w:r>
      <w:r>
        <w:rPr>
          <w:sz w:val="16"/>
        </w:rPr>
        <w:t>endemic</w:t>
      </w:r>
      <w:r>
        <w:rPr>
          <w:spacing w:val="-9"/>
          <w:sz w:val="16"/>
        </w:rPr>
        <w:t> </w:t>
      </w:r>
      <w:r>
        <w:rPr>
          <w:sz w:val="16"/>
        </w:rPr>
        <w:t>área.</w:t>
      </w:r>
      <w:r>
        <w:rPr>
          <w:spacing w:val="-13"/>
          <w:sz w:val="16"/>
        </w:rPr>
        <w:t> </w:t>
      </w:r>
      <w:r>
        <w:rPr>
          <w:sz w:val="16"/>
        </w:rPr>
        <w:t>Am. J. Epidemiol.,81: 44-51,</w:t>
      </w:r>
      <w:r>
        <w:rPr>
          <w:spacing w:val="-10"/>
          <w:sz w:val="16"/>
        </w:rPr>
        <w:t> </w:t>
      </w:r>
      <w:r>
        <w:rPr>
          <w:sz w:val="16"/>
        </w:rPr>
        <w:t>1965.</w:t>
      </w:r>
    </w:p>
    <w:p>
      <w:pPr>
        <w:pStyle w:val="BodyText"/>
        <w:spacing w:before="2"/>
        <w:rPr>
          <w:sz w:val="14"/>
        </w:rPr>
      </w:pPr>
    </w:p>
    <w:p>
      <w:pPr>
        <w:pStyle w:val="ListParagraph"/>
        <w:numPr>
          <w:ilvl w:val="0"/>
          <w:numId w:val="16"/>
        </w:numPr>
        <w:tabs>
          <w:tab w:pos="326" w:val="left" w:leader="none"/>
        </w:tabs>
        <w:spacing w:line="273" w:lineRule="auto" w:before="0" w:after="0"/>
        <w:ind w:left="102" w:right="117" w:firstLine="0"/>
        <w:jc w:val="both"/>
        <w:rPr>
          <w:sz w:val="16"/>
        </w:rPr>
      </w:pPr>
      <w:r>
        <w:rPr>
          <w:sz w:val="16"/>
        </w:rPr>
        <w:t>Jahrling, P.B., Hesse, R.A. y Metzger, J.F.: Radioimmunoassay for quantitation of antibodies to alphaviruses with staphylococcal protein. A. J. Clin. Micorbiol., 8: 54-60,</w:t>
      </w:r>
      <w:r>
        <w:rPr>
          <w:spacing w:val="-7"/>
          <w:sz w:val="16"/>
        </w:rPr>
        <w:t> </w:t>
      </w:r>
      <w:r>
        <w:rPr>
          <w:sz w:val="16"/>
        </w:rPr>
        <w:t>1978.</w:t>
      </w:r>
    </w:p>
    <w:p>
      <w:pPr>
        <w:pStyle w:val="BodyText"/>
        <w:spacing w:before="4"/>
        <w:rPr>
          <w:sz w:val="14"/>
        </w:rPr>
      </w:pPr>
    </w:p>
    <w:p>
      <w:pPr>
        <w:pStyle w:val="ListParagraph"/>
        <w:numPr>
          <w:ilvl w:val="0"/>
          <w:numId w:val="16"/>
        </w:numPr>
        <w:tabs>
          <w:tab w:pos="369" w:val="left" w:leader="none"/>
        </w:tabs>
        <w:spacing w:line="276" w:lineRule="auto" w:before="0" w:after="0"/>
        <w:ind w:left="102" w:right="118" w:firstLine="0"/>
        <w:jc w:val="both"/>
        <w:rPr>
          <w:sz w:val="16"/>
        </w:rPr>
      </w:pPr>
      <w:r>
        <w:rPr>
          <w:sz w:val="16"/>
        </w:rPr>
        <w:t>Bowen, G. S.: Human Disease: USA. En</w:t>
      </w:r>
      <w:r>
        <w:rPr>
          <w:spacing w:val="-26"/>
          <w:sz w:val="16"/>
        </w:rPr>
        <w:t> </w:t>
      </w:r>
      <w:r>
        <w:rPr>
          <w:sz w:val="16"/>
        </w:rPr>
        <w:t>Proceedings of the workshop-symposium on Venezuelan Encephalitis Virus. Washington, D. C., September, 1971 (Pan American Health Organization, Scientific, Publication No. 243),231-234,1972.</w:t>
      </w:r>
    </w:p>
    <w:p>
      <w:pPr>
        <w:pStyle w:val="BodyText"/>
        <w:spacing w:before="2"/>
        <w:rPr>
          <w:sz w:val="14"/>
        </w:rPr>
      </w:pPr>
    </w:p>
    <w:p>
      <w:pPr>
        <w:pStyle w:val="ListParagraph"/>
        <w:numPr>
          <w:ilvl w:val="0"/>
          <w:numId w:val="16"/>
        </w:numPr>
        <w:tabs>
          <w:tab w:pos="426" w:val="left" w:leader="none"/>
        </w:tabs>
        <w:spacing w:line="276" w:lineRule="auto" w:before="0" w:after="0"/>
        <w:ind w:left="102" w:right="116" w:firstLine="0"/>
        <w:jc w:val="both"/>
        <w:rPr>
          <w:sz w:val="16"/>
        </w:rPr>
      </w:pPr>
      <w:r>
        <w:rPr>
          <w:sz w:val="16"/>
        </w:rPr>
        <w:t>Bowen, G. S. y Calisher, H. C.: Virological and serological studies of Venezuelan Equine Encephalomyelitis in humans. J. Clin. Microbiol., 4;22-27, 1976.</w:t>
      </w:r>
    </w:p>
    <w:p>
      <w:pPr>
        <w:pStyle w:val="BodyText"/>
        <w:spacing w:before="2"/>
        <w:rPr>
          <w:sz w:val="14"/>
        </w:rPr>
      </w:pPr>
    </w:p>
    <w:p>
      <w:pPr>
        <w:pStyle w:val="ListParagraph"/>
        <w:numPr>
          <w:ilvl w:val="0"/>
          <w:numId w:val="16"/>
        </w:numPr>
        <w:tabs>
          <w:tab w:pos="446" w:val="left" w:leader="none"/>
        </w:tabs>
        <w:spacing w:line="273" w:lineRule="auto" w:before="0" w:after="0"/>
        <w:ind w:left="102" w:right="118" w:firstLine="0"/>
        <w:jc w:val="both"/>
        <w:rPr>
          <w:sz w:val="16"/>
        </w:rPr>
      </w:pPr>
      <w:r>
        <w:rPr>
          <w:sz w:val="16"/>
        </w:rPr>
        <w:t>Groot, H.: Estudio sobre virus transmitidos por artópodos en Colmbia. Rev. Acad. Colom. Cien. Exac. Nat., 7: 3-23,</w:t>
      </w:r>
      <w:r>
        <w:rPr>
          <w:spacing w:val="-6"/>
          <w:sz w:val="16"/>
        </w:rPr>
        <w:t> </w:t>
      </w:r>
      <w:r>
        <w:rPr>
          <w:sz w:val="16"/>
        </w:rPr>
        <w:t>1964</w:t>
      </w:r>
    </w:p>
    <w:p>
      <w:pPr>
        <w:pStyle w:val="BodyText"/>
        <w:spacing w:before="4"/>
        <w:rPr>
          <w:sz w:val="14"/>
        </w:rPr>
      </w:pPr>
    </w:p>
    <w:p>
      <w:pPr>
        <w:pStyle w:val="ListParagraph"/>
        <w:numPr>
          <w:ilvl w:val="0"/>
          <w:numId w:val="16"/>
        </w:numPr>
        <w:tabs>
          <w:tab w:pos="390" w:val="left" w:leader="none"/>
        </w:tabs>
        <w:spacing w:line="276" w:lineRule="auto" w:before="0" w:after="0"/>
        <w:ind w:left="102" w:right="119" w:firstLine="0"/>
        <w:jc w:val="both"/>
        <w:rPr>
          <w:sz w:val="16"/>
        </w:rPr>
      </w:pPr>
      <w:r>
        <w:rPr>
          <w:sz w:val="16"/>
        </w:rPr>
        <w:t>Dietz, W.H., Alvarez, O., Martin, D.H., Walton, T.E., Ackerman, L.J. y Johnson, K.M.: Enzootic and  </w:t>
      </w:r>
      <w:r>
        <w:rPr>
          <w:spacing w:val="3"/>
          <w:sz w:val="16"/>
        </w:rPr>
        <w:t> </w:t>
      </w:r>
      <w:r>
        <w:rPr>
          <w:sz w:val="16"/>
        </w:rPr>
        <w:t>epizootic</w:t>
      </w:r>
    </w:p>
    <w:p>
      <w:pPr>
        <w:spacing w:after="0" w:line="276" w:lineRule="auto"/>
        <w:jc w:val="both"/>
        <w:rPr>
          <w:sz w:val="16"/>
        </w:rPr>
        <w:sectPr>
          <w:type w:val="continuous"/>
          <w:pgSz w:w="12240" w:h="15840"/>
          <w:pgMar w:top="1420" w:bottom="280" w:left="1600" w:right="1580"/>
          <w:cols w:num="2" w:equalWidth="0">
            <w:col w:w="4172" w:space="600"/>
            <w:col w:w="4288"/>
          </w:cols>
        </w:sectPr>
      </w:pPr>
    </w:p>
    <w:p>
      <w:pPr>
        <w:spacing w:line="276" w:lineRule="auto" w:before="54"/>
        <w:ind w:left="102" w:right="2" w:firstLine="0"/>
        <w:jc w:val="both"/>
        <w:rPr>
          <w:sz w:val="16"/>
        </w:rPr>
      </w:pPr>
      <w:r>
        <w:rPr>
          <w:sz w:val="16"/>
        </w:rPr>
        <w:t>Venezuelan Equine Encephalomyelitis Virus in horses infected by peropheral and intrathecal routes. J. Infect. Dis., 137:227-237,1978.</w:t>
      </w:r>
    </w:p>
    <w:p>
      <w:pPr>
        <w:pStyle w:val="BodyText"/>
        <w:spacing w:before="2"/>
        <w:rPr>
          <w:sz w:val="14"/>
        </w:rPr>
      </w:pPr>
    </w:p>
    <w:p>
      <w:pPr>
        <w:pStyle w:val="ListParagraph"/>
        <w:numPr>
          <w:ilvl w:val="0"/>
          <w:numId w:val="16"/>
        </w:numPr>
        <w:tabs>
          <w:tab w:pos="383" w:val="left" w:leader="none"/>
        </w:tabs>
        <w:spacing w:line="273" w:lineRule="auto" w:before="0" w:after="0"/>
        <w:ind w:left="102" w:right="2" w:firstLine="0"/>
        <w:jc w:val="both"/>
        <w:rPr>
          <w:sz w:val="16"/>
        </w:rPr>
      </w:pPr>
      <w:r>
        <w:rPr>
          <w:sz w:val="16"/>
        </w:rPr>
        <w:t>Justines, G., Sucre, H. y Alvarez, O.: Transplacental transmission of Venezuelan Equine Encephalitis Virus in horses. Am. J. Trop- Med. Hyg.,</w:t>
      </w:r>
      <w:r>
        <w:rPr>
          <w:spacing w:val="-20"/>
          <w:sz w:val="16"/>
        </w:rPr>
        <w:t> </w:t>
      </w:r>
      <w:r>
        <w:rPr>
          <w:sz w:val="16"/>
        </w:rPr>
        <w:t>29:653-656,1980.</w:t>
      </w:r>
    </w:p>
    <w:p>
      <w:pPr>
        <w:pStyle w:val="BodyText"/>
        <w:spacing w:before="4"/>
        <w:rPr>
          <w:sz w:val="14"/>
        </w:rPr>
      </w:pPr>
    </w:p>
    <w:p>
      <w:pPr>
        <w:pStyle w:val="ListParagraph"/>
        <w:numPr>
          <w:ilvl w:val="0"/>
          <w:numId w:val="16"/>
        </w:numPr>
        <w:tabs>
          <w:tab w:pos="412" w:val="left" w:leader="none"/>
        </w:tabs>
        <w:spacing w:line="273" w:lineRule="auto" w:before="0" w:after="0"/>
        <w:ind w:left="102" w:right="2" w:firstLine="0"/>
        <w:jc w:val="both"/>
        <w:rPr>
          <w:sz w:val="16"/>
        </w:rPr>
      </w:pPr>
      <w:r>
        <w:rPr>
          <w:sz w:val="16"/>
        </w:rPr>
        <w:t>Kissling, R.E., Chamberlain R.W., Nelson, D.B., y Stam, D. D.: Venezuelan Equine Encephalomyelitis in horses. Am. J. Hyg., 63: 274-287,</w:t>
      </w:r>
      <w:r>
        <w:rPr>
          <w:spacing w:val="-17"/>
          <w:sz w:val="16"/>
        </w:rPr>
        <w:t> </w:t>
      </w:r>
      <w:r>
        <w:rPr>
          <w:sz w:val="16"/>
        </w:rPr>
        <w:t>1956.</w:t>
      </w:r>
    </w:p>
    <w:p>
      <w:pPr>
        <w:pStyle w:val="BodyText"/>
        <w:spacing w:before="4"/>
        <w:rPr>
          <w:sz w:val="14"/>
        </w:rPr>
      </w:pPr>
    </w:p>
    <w:p>
      <w:pPr>
        <w:pStyle w:val="ListParagraph"/>
        <w:numPr>
          <w:ilvl w:val="0"/>
          <w:numId w:val="16"/>
        </w:numPr>
        <w:tabs>
          <w:tab w:pos="402" w:val="left" w:leader="none"/>
        </w:tabs>
        <w:spacing w:line="273" w:lineRule="auto" w:before="0" w:after="0"/>
        <w:ind w:left="102" w:right="1" w:firstLine="0"/>
        <w:jc w:val="both"/>
        <w:rPr>
          <w:sz w:val="16"/>
        </w:rPr>
      </w:pPr>
      <w:r>
        <w:rPr>
          <w:sz w:val="16"/>
        </w:rPr>
        <w:t>Mesa, F. A., Cárdenas, J. A. y Villamil, L. C.: Las Encefalitis Equinas en la Salud Pública. Facultad de Medicina</w:t>
      </w:r>
      <w:r>
        <w:rPr>
          <w:spacing w:val="-10"/>
          <w:sz w:val="16"/>
        </w:rPr>
        <w:t> </w:t>
      </w:r>
      <w:r>
        <w:rPr>
          <w:sz w:val="16"/>
        </w:rPr>
        <w:t>Veterinaria</w:t>
      </w:r>
      <w:r>
        <w:rPr>
          <w:spacing w:val="-10"/>
          <w:sz w:val="16"/>
        </w:rPr>
        <w:t> </w:t>
      </w:r>
      <w:r>
        <w:rPr>
          <w:sz w:val="16"/>
        </w:rPr>
        <w:t>y</w:t>
      </w:r>
      <w:r>
        <w:rPr>
          <w:spacing w:val="-11"/>
          <w:sz w:val="16"/>
        </w:rPr>
        <w:t> </w:t>
      </w:r>
      <w:r>
        <w:rPr>
          <w:sz w:val="16"/>
        </w:rPr>
        <w:t>de</w:t>
      </w:r>
      <w:r>
        <w:rPr>
          <w:spacing w:val="-13"/>
          <w:sz w:val="16"/>
        </w:rPr>
        <w:t> </w:t>
      </w:r>
      <w:r>
        <w:rPr>
          <w:sz w:val="16"/>
        </w:rPr>
        <w:t>Zootecnia</w:t>
      </w:r>
      <w:r>
        <w:rPr>
          <w:spacing w:val="-10"/>
          <w:sz w:val="16"/>
        </w:rPr>
        <w:t> </w:t>
      </w:r>
      <w:r>
        <w:rPr>
          <w:sz w:val="16"/>
        </w:rPr>
        <w:t>Universidad</w:t>
      </w:r>
      <w:r>
        <w:rPr>
          <w:spacing w:val="-10"/>
          <w:sz w:val="16"/>
        </w:rPr>
        <w:t> </w:t>
      </w:r>
      <w:r>
        <w:rPr>
          <w:sz w:val="16"/>
        </w:rPr>
        <w:t>Nacional de Colombia. OPS/OMS. 1ª edición,</w:t>
      </w:r>
      <w:r>
        <w:rPr>
          <w:spacing w:val="-14"/>
          <w:sz w:val="16"/>
        </w:rPr>
        <w:t> </w:t>
      </w:r>
      <w:r>
        <w:rPr>
          <w:sz w:val="16"/>
        </w:rPr>
        <w:t>2005.</w:t>
      </w:r>
    </w:p>
    <w:p>
      <w:pPr>
        <w:pStyle w:val="BodyText"/>
        <w:spacing w:before="4"/>
        <w:rPr>
          <w:sz w:val="14"/>
        </w:rPr>
      </w:pPr>
    </w:p>
    <w:p>
      <w:pPr>
        <w:pStyle w:val="ListParagraph"/>
        <w:numPr>
          <w:ilvl w:val="0"/>
          <w:numId w:val="16"/>
        </w:numPr>
        <w:tabs>
          <w:tab w:pos="369" w:val="left" w:leader="none"/>
        </w:tabs>
        <w:spacing w:line="276" w:lineRule="auto" w:before="0" w:after="0"/>
        <w:ind w:left="102" w:right="1" w:firstLine="0"/>
        <w:jc w:val="both"/>
        <w:rPr>
          <w:sz w:val="16"/>
        </w:rPr>
      </w:pPr>
      <w:r>
        <w:rPr>
          <w:sz w:val="16"/>
        </w:rPr>
        <w:t>Ostlund,</w:t>
      </w:r>
      <w:r>
        <w:rPr>
          <w:spacing w:val="-6"/>
          <w:sz w:val="16"/>
        </w:rPr>
        <w:t> </w:t>
      </w:r>
      <w:r>
        <w:rPr>
          <w:sz w:val="16"/>
        </w:rPr>
        <w:t>E.</w:t>
      </w:r>
      <w:r>
        <w:rPr>
          <w:spacing w:val="-6"/>
          <w:sz w:val="16"/>
        </w:rPr>
        <w:t> </w:t>
      </w:r>
      <w:r>
        <w:rPr>
          <w:sz w:val="16"/>
        </w:rPr>
        <w:t>N.:</w:t>
      </w:r>
      <w:r>
        <w:rPr>
          <w:spacing w:val="-6"/>
          <w:sz w:val="16"/>
        </w:rPr>
        <w:t> </w:t>
      </w:r>
      <w:r>
        <w:rPr>
          <w:sz w:val="16"/>
        </w:rPr>
        <w:t>Manual</w:t>
      </w:r>
      <w:r>
        <w:rPr>
          <w:spacing w:val="-4"/>
          <w:sz w:val="16"/>
        </w:rPr>
        <w:t> </w:t>
      </w:r>
      <w:r>
        <w:rPr>
          <w:sz w:val="16"/>
        </w:rPr>
        <w:t>de</w:t>
      </w:r>
      <w:r>
        <w:rPr>
          <w:spacing w:val="-5"/>
          <w:sz w:val="16"/>
        </w:rPr>
        <w:t> </w:t>
      </w:r>
      <w:r>
        <w:rPr>
          <w:sz w:val="16"/>
        </w:rPr>
        <w:t>las</w:t>
      </w:r>
      <w:r>
        <w:rPr>
          <w:spacing w:val="-8"/>
          <w:sz w:val="16"/>
        </w:rPr>
        <w:t> </w:t>
      </w:r>
      <w:r>
        <w:rPr>
          <w:sz w:val="16"/>
        </w:rPr>
        <w:t>Pruebas</w:t>
      </w:r>
      <w:r>
        <w:rPr>
          <w:spacing w:val="-4"/>
          <w:sz w:val="16"/>
        </w:rPr>
        <w:t> </w:t>
      </w:r>
      <w:r>
        <w:rPr>
          <w:sz w:val="16"/>
        </w:rPr>
        <w:t>de</w:t>
      </w:r>
      <w:r>
        <w:rPr>
          <w:spacing w:val="-8"/>
          <w:sz w:val="16"/>
        </w:rPr>
        <w:t> </w:t>
      </w:r>
      <w:r>
        <w:rPr>
          <w:sz w:val="16"/>
        </w:rPr>
        <w:t>Diagnóstico y de las Vacunas para los Animales Terrestres. </w:t>
      </w:r>
      <w:r>
        <w:rPr>
          <w:spacing w:val="9"/>
          <w:sz w:val="16"/>
        </w:rPr>
        <w:t> </w:t>
      </w:r>
      <w:r>
        <w:rPr>
          <w:sz w:val="16"/>
        </w:rPr>
        <w:t>Capítulo</w:t>
      </w:r>
    </w:p>
    <w:p>
      <w:pPr>
        <w:spacing w:line="276" w:lineRule="auto" w:before="0"/>
        <w:ind w:left="102" w:right="2" w:firstLine="0"/>
        <w:jc w:val="both"/>
        <w:rPr>
          <w:sz w:val="16"/>
        </w:rPr>
      </w:pPr>
      <w:r>
        <w:rPr>
          <w:sz w:val="16"/>
        </w:rPr>
        <w:t>2.5.12.</w:t>
      </w:r>
      <w:r>
        <w:rPr>
          <w:spacing w:val="-17"/>
          <w:sz w:val="16"/>
        </w:rPr>
        <w:t> </w:t>
      </w:r>
      <w:r>
        <w:rPr>
          <w:sz w:val="16"/>
        </w:rPr>
        <w:t>Encefalomielitis</w:t>
      </w:r>
      <w:r>
        <w:rPr>
          <w:spacing w:val="-15"/>
          <w:sz w:val="16"/>
        </w:rPr>
        <w:t> </w:t>
      </w:r>
      <w:r>
        <w:rPr>
          <w:sz w:val="16"/>
        </w:rPr>
        <w:t>Equina</w:t>
      </w:r>
      <w:r>
        <w:rPr>
          <w:spacing w:val="-16"/>
          <w:sz w:val="16"/>
        </w:rPr>
        <w:t> </w:t>
      </w:r>
      <w:r>
        <w:rPr>
          <w:sz w:val="16"/>
        </w:rPr>
        <w:t>Venezolana,</w:t>
      </w:r>
      <w:r>
        <w:rPr>
          <w:spacing w:val="-15"/>
          <w:sz w:val="16"/>
        </w:rPr>
        <w:t> </w:t>
      </w:r>
      <w:r>
        <w:rPr>
          <w:sz w:val="16"/>
        </w:rPr>
        <w:t>Organización Mundial de Sanidad Animal  (OIE). 5a Edición,</w:t>
      </w:r>
      <w:r>
        <w:rPr>
          <w:spacing w:val="-14"/>
          <w:sz w:val="16"/>
        </w:rPr>
        <w:t> </w:t>
      </w:r>
      <w:r>
        <w:rPr>
          <w:sz w:val="16"/>
        </w:rPr>
        <w:t>2004.</w:t>
      </w:r>
    </w:p>
    <w:p>
      <w:pPr>
        <w:pStyle w:val="BodyText"/>
        <w:rPr>
          <w:sz w:val="14"/>
        </w:rPr>
      </w:pPr>
    </w:p>
    <w:p>
      <w:pPr>
        <w:pStyle w:val="ListParagraph"/>
        <w:numPr>
          <w:ilvl w:val="0"/>
          <w:numId w:val="16"/>
        </w:numPr>
        <w:tabs>
          <w:tab w:pos="378" w:val="left" w:leader="none"/>
        </w:tabs>
        <w:spacing w:line="276" w:lineRule="auto" w:before="0" w:after="0"/>
        <w:ind w:left="102" w:right="0" w:firstLine="0"/>
        <w:jc w:val="both"/>
        <w:rPr>
          <w:sz w:val="16"/>
        </w:rPr>
      </w:pPr>
      <w:r>
        <w:rPr>
          <w:sz w:val="16"/>
        </w:rPr>
        <w:t>Calisher, C. H.; Shope, R. E.; Brandt, W.; Casals, J.; Karabatsos, N.; Murphy, F. A.; Tesh, R. B.; Wiebe, M. E.: Proposed antigenic classification of registered arboviruses. I. Togaviridae, Alphavirus. Intervirology,14: 229-232,</w:t>
      </w:r>
      <w:r>
        <w:rPr>
          <w:spacing w:val="-5"/>
          <w:sz w:val="16"/>
        </w:rPr>
        <w:t> </w:t>
      </w:r>
      <w:r>
        <w:rPr>
          <w:sz w:val="16"/>
        </w:rPr>
        <w:t>1980.</w:t>
      </w:r>
    </w:p>
    <w:p>
      <w:pPr>
        <w:pStyle w:val="BodyText"/>
        <w:spacing w:before="2"/>
        <w:rPr>
          <w:sz w:val="14"/>
        </w:rPr>
      </w:pPr>
    </w:p>
    <w:p>
      <w:pPr>
        <w:pStyle w:val="ListParagraph"/>
        <w:numPr>
          <w:ilvl w:val="0"/>
          <w:numId w:val="16"/>
        </w:numPr>
        <w:tabs>
          <w:tab w:pos="647" w:val="left" w:leader="none"/>
        </w:tabs>
        <w:spacing w:line="273" w:lineRule="auto" w:before="0" w:after="0"/>
        <w:ind w:left="102" w:right="1" w:firstLine="0"/>
        <w:jc w:val="both"/>
        <w:rPr>
          <w:sz w:val="16"/>
        </w:rPr>
      </w:pPr>
      <w:r>
        <w:rPr>
          <w:sz w:val="16"/>
        </w:rPr>
        <w:t>Griffin, D. E.: Alphaviruses. Field's Virology.Linppincott, Williams and Wilkins, New York. 2ª edición. 917-962,</w:t>
      </w:r>
      <w:r>
        <w:rPr>
          <w:spacing w:val="-6"/>
          <w:sz w:val="16"/>
        </w:rPr>
        <w:t> </w:t>
      </w:r>
      <w:r>
        <w:rPr>
          <w:sz w:val="16"/>
        </w:rPr>
        <w:t>2001.</w:t>
      </w:r>
    </w:p>
    <w:p>
      <w:pPr>
        <w:pStyle w:val="BodyText"/>
        <w:spacing w:before="4"/>
        <w:rPr>
          <w:sz w:val="14"/>
        </w:rPr>
      </w:pPr>
    </w:p>
    <w:p>
      <w:pPr>
        <w:pStyle w:val="ListParagraph"/>
        <w:numPr>
          <w:ilvl w:val="0"/>
          <w:numId w:val="16"/>
        </w:numPr>
        <w:tabs>
          <w:tab w:pos="371" w:val="left" w:leader="none"/>
        </w:tabs>
        <w:spacing w:line="273" w:lineRule="auto" w:before="0" w:after="0"/>
        <w:ind w:left="102" w:right="2" w:firstLine="0"/>
        <w:jc w:val="both"/>
        <w:rPr>
          <w:sz w:val="16"/>
        </w:rPr>
      </w:pPr>
      <w:r>
        <w:rPr>
          <w:sz w:val="16"/>
        </w:rPr>
        <w:t>Weaver, S. C., Ferro, C.,Barrera R.,Boshell, Navarro, J.C.: Venezuelan equine encephalitis. Annu Rev Entomol 49:141-74,2004.</w:t>
      </w:r>
    </w:p>
    <w:p>
      <w:pPr>
        <w:pStyle w:val="BodyText"/>
        <w:spacing w:before="4"/>
        <w:rPr>
          <w:sz w:val="14"/>
        </w:rPr>
      </w:pPr>
    </w:p>
    <w:p>
      <w:pPr>
        <w:pStyle w:val="ListParagraph"/>
        <w:numPr>
          <w:ilvl w:val="0"/>
          <w:numId w:val="16"/>
        </w:numPr>
        <w:tabs>
          <w:tab w:pos="397" w:val="left" w:leader="none"/>
        </w:tabs>
        <w:spacing w:line="276" w:lineRule="auto" w:before="0" w:after="0"/>
        <w:ind w:left="102" w:right="0" w:firstLine="0"/>
        <w:jc w:val="both"/>
        <w:rPr>
          <w:sz w:val="16"/>
        </w:rPr>
      </w:pPr>
      <w:r>
        <w:rPr>
          <w:sz w:val="16"/>
        </w:rPr>
        <w:t>Hernandez, R., Brown D.T., Paredes, A.: Structural Differences Observed in Arboviruses of the Alphavirus and Flavivirus Genera Advances in Virology,2014:3- 17,2014.</w:t>
      </w:r>
    </w:p>
    <w:p>
      <w:pPr>
        <w:pStyle w:val="ListParagraph"/>
        <w:numPr>
          <w:ilvl w:val="0"/>
          <w:numId w:val="16"/>
        </w:numPr>
        <w:tabs>
          <w:tab w:pos="486" w:val="left" w:leader="none"/>
        </w:tabs>
        <w:spacing w:line="273" w:lineRule="auto" w:before="0" w:after="0"/>
        <w:ind w:left="102" w:right="0" w:firstLine="0"/>
        <w:jc w:val="both"/>
        <w:rPr>
          <w:sz w:val="16"/>
        </w:rPr>
      </w:pPr>
      <w:r>
        <w:rPr>
          <w:sz w:val="16"/>
        </w:rPr>
        <w:t>Anthony, R. P., Brown, D.T.: Protein-protein interactions in an alphavirus membrane. Journal of Virology. 65: 1187-1194,</w:t>
      </w:r>
      <w:r>
        <w:rPr>
          <w:spacing w:val="-9"/>
          <w:sz w:val="16"/>
        </w:rPr>
        <w:t> </w:t>
      </w:r>
      <w:r>
        <w:rPr>
          <w:sz w:val="16"/>
        </w:rPr>
        <w:t>1991.</w:t>
      </w:r>
    </w:p>
    <w:p>
      <w:pPr>
        <w:pStyle w:val="BodyText"/>
        <w:spacing w:before="4"/>
        <w:rPr>
          <w:sz w:val="14"/>
        </w:rPr>
      </w:pPr>
    </w:p>
    <w:p>
      <w:pPr>
        <w:pStyle w:val="ListParagraph"/>
        <w:numPr>
          <w:ilvl w:val="0"/>
          <w:numId w:val="16"/>
        </w:numPr>
        <w:tabs>
          <w:tab w:pos="364" w:val="left" w:leader="none"/>
        </w:tabs>
        <w:spacing w:line="273" w:lineRule="auto" w:before="0" w:after="0"/>
        <w:ind w:left="102" w:right="1" w:firstLine="0"/>
        <w:jc w:val="both"/>
        <w:rPr>
          <w:sz w:val="16"/>
        </w:rPr>
      </w:pPr>
      <w:r>
        <w:rPr>
          <w:sz w:val="16"/>
        </w:rPr>
        <w:t>Paredes,</w:t>
      </w:r>
      <w:r>
        <w:rPr>
          <w:spacing w:val="-8"/>
          <w:sz w:val="16"/>
        </w:rPr>
        <w:t> </w:t>
      </w:r>
      <w:r>
        <w:rPr>
          <w:sz w:val="16"/>
        </w:rPr>
        <w:t>A.,</w:t>
      </w:r>
      <w:r>
        <w:rPr>
          <w:spacing w:val="-10"/>
          <w:sz w:val="16"/>
        </w:rPr>
        <w:t> </w:t>
      </w:r>
      <w:r>
        <w:rPr>
          <w:sz w:val="16"/>
        </w:rPr>
        <w:t>Alwell-Warda,</w:t>
      </w:r>
      <w:r>
        <w:rPr>
          <w:spacing w:val="-10"/>
          <w:sz w:val="16"/>
        </w:rPr>
        <w:t> </w:t>
      </w:r>
      <w:r>
        <w:rPr>
          <w:sz w:val="16"/>
        </w:rPr>
        <w:t>K.,</w:t>
      </w:r>
      <w:r>
        <w:rPr>
          <w:spacing w:val="-10"/>
          <w:sz w:val="16"/>
        </w:rPr>
        <w:t> </w:t>
      </w:r>
      <w:r>
        <w:rPr>
          <w:sz w:val="16"/>
        </w:rPr>
        <w:t>Weaver,</w:t>
      </w:r>
      <w:r>
        <w:rPr>
          <w:spacing w:val="-8"/>
          <w:sz w:val="16"/>
        </w:rPr>
        <w:t> </w:t>
      </w:r>
      <w:r>
        <w:rPr>
          <w:sz w:val="16"/>
        </w:rPr>
        <w:t>S.C.,</w:t>
      </w:r>
      <w:r>
        <w:rPr>
          <w:spacing w:val="-8"/>
          <w:sz w:val="16"/>
        </w:rPr>
        <w:t> </w:t>
      </w:r>
      <w:r>
        <w:rPr>
          <w:sz w:val="16"/>
        </w:rPr>
        <w:t>Chiu,</w:t>
      </w:r>
      <w:r>
        <w:rPr>
          <w:spacing w:val="-15"/>
          <w:sz w:val="16"/>
        </w:rPr>
        <w:t> </w:t>
      </w:r>
      <w:r>
        <w:rPr>
          <w:sz w:val="16"/>
        </w:rPr>
        <w:t>W. y Watowich J.: Venezuelan Equine Encephalomyelitis Virus Structure and Its Divergence from Old World Alphaviruses. Journal of Virology. 75:</w:t>
      </w:r>
      <w:r>
        <w:rPr>
          <w:spacing w:val="-18"/>
          <w:sz w:val="16"/>
        </w:rPr>
        <w:t> </w:t>
      </w:r>
      <w:r>
        <w:rPr>
          <w:sz w:val="16"/>
        </w:rPr>
        <w:t>9532–9537,2001,</w:t>
      </w:r>
    </w:p>
    <w:p>
      <w:pPr>
        <w:pStyle w:val="BodyText"/>
        <w:spacing w:before="4"/>
        <w:rPr>
          <w:sz w:val="14"/>
        </w:rPr>
      </w:pPr>
    </w:p>
    <w:p>
      <w:pPr>
        <w:pStyle w:val="ListParagraph"/>
        <w:numPr>
          <w:ilvl w:val="0"/>
          <w:numId w:val="16"/>
        </w:numPr>
        <w:tabs>
          <w:tab w:pos="379" w:val="left" w:leader="none"/>
        </w:tabs>
        <w:spacing w:line="276" w:lineRule="auto" w:before="0" w:after="0"/>
        <w:ind w:left="102" w:right="0" w:firstLine="0"/>
        <w:jc w:val="both"/>
        <w:rPr>
          <w:sz w:val="16"/>
        </w:rPr>
      </w:pPr>
      <w:r>
        <w:rPr>
          <w:sz w:val="16"/>
        </w:rPr>
        <w:t>Tucker, P. C., and D. E. Griffin.Mechanism of altered Sindbis virus neurovirulence associated with a single- amino-acid change in the E2 Glycoprotein. J Virol 65:1551-1556,</w:t>
      </w:r>
      <w:r>
        <w:rPr>
          <w:spacing w:val="-8"/>
          <w:sz w:val="16"/>
        </w:rPr>
        <w:t> </w:t>
      </w:r>
      <w:r>
        <w:rPr>
          <w:sz w:val="16"/>
        </w:rPr>
        <w:t>1991.</w:t>
      </w:r>
    </w:p>
    <w:p>
      <w:pPr>
        <w:pStyle w:val="BodyText"/>
        <w:spacing w:before="2"/>
        <w:rPr>
          <w:sz w:val="14"/>
        </w:rPr>
      </w:pPr>
    </w:p>
    <w:p>
      <w:pPr>
        <w:pStyle w:val="ListParagraph"/>
        <w:numPr>
          <w:ilvl w:val="0"/>
          <w:numId w:val="16"/>
        </w:numPr>
        <w:tabs>
          <w:tab w:pos="391" w:val="left" w:leader="none"/>
        </w:tabs>
        <w:spacing w:line="273" w:lineRule="auto" w:before="0" w:after="0"/>
        <w:ind w:left="102" w:right="0" w:firstLine="0"/>
        <w:jc w:val="both"/>
        <w:rPr>
          <w:sz w:val="16"/>
        </w:rPr>
      </w:pPr>
      <w:r>
        <w:rPr>
          <w:sz w:val="16"/>
        </w:rPr>
        <w:t>Schlesinger, S.,Schlesinger, M.J. : </w:t>
      </w:r>
      <w:r>
        <w:rPr>
          <w:i/>
          <w:sz w:val="16"/>
        </w:rPr>
        <w:t>Togaviridae</w:t>
      </w:r>
      <w:r>
        <w:rPr>
          <w:sz w:val="16"/>
        </w:rPr>
        <w:t>: The viruses and their replication. Field's Virology, 4ª edición . Lippincott, Williams and Wilkins, New York, 895-916, 2001.</w:t>
      </w:r>
    </w:p>
    <w:p>
      <w:pPr>
        <w:pStyle w:val="BodyText"/>
        <w:spacing w:before="4"/>
        <w:rPr>
          <w:sz w:val="14"/>
        </w:rPr>
      </w:pPr>
    </w:p>
    <w:p>
      <w:pPr>
        <w:pStyle w:val="ListParagraph"/>
        <w:numPr>
          <w:ilvl w:val="0"/>
          <w:numId w:val="16"/>
        </w:numPr>
        <w:tabs>
          <w:tab w:pos="388" w:val="left" w:leader="none"/>
        </w:tabs>
        <w:spacing w:line="276" w:lineRule="auto" w:before="0" w:after="0"/>
        <w:ind w:left="102" w:right="4" w:firstLine="0"/>
        <w:jc w:val="both"/>
        <w:rPr>
          <w:sz w:val="16"/>
        </w:rPr>
      </w:pPr>
      <w:r>
        <w:rPr>
          <w:sz w:val="16"/>
        </w:rPr>
        <w:t>Simons, K., Garoff, H.: The budding mechanisms of enveloped viruses. </w:t>
      </w:r>
      <w:r>
        <w:rPr>
          <w:i/>
          <w:sz w:val="16"/>
        </w:rPr>
        <w:t>J Gen Virol. </w:t>
      </w:r>
      <w:r>
        <w:rPr>
          <w:sz w:val="16"/>
        </w:rPr>
        <w:t>50:1–21,</w:t>
      </w:r>
      <w:r>
        <w:rPr>
          <w:spacing w:val="-16"/>
          <w:sz w:val="16"/>
        </w:rPr>
        <w:t> </w:t>
      </w:r>
      <w:r>
        <w:rPr>
          <w:sz w:val="16"/>
        </w:rPr>
        <w:t>1980.</w:t>
      </w:r>
    </w:p>
    <w:p>
      <w:pPr>
        <w:pStyle w:val="ListParagraph"/>
        <w:numPr>
          <w:ilvl w:val="0"/>
          <w:numId w:val="16"/>
        </w:numPr>
        <w:tabs>
          <w:tab w:pos="429" w:val="left" w:leader="none"/>
        </w:tabs>
        <w:spacing w:line="276" w:lineRule="auto" w:before="0" w:after="0"/>
        <w:ind w:left="102" w:right="1" w:firstLine="0"/>
        <w:jc w:val="both"/>
        <w:rPr>
          <w:sz w:val="16"/>
        </w:rPr>
      </w:pPr>
      <w:r>
        <w:rPr>
          <w:sz w:val="16"/>
        </w:rPr>
        <w:t>Lopez, S., Yao, J.S., Kuhn, R.J., Strauss, E.G., Strauss,   J.H.:   Nucleocapsid–glycoprotein </w:t>
      </w:r>
      <w:r>
        <w:rPr>
          <w:spacing w:val="42"/>
          <w:sz w:val="16"/>
        </w:rPr>
        <w:t> </w:t>
      </w:r>
      <w:r>
        <w:rPr>
          <w:sz w:val="16"/>
        </w:rPr>
        <w:t>interactions</w:t>
      </w:r>
    </w:p>
    <w:p>
      <w:pPr>
        <w:spacing w:line="278" w:lineRule="auto" w:before="54"/>
        <w:ind w:left="102" w:right="116" w:firstLine="0"/>
        <w:jc w:val="both"/>
        <w:rPr>
          <w:sz w:val="16"/>
        </w:rPr>
      </w:pPr>
      <w:r>
        <w:rPr/>
        <w:br w:type="column"/>
      </w:r>
      <w:r>
        <w:rPr>
          <w:sz w:val="16"/>
        </w:rPr>
        <w:t>required for alphavirus assembly. </w:t>
      </w:r>
      <w:r>
        <w:rPr>
          <w:i/>
          <w:sz w:val="16"/>
        </w:rPr>
        <w:t>J Virol</w:t>
      </w:r>
      <w:r>
        <w:rPr>
          <w:sz w:val="16"/>
        </w:rPr>
        <w:t>. 68:1316–1323. 1968.</w:t>
      </w:r>
    </w:p>
    <w:p>
      <w:pPr>
        <w:pStyle w:val="ListParagraph"/>
        <w:numPr>
          <w:ilvl w:val="0"/>
          <w:numId w:val="16"/>
        </w:numPr>
        <w:tabs>
          <w:tab w:pos="414" w:val="left" w:leader="none"/>
        </w:tabs>
        <w:spacing w:line="276" w:lineRule="auto" w:before="0" w:after="0"/>
        <w:ind w:left="102" w:right="117" w:firstLine="0"/>
        <w:jc w:val="both"/>
        <w:rPr>
          <w:sz w:val="16"/>
        </w:rPr>
      </w:pPr>
      <w:r>
        <w:rPr>
          <w:sz w:val="16"/>
        </w:rPr>
        <w:t>Calisher C.H., Shope R.E., Brandt W., Casals J., Karabastos N., Murphy F.A., Tesh R.B. y Wiebe M.E.:Proposed antigenic classification of registered arboviruses. I. </w:t>
      </w:r>
      <w:r>
        <w:rPr>
          <w:i/>
          <w:sz w:val="16"/>
        </w:rPr>
        <w:t>Togavirus Alphavirus. Intervirology</w:t>
      </w:r>
      <w:r>
        <w:rPr>
          <w:sz w:val="16"/>
        </w:rPr>
        <w:t>, 14:229–232,</w:t>
      </w:r>
      <w:r>
        <w:rPr>
          <w:spacing w:val="-6"/>
          <w:sz w:val="16"/>
        </w:rPr>
        <w:t> </w:t>
      </w:r>
      <w:r>
        <w:rPr>
          <w:sz w:val="16"/>
        </w:rPr>
        <w:t>1980.</w:t>
      </w:r>
    </w:p>
    <w:p>
      <w:pPr>
        <w:pStyle w:val="BodyText"/>
        <w:spacing w:before="7"/>
        <w:rPr>
          <w:sz w:val="18"/>
        </w:rPr>
      </w:pPr>
    </w:p>
    <w:p>
      <w:pPr>
        <w:pStyle w:val="ListParagraph"/>
        <w:numPr>
          <w:ilvl w:val="0"/>
          <w:numId w:val="16"/>
        </w:numPr>
        <w:tabs>
          <w:tab w:pos="460" w:val="left" w:leader="none"/>
        </w:tabs>
        <w:spacing w:line="276" w:lineRule="auto" w:before="0" w:after="0"/>
        <w:ind w:left="102" w:right="114" w:firstLine="0"/>
        <w:jc w:val="both"/>
        <w:rPr>
          <w:sz w:val="16"/>
        </w:rPr>
      </w:pPr>
      <w:r>
        <w:rPr>
          <w:sz w:val="16"/>
        </w:rPr>
        <w:t>Walton, T.E., Grayson M.A.: The Arboviruses: Epidemiology and Ecology. Capítulo 46. Venezuelan equine encephalomyelitis. CRC Press, Boca Raton, Florida, EE.UU.,203-231,</w:t>
      </w:r>
      <w:r>
        <w:rPr>
          <w:spacing w:val="-8"/>
          <w:sz w:val="16"/>
        </w:rPr>
        <w:t> </w:t>
      </w:r>
      <w:r>
        <w:rPr>
          <w:sz w:val="16"/>
        </w:rPr>
        <w:t>1989.</w:t>
      </w:r>
    </w:p>
    <w:p>
      <w:pPr>
        <w:pStyle w:val="ListParagraph"/>
        <w:numPr>
          <w:ilvl w:val="0"/>
          <w:numId w:val="16"/>
        </w:numPr>
        <w:tabs>
          <w:tab w:pos="364" w:val="left" w:leader="none"/>
        </w:tabs>
        <w:spacing w:line="276" w:lineRule="auto" w:before="0" w:after="0"/>
        <w:ind w:left="102" w:right="118" w:firstLine="0"/>
        <w:jc w:val="both"/>
        <w:rPr>
          <w:sz w:val="16"/>
        </w:rPr>
      </w:pPr>
      <w:r>
        <w:rPr>
          <w:sz w:val="16"/>
        </w:rPr>
        <w:t>Organización</w:t>
      </w:r>
      <w:r>
        <w:rPr>
          <w:spacing w:val="-13"/>
          <w:sz w:val="16"/>
        </w:rPr>
        <w:t> </w:t>
      </w:r>
      <w:r>
        <w:rPr>
          <w:sz w:val="16"/>
        </w:rPr>
        <w:t>Panamericana</w:t>
      </w:r>
      <w:r>
        <w:rPr>
          <w:spacing w:val="-10"/>
          <w:sz w:val="16"/>
        </w:rPr>
        <w:t> </w:t>
      </w:r>
      <w:r>
        <w:rPr>
          <w:sz w:val="16"/>
        </w:rPr>
        <w:t>de</w:t>
      </w:r>
      <w:r>
        <w:rPr>
          <w:spacing w:val="-10"/>
          <w:sz w:val="16"/>
        </w:rPr>
        <w:t> </w:t>
      </w:r>
      <w:r>
        <w:rPr>
          <w:sz w:val="16"/>
        </w:rPr>
        <w:t>la</w:t>
      </w:r>
      <w:r>
        <w:rPr>
          <w:spacing w:val="-12"/>
          <w:sz w:val="16"/>
        </w:rPr>
        <w:t> </w:t>
      </w:r>
      <w:r>
        <w:rPr>
          <w:sz w:val="16"/>
        </w:rPr>
        <w:t>Salud.</w:t>
      </w:r>
      <w:r>
        <w:rPr>
          <w:spacing w:val="-11"/>
          <w:sz w:val="16"/>
        </w:rPr>
        <w:t> </w:t>
      </w:r>
      <w:r>
        <w:rPr>
          <w:sz w:val="16"/>
        </w:rPr>
        <w:t>Proceedings of a Workshop/Symposium on Venezuelan Encephalitis Virus. Venezuelan encephalitis. Publicación científica No. 243, Washington DC, EE.UU., 416 pp,</w:t>
      </w:r>
      <w:r>
        <w:rPr>
          <w:spacing w:val="-12"/>
          <w:sz w:val="16"/>
        </w:rPr>
        <w:t> </w:t>
      </w:r>
      <w:r>
        <w:rPr>
          <w:sz w:val="16"/>
        </w:rPr>
        <w:t>1972.</w:t>
      </w:r>
    </w:p>
    <w:p>
      <w:pPr>
        <w:pStyle w:val="ListParagraph"/>
        <w:numPr>
          <w:ilvl w:val="0"/>
          <w:numId w:val="16"/>
        </w:numPr>
        <w:tabs>
          <w:tab w:pos="383" w:val="left" w:leader="none"/>
        </w:tabs>
        <w:spacing w:line="276" w:lineRule="auto" w:before="0" w:after="0"/>
        <w:ind w:left="102" w:right="115" w:firstLine="0"/>
        <w:jc w:val="both"/>
        <w:rPr>
          <w:sz w:val="16"/>
        </w:rPr>
      </w:pPr>
      <w:r>
        <w:rPr>
          <w:sz w:val="16"/>
        </w:rPr>
        <w:t>Powers A.M., Oberste M.S., Brault A.C., Rico-Hesse R.,</w:t>
      </w:r>
      <w:r>
        <w:rPr>
          <w:spacing w:val="-4"/>
          <w:sz w:val="16"/>
        </w:rPr>
        <w:t> </w:t>
      </w:r>
      <w:r>
        <w:rPr>
          <w:sz w:val="16"/>
        </w:rPr>
        <w:t>Schmura</w:t>
      </w:r>
      <w:r>
        <w:rPr>
          <w:spacing w:val="-3"/>
          <w:sz w:val="16"/>
        </w:rPr>
        <w:t> </w:t>
      </w:r>
      <w:r>
        <w:rPr>
          <w:sz w:val="16"/>
        </w:rPr>
        <w:t>S.M.,</w:t>
      </w:r>
      <w:r>
        <w:rPr>
          <w:spacing w:val="-4"/>
          <w:sz w:val="16"/>
        </w:rPr>
        <w:t> </w:t>
      </w:r>
      <w:r>
        <w:rPr>
          <w:sz w:val="16"/>
        </w:rPr>
        <w:t>Smith</w:t>
      </w:r>
      <w:r>
        <w:rPr>
          <w:spacing w:val="-6"/>
          <w:sz w:val="16"/>
        </w:rPr>
        <w:t> </w:t>
      </w:r>
      <w:r>
        <w:rPr>
          <w:sz w:val="16"/>
        </w:rPr>
        <w:t>J.F.,</w:t>
      </w:r>
      <w:r>
        <w:rPr>
          <w:spacing w:val="-4"/>
          <w:sz w:val="16"/>
        </w:rPr>
        <w:t> </w:t>
      </w:r>
      <w:r>
        <w:rPr>
          <w:sz w:val="16"/>
        </w:rPr>
        <w:t>Kang,</w:t>
      </w:r>
      <w:r>
        <w:rPr>
          <w:spacing w:val="-7"/>
          <w:sz w:val="16"/>
        </w:rPr>
        <w:t> </w:t>
      </w:r>
      <w:r>
        <w:rPr>
          <w:sz w:val="16"/>
        </w:rPr>
        <w:t>W.,</w:t>
      </w:r>
      <w:r>
        <w:rPr>
          <w:spacing w:val="-2"/>
          <w:sz w:val="16"/>
        </w:rPr>
        <w:t> </w:t>
      </w:r>
      <w:r>
        <w:rPr>
          <w:sz w:val="16"/>
        </w:rPr>
        <w:t>Sweeney</w:t>
      </w:r>
      <w:r>
        <w:rPr>
          <w:spacing w:val="-6"/>
          <w:sz w:val="16"/>
        </w:rPr>
        <w:t> </w:t>
      </w:r>
      <w:r>
        <w:rPr>
          <w:sz w:val="16"/>
        </w:rPr>
        <w:t>W.P.</w:t>
      </w:r>
      <w:r>
        <w:rPr>
          <w:spacing w:val="-4"/>
          <w:sz w:val="16"/>
        </w:rPr>
        <w:t> </w:t>
      </w:r>
      <w:r>
        <w:rPr>
          <w:sz w:val="16"/>
        </w:rPr>
        <w:t>y Weaver S.C.: Repeated emergence of</w:t>
      </w:r>
      <w:r>
        <w:rPr>
          <w:spacing w:val="-27"/>
          <w:sz w:val="16"/>
        </w:rPr>
        <w:t> </w:t>
      </w:r>
      <w:r>
        <w:rPr>
          <w:sz w:val="16"/>
        </w:rPr>
        <w:t>epidemic/epizootic Venezuelan</w:t>
      </w:r>
      <w:r>
        <w:rPr>
          <w:spacing w:val="-8"/>
          <w:sz w:val="16"/>
        </w:rPr>
        <w:t> </w:t>
      </w:r>
      <w:r>
        <w:rPr>
          <w:sz w:val="16"/>
        </w:rPr>
        <w:t>equine</w:t>
      </w:r>
      <w:r>
        <w:rPr>
          <w:spacing w:val="-8"/>
          <w:sz w:val="16"/>
        </w:rPr>
        <w:t> </w:t>
      </w:r>
      <w:r>
        <w:rPr>
          <w:sz w:val="16"/>
        </w:rPr>
        <w:t>encephalitis</w:t>
      </w:r>
      <w:r>
        <w:rPr>
          <w:spacing w:val="-9"/>
          <w:sz w:val="16"/>
        </w:rPr>
        <w:t> </w:t>
      </w:r>
      <w:r>
        <w:rPr>
          <w:sz w:val="16"/>
        </w:rPr>
        <w:t>from</w:t>
      </w:r>
      <w:r>
        <w:rPr>
          <w:spacing w:val="-7"/>
          <w:sz w:val="16"/>
        </w:rPr>
        <w:t> </w:t>
      </w:r>
      <w:r>
        <w:rPr>
          <w:sz w:val="16"/>
        </w:rPr>
        <w:t>a</w:t>
      </w:r>
      <w:r>
        <w:rPr>
          <w:spacing w:val="-10"/>
          <w:sz w:val="16"/>
        </w:rPr>
        <w:t> </w:t>
      </w:r>
      <w:r>
        <w:rPr>
          <w:sz w:val="16"/>
        </w:rPr>
        <w:t>single</w:t>
      </w:r>
      <w:r>
        <w:rPr>
          <w:spacing w:val="-10"/>
          <w:sz w:val="16"/>
        </w:rPr>
        <w:t> </w:t>
      </w:r>
      <w:r>
        <w:rPr>
          <w:sz w:val="16"/>
        </w:rPr>
        <w:t>genotype</w:t>
      </w:r>
      <w:r>
        <w:rPr>
          <w:spacing w:val="-8"/>
          <w:sz w:val="16"/>
        </w:rPr>
        <w:t> </w:t>
      </w:r>
      <w:r>
        <w:rPr>
          <w:sz w:val="16"/>
        </w:rPr>
        <w:t>of enzootic subtype ID virus. </w:t>
      </w:r>
      <w:r>
        <w:rPr>
          <w:i/>
          <w:sz w:val="16"/>
        </w:rPr>
        <w:t>J. Virol.</w:t>
      </w:r>
      <w:r>
        <w:rPr>
          <w:sz w:val="16"/>
        </w:rPr>
        <w:t>, 71:6697–6705,</w:t>
      </w:r>
      <w:r>
        <w:rPr>
          <w:spacing w:val="-20"/>
          <w:sz w:val="16"/>
        </w:rPr>
        <w:t> </w:t>
      </w:r>
      <w:r>
        <w:rPr>
          <w:sz w:val="16"/>
        </w:rPr>
        <w:t>2007.</w:t>
      </w:r>
    </w:p>
    <w:p>
      <w:pPr>
        <w:pStyle w:val="ListParagraph"/>
        <w:numPr>
          <w:ilvl w:val="0"/>
          <w:numId w:val="16"/>
        </w:numPr>
        <w:tabs>
          <w:tab w:pos="390" w:val="left" w:leader="none"/>
        </w:tabs>
        <w:spacing w:line="276" w:lineRule="auto" w:before="0" w:after="0"/>
        <w:ind w:left="102" w:right="116" w:firstLine="0"/>
        <w:jc w:val="both"/>
        <w:rPr>
          <w:sz w:val="16"/>
        </w:rPr>
      </w:pPr>
      <w:r>
        <w:rPr>
          <w:sz w:val="16"/>
        </w:rPr>
        <w:t>Aguilar, P.V., Estrada- Franco J.G., Navarro- Lopez R., Ferro, C. y Haddow, A.D.: Endemic Venezuelan equine encephalitis in the Americas: hidden under the dengue umbrella. Future Virology. 6:723-727,</w:t>
      </w:r>
      <w:r>
        <w:rPr>
          <w:spacing w:val="-14"/>
          <w:sz w:val="16"/>
        </w:rPr>
        <w:t> </w:t>
      </w:r>
      <w:r>
        <w:rPr>
          <w:sz w:val="16"/>
        </w:rPr>
        <w:t>2011.</w:t>
      </w:r>
    </w:p>
    <w:p>
      <w:pPr>
        <w:pStyle w:val="BodyText"/>
        <w:spacing w:before="7"/>
        <w:rPr>
          <w:sz w:val="18"/>
        </w:rPr>
      </w:pPr>
    </w:p>
    <w:p>
      <w:pPr>
        <w:pStyle w:val="ListParagraph"/>
        <w:numPr>
          <w:ilvl w:val="0"/>
          <w:numId w:val="16"/>
        </w:numPr>
        <w:tabs>
          <w:tab w:pos="414" w:val="left" w:leader="none"/>
        </w:tabs>
        <w:spacing w:line="276" w:lineRule="auto" w:before="0" w:after="0"/>
        <w:ind w:left="102" w:right="117" w:firstLine="0"/>
        <w:jc w:val="both"/>
        <w:rPr>
          <w:sz w:val="16"/>
        </w:rPr>
      </w:pPr>
      <w:r>
        <w:rPr>
          <w:sz w:val="16"/>
        </w:rPr>
        <w:t>Smith, J.F., Davis, K., Hart, M.K., Ludwig, G. V., McLain, D., Parker, M. D. y Pratt, W.D.: Viral Encephalitides .Medical aspects of medical and</w:t>
      </w:r>
      <w:r>
        <w:rPr>
          <w:spacing w:val="-28"/>
          <w:sz w:val="16"/>
        </w:rPr>
        <w:t> </w:t>
      </w:r>
      <w:r>
        <w:rPr>
          <w:sz w:val="16"/>
        </w:rPr>
        <w:t>biological warfare.</w:t>
      </w:r>
      <w:r>
        <w:rPr>
          <w:spacing w:val="-9"/>
          <w:sz w:val="16"/>
        </w:rPr>
        <w:t> </w:t>
      </w:r>
      <w:r>
        <w:rPr>
          <w:sz w:val="16"/>
        </w:rPr>
        <w:t>Office</w:t>
      </w:r>
      <w:r>
        <w:rPr>
          <w:spacing w:val="-10"/>
          <w:sz w:val="16"/>
        </w:rPr>
        <w:t> </w:t>
      </w:r>
      <w:r>
        <w:rPr>
          <w:sz w:val="16"/>
        </w:rPr>
        <w:t>of</w:t>
      </w:r>
      <w:r>
        <w:rPr>
          <w:spacing w:val="-11"/>
          <w:sz w:val="16"/>
        </w:rPr>
        <w:t> </w:t>
      </w:r>
      <w:r>
        <w:rPr>
          <w:sz w:val="16"/>
        </w:rPr>
        <w:t>The</w:t>
      </w:r>
      <w:r>
        <w:rPr>
          <w:spacing w:val="-13"/>
          <w:sz w:val="16"/>
        </w:rPr>
        <w:t> </w:t>
      </w:r>
      <w:r>
        <w:rPr>
          <w:sz w:val="16"/>
        </w:rPr>
        <w:t>Surgeon</w:t>
      </w:r>
      <w:r>
        <w:rPr>
          <w:spacing w:val="-10"/>
          <w:sz w:val="16"/>
        </w:rPr>
        <w:t> </w:t>
      </w:r>
      <w:r>
        <w:rPr>
          <w:sz w:val="16"/>
        </w:rPr>
        <w:t>General</w:t>
      </w:r>
      <w:r>
        <w:rPr>
          <w:spacing w:val="-9"/>
          <w:sz w:val="16"/>
        </w:rPr>
        <w:t> </w:t>
      </w:r>
      <w:r>
        <w:rPr>
          <w:sz w:val="16"/>
        </w:rPr>
        <w:t>Department</w:t>
      </w:r>
      <w:r>
        <w:rPr>
          <w:spacing w:val="-11"/>
          <w:sz w:val="16"/>
        </w:rPr>
        <w:t> </w:t>
      </w:r>
      <w:r>
        <w:rPr>
          <w:sz w:val="16"/>
        </w:rPr>
        <w:t>of</w:t>
      </w:r>
      <w:r>
        <w:rPr>
          <w:spacing w:val="-11"/>
          <w:sz w:val="16"/>
        </w:rPr>
        <w:t> </w:t>
      </w:r>
      <w:r>
        <w:rPr>
          <w:sz w:val="16"/>
        </w:rPr>
        <w:t>the Army, USA. Capítulo 28.</w:t>
      </w:r>
      <w:r>
        <w:rPr>
          <w:spacing w:val="-13"/>
          <w:sz w:val="16"/>
        </w:rPr>
        <w:t> </w:t>
      </w:r>
      <w:r>
        <w:rPr>
          <w:sz w:val="16"/>
        </w:rPr>
        <w:t>564-571.</w:t>
      </w:r>
    </w:p>
    <w:p>
      <w:pPr>
        <w:pStyle w:val="BodyText"/>
        <w:rPr>
          <w:sz w:val="16"/>
        </w:rPr>
      </w:pPr>
    </w:p>
    <w:p>
      <w:pPr>
        <w:pStyle w:val="BodyText"/>
        <w:rPr>
          <w:sz w:val="21"/>
        </w:rPr>
      </w:pPr>
    </w:p>
    <w:p>
      <w:pPr>
        <w:pStyle w:val="ListParagraph"/>
        <w:numPr>
          <w:ilvl w:val="0"/>
          <w:numId w:val="16"/>
        </w:numPr>
        <w:tabs>
          <w:tab w:pos="470" w:val="left" w:leader="none"/>
        </w:tabs>
        <w:spacing w:line="276" w:lineRule="auto" w:before="0" w:after="0"/>
        <w:ind w:left="102" w:right="115" w:firstLine="0"/>
        <w:jc w:val="both"/>
        <w:rPr>
          <w:sz w:val="16"/>
        </w:rPr>
      </w:pPr>
      <w:r>
        <w:rPr>
          <w:sz w:val="16"/>
        </w:rPr>
        <w:t>Velásquez J.: Enfermedades de los animales transmisibles al hombre: peste loca. </w:t>
      </w:r>
      <w:r>
        <w:rPr>
          <w:i/>
          <w:sz w:val="16"/>
        </w:rPr>
        <w:t>Salud y Sanidad </w:t>
      </w:r>
      <w:r>
        <w:rPr>
          <w:sz w:val="16"/>
        </w:rPr>
        <w:t>8:22–32,</w:t>
      </w:r>
      <w:r>
        <w:rPr>
          <w:spacing w:val="-5"/>
          <w:sz w:val="16"/>
        </w:rPr>
        <w:t> </w:t>
      </w:r>
      <w:r>
        <w:rPr>
          <w:sz w:val="16"/>
        </w:rPr>
        <w:t>1939.</w:t>
      </w:r>
    </w:p>
    <w:p>
      <w:pPr>
        <w:pStyle w:val="BodyText"/>
        <w:spacing w:before="4"/>
        <w:rPr>
          <w:sz w:val="18"/>
        </w:rPr>
      </w:pPr>
    </w:p>
    <w:p>
      <w:pPr>
        <w:pStyle w:val="ListParagraph"/>
        <w:numPr>
          <w:ilvl w:val="0"/>
          <w:numId w:val="16"/>
        </w:numPr>
        <w:tabs>
          <w:tab w:pos="390" w:val="left" w:leader="none"/>
        </w:tabs>
        <w:spacing w:line="276" w:lineRule="auto" w:before="0" w:after="0"/>
        <w:ind w:left="102" w:right="119" w:firstLine="0"/>
        <w:jc w:val="both"/>
        <w:rPr>
          <w:sz w:val="16"/>
        </w:rPr>
      </w:pPr>
      <w:r>
        <w:rPr>
          <w:sz w:val="16"/>
        </w:rPr>
        <w:t>Rico-Hesse, R., Weaver, S.C., Siger, J.,Medina, G., Salas, R.A.: Emergence of a new epidemic/epizootic Venezuelan equine encephalitis virus in South America. Proc. Natl. Acad. Sci. USA 92:5278– 81,</w:t>
      </w:r>
      <w:r>
        <w:rPr>
          <w:spacing w:val="-18"/>
          <w:sz w:val="16"/>
        </w:rPr>
        <w:t> </w:t>
      </w:r>
      <w:r>
        <w:rPr>
          <w:sz w:val="16"/>
        </w:rPr>
        <w:t>1995.</w:t>
      </w:r>
    </w:p>
    <w:p>
      <w:pPr>
        <w:pStyle w:val="BodyText"/>
        <w:spacing w:before="4"/>
        <w:rPr>
          <w:sz w:val="18"/>
        </w:rPr>
      </w:pPr>
    </w:p>
    <w:p>
      <w:pPr>
        <w:pStyle w:val="ListParagraph"/>
        <w:numPr>
          <w:ilvl w:val="0"/>
          <w:numId w:val="16"/>
        </w:numPr>
        <w:tabs>
          <w:tab w:pos="359" w:val="left" w:leader="none"/>
        </w:tabs>
        <w:spacing w:line="276" w:lineRule="auto" w:before="0" w:after="0"/>
        <w:ind w:left="102" w:right="114" w:firstLine="0"/>
        <w:jc w:val="both"/>
        <w:rPr>
          <w:sz w:val="16"/>
        </w:rPr>
      </w:pPr>
      <w:r>
        <w:rPr>
          <w:sz w:val="16"/>
        </w:rPr>
        <w:t>Weaver,</w:t>
      </w:r>
      <w:r>
        <w:rPr>
          <w:spacing w:val="-11"/>
          <w:sz w:val="16"/>
        </w:rPr>
        <w:t> </w:t>
      </w:r>
      <w:r>
        <w:rPr>
          <w:sz w:val="16"/>
        </w:rPr>
        <w:t>S.C.,</w:t>
      </w:r>
      <w:r>
        <w:rPr>
          <w:spacing w:val="-11"/>
          <w:sz w:val="16"/>
        </w:rPr>
        <w:t> </w:t>
      </w:r>
      <w:r>
        <w:rPr>
          <w:sz w:val="16"/>
        </w:rPr>
        <w:t>Salas,</w:t>
      </w:r>
      <w:r>
        <w:rPr>
          <w:spacing w:val="-9"/>
          <w:sz w:val="16"/>
        </w:rPr>
        <w:t> </w:t>
      </w:r>
      <w:r>
        <w:rPr>
          <w:sz w:val="16"/>
        </w:rPr>
        <w:t>R.,</w:t>
      </w:r>
      <w:r>
        <w:rPr>
          <w:spacing w:val="-11"/>
          <w:sz w:val="16"/>
        </w:rPr>
        <w:t> </w:t>
      </w:r>
      <w:r>
        <w:rPr>
          <w:sz w:val="16"/>
        </w:rPr>
        <w:t>Rico-Hesse,</w:t>
      </w:r>
      <w:r>
        <w:rPr>
          <w:spacing w:val="-11"/>
          <w:sz w:val="16"/>
        </w:rPr>
        <w:t> </w:t>
      </w:r>
      <w:r>
        <w:rPr>
          <w:sz w:val="16"/>
        </w:rPr>
        <w:t>R.,</w:t>
      </w:r>
      <w:r>
        <w:rPr>
          <w:spacing w:val="-11"/>
          <w:sz w:val="16"/>
        </w:rPr>
        <w:t> </w:t>
      </w:r>
      <w:r>
        <w:rPr>
          <w:sz w:val="16"/>
        </w:rPr>
        <w:t>Ludwig,</w:t>
      </w:r>
      <w:r>
        <w:rPr>
          <w:spacing w:val="-9"/>
          <w:sz w:val="16"/>
        </w:rPr>
        <w:t> </w:t>
      </w:r>
      <w:r>
        <w:rPr>
          <w:sz w:val="16"/>
        </w:rPr>
        <w:t>G.V, Obersete, M.S., Boshell, J., Tesh, R.B.: Re-emergence</w:t>
      </w:r>
      <w:r>
        <w:rPr>
          <w:spacing w:val="-27"/>
          <w:sz w:val="16"/>
        </w:rPr>
        <w:t> </w:t>
      </w:r>
      <w:r>
        <w:rPr>
          <w:sz w:val="16"/>
        </w:rPr>
        <w:t>of epidemic Venezuelan equine encephalomyelitis in South America. Lancet. 348:436-440,</w:t>
      </w:r>
      <w:r>
        <w:rPr>
          <w:spacing w:val="-18"/>
          <w:sz w:val="16"/>
        </w:rPr>
        <w:t> </w:t>
      </w:r>
      <w:r>
        <w:rPr>
          <w:sz w:val="16"/>
        </w:rPr>
        <w:t>1996.</w:t>
      </w:r>
    </w:p>
    <w:p>
      <w:pPr>
        <w:pStyle w:val="BodyText"/>
        <w:spacing w:before="4"/>
        <w:rPr>
          <w:sz w:val="18"/>
        </w:rPr>
      </w:pPr>
    </w:p>
    <w:p>
      <w:pPr>
        <w:pStyle w:val="ListParagraph"/>
        <w:numPr>
          <w:ilvl w:val="0"/>
          <w:numId w:val="16"/>
        </w:numPr>
        <w:tabs>
          <w:tab w:pos="520" w:val="left" w:leader="none"/>
        </w:tabs>
        <w:spacing w:line="276" w:lineRule="auto" w:before="0" w:after="0"/>
        <w:ind w:left="102" w:right="119" w:firstLine="0"/>
        <w:jc w:val="both"/>
        <w:rPr>
          <w:sz w:val="16"/>
        </w:rPr>
      </w:pPr>
      <w:r>
        <w:rPr>
          <w:sz w:val="16"/>
        </w:rPr>
        <w:t>Biosafety in microbiological and biomedical laboratories. </w:t>
      </w:r>
      <w:r>
        <w:rPr>
          <w:i/>
          <w:sz w:val="16"/>
        </w:rPr>
        <w:t>In </w:t>
      </w:r>
      <w:r>
        <w:rPr>
          <w:sz w:val="16"/>
        </w:rPr>
        <w:t>United States Department of Health and Human Services , 4 ed. U.S. Government Printing Office, Washington D.C.,</w:t>
      </w:r>
      <w:r>
        <w:rPr>
          <w:spacing w:val="-8"/>
          <w:sz w:val="16"/>
        </w:rPr>
        <w:t> </w:t>
      </w:r>
      <w:r>
        <w:rPr>
          <w:sz w:val="16"/>
        </w:rPr>
        <w:t>1999.</w:t>
      </w:r>
    </w:p>
    <w:p>
      <w:pPr>
        <w:pStyle w:val="BodyText"/>
        <w:spacing w:before="7"/>
        <w:rPr>
          <w:sz w:val="18"/>
        </w:rPr>
      </w:pPr>
    </w:p>
    <w:p>
      <w:pPr>
        <w:pStyle w:val="ListParagraph"/>
        <w:numPr>
          <w:ilvl w:val="0"/>
          <w:numId w:val="16"/>
        </w:numPr>
        <w:tabs>
          <w:tab w:pos="393" w:val="left" w:leader="none"/>
        </w:tabs>
        <w:spacing w:line="276" w:lineRule="auto" w:before="0" w:after="0"/>
        <w:ind w:left="102" w:right="116" w:firstLine="0"/>
        <w:jc w:val="both"/>
        <w:rPr>
          <w:sz w:val="16"/>
        </w:rPr>
      </w:pPr>
      <w:r>
        <w:rPr>
          <w:sz w:val="16"/>
        </w:rPr>
        <w:t>Howard, A. T.: Experimental infection and intracage transmission</w:t>
      </w:r>
      <w:r>
        <w:rPr>
          <w:spacing w:val="-7"/>
          <w:sz w:val="16"/>
        </w:rPr>
        <w:t> </w:t>
      </w:r>
      <w:r>
        <w:rPr>
          <w:sz w:val="16"/>
        </w:rPr>
        <w:t>of</w:t>
      </w:r>
    </w:p>
    <w:p>
      <w:pPr>
        <w:spacing w:line="276" w:lineRule="auto" w:before="0"/>
        <w:ind w:left="102" w:right="117" w:firstLine="0"/>
        <w:jc w:val="both"/>
        <w:rPr>
          <w:sz w:val="16"/>
        </w:rPr>
      </w:pPr>
      <w:r>
        <w:rPr>
          <w:sz w:val="16"/>
        </w:rPr>
        <w:t>Venezuelan</w:t>
      </w:r>
      <w:r>
        <w:rPr>
          <w:spacing w:val="-7"/>
          <w:sz w:val="16"/>
        </w:rPr>
        <w:t> </w:t>
      </w:r>
      <w:r>
        <w:rPr>
          <w:sz w:val="16"/>
        </w:rPr>
        <w:t>equine</w:t>
      </w:r>
      <w:r>
        <w:rPr>
          <w:spacing w:val="-7"/>
          <w:sz w:val="16"/>
        </w:rPr>
        <w:t> </w:t>
      </w:r>
      <w:r>
        <w:rPr>
          <w:sz w:val="16"/>
        </w:rPr>
        <w:t>encephalitis</w:t>
      </w:r>
      <w:r>
        <w:rPr>
          <w:spacing w:val="-7"/>
          <w:sz w:val="16"/>
        </w:rPr>
        <w:t> </w:t>
      </w:r>
      <w:r>
        <w:rPr>
          <w:sz w:val="16"/>
        </w:rPr>
        <w:t>virus</w:t>
      </w:r>
      <w:r>
        <w:rPr>
          <w:spacing w:val="-5"/>
          <w:sz w:val="16"/>
        </w:rPr>
        <w:t> </w:t>
      </w:r>
      <w:r>
        <w:rPr>
          <w:sz w:val="16"/>
        </w:rPr>
        <w:t>(subtype</w:t>
      </w:r>
      <w:r>
        <w:rPr>
          <w:spacing w:val="-8"/>
          <w:sz w:val="16"/>
        </w:rPr>
        <w:t> </w:t>
      </w:r>
      <w:r>
        <w:rPr>
          <w:sz w:val="16"/>
        </w:rPr>
        <w:t>IB)</w:t>
      </w:r>
      <w:r>
        <w:rPr>
          <w:spacing w:val="-8"/>
          <w:sz w:val="16"/>
        </w:rPr>
        <w:t> </w:t>
      </w:r>
      <w:r>
        <w:rPr>
          <w:sz w:val="16"/>
        </w:rPr>
        <w:t>among cotton rats,</w:t>
      </w:r>
      <w:r>
        <w:rPr>
          <w:spacing w:val="-7"/>
          <w:sz w:val="16"/>
        </w:rPr>
        <w:t> </w:t>
      </w:r>
      <w:r>
        <w:rPr>
          <w:sz w:val="16"/>
        </w:rPr>
        <w:t>Sigmodon</w:t>
      </w:r>
    </w:p>
    <w:p>
      <w:pPr>
        <w:spacing w:before="0"/>
        <w:ind w:left="102" w:right="0" w:firstLine="0"/>
        <w:jc w:val="both"/>
        <w:rPr>
          <w:sz w:val="16"/>
        </w:rPr>
      </w:pPr>
      <w:r>
        <w:rPr>
          <w:sz w:val="16"/>
        </w:rPr>
        <w:t>hispidus . Am J Trop Med Hyg 23:1178-84, 1974</w:t>
      </w:r>
    </w:p>
    <w:p>
      <w:pPr>
        <w:pStyle w:val="BodyText"/>
        <w:spacing w:before="10"/>
        <w:rPr>
          <w:sz w:val="20"/>
        </w:rPr>
      </w:pPr>
    </w:p>
    <w:p>
      <w:pPr>
        <w:pStyle w:val="ListParagraph"/>
        <w:numPr>
          <w:ilvl w:val="0"/>
          <w:numId w:val="16"/>
        </w:numPr>
        <w:tabs>
          <w:tab w:pos="395" w:val="left" w:leader="none"/>
        </w:tabs>
        <w:spacing w:line="276" w:lineRule="auto" w:before="0" w:after="0"/>
        <w:ind w:left="102" w:right="117" w:firstLine="0"/>
        <w:jc w:val="both"/>
        <w:rPr>
          <w:sz w:val="16"/>
        </w:rPr>
      </w:pPr>
      <w:r>
        <w:rPr>
          <w:sz w:val="16"/>
        </w:rPr>
        <w:t>Weaver, S.C.: Vector biology in viral pathogenesis. Viral Pathogenesis. Lippincott-Raven. 3a edición. pp. 329–52,1997.</w:t>
      </w:r>
    </w:p>
    <w:p>
      <w:pPr>
        <w:spacing w:after="0" w:line="276" w:lineRule="auto"/>
        <w:jc w:val="both"/>
        <w:rPr>
          <w:sz w:val="16"/>
        </w:rPr>
        <w:sectPr>
          <w:pgSz w:w="12240" w:h="15840"/>
          <w:pgMar w:header="0" w:footer="626" w:top="1360" w:bottom="980" w:left="1600" w:right="1580"/>
          <w:cols w:num="2" w:equalWidth="0">
            <w:col w:w="4172" w:space="600"/>
            <w:col w:w="4288"/>
          </w:cols>
        </w:sectPr>
      </w:pPr>
    </w:p>
    <w:p>
      <w:pPr>
        <w:pStyle w:val="BodyText"/>
        <w:spacing w:before="4"/>
        <w:rPr>
          <w:sz w:val="23"/>
        </w:rPr>
      </w:pPr>
    </w:p>
    <w:p>
      <w:pPr>
        <w:pStyle w:val="ListParagraph"/>
        <w:numPr>
          <w:ilvl w:val="0"/>
          <w:numId w:val="16"/>
        </w:numPr>
        <w:tabs>
          <w:tab w:pos="409" w:val="left" w:leader="none"/>
        </w:tabs>
        <w:spacing w:line="276" w:lineRule="auto" w:before="0" w:after="0"/>
        <w:ind w:left="102" w:right="1" w:firstLine="0"/>
        <w:jc w:val="both"/>
        <w:rPr>
          <w:sz w:val="16"/>
        </w:rPr>
      </w:pPr>
      <w:r>
        <w:rPr>
          <w:sz w:val="16"/>
        </w:rPr>
        <w:t>Walton, T. E., Grayson, M.A.: Venezuelan equine encephalomyelitis.The Arboviruses: Epidemiology and Ecology. Volume IV. Boca Raton, FL: CRC Press, 203−231,</w:t>
      </w:r>
      <w:r>
        <w:rPr>
          <w:spacing w:val="-4"/>
          <w:sz w:val="16"/>
        </w:rPr>
        <w:t> </w:t>
      </w:r>
      <w:r>
        <w:rPr>
          <w:sz w:val="16"/>
        </w:rPr>
        <w:t>1998</w:t>
      </w:r>
    </w:p>
    <w:p>
      <w:pPr>
        <w:pStyle w:val="BodyText"/>
        <w:spacing w:before="4"/>
        <w:rPr>
          <w:sz w:val="18"/>
        </w:rPr>
      </w:pPr>
    </w:p>
    <w:p>
      <w:pPr>
        <w:pStyle w:val="ListParagraph"/>
        <w:numPr>
          <w:ilvl w:val="0"/>
          <w:numId w:val="16"/>
        </w:numPr>
        <w:tabs>
          <w:tab w:pos="388" w:val="left" w:leader="none"/>
        </w:tabs>
        <w:spacing w:line="276" w:lineRule="auto" w:before="0" w:after="0"/>
        <w:ind w:left="102" w:right="1" w:firstLine="0"/>
        <w:jc w:val="both"/>
        <w:rPr>
          <w:sz w:val="16"/>
        </w:rPr>
      </w:pPr>
      <w:r>
        <w:rPr>
          <w:sz w:val="16"/>
        </w:rPr>
        <w:t>Harrington, L.C., Edman, J.D., Scott, T.W.: Why do female Aedes aegypti (Diptera: Culicidae) feed preferentially and frequently on human blood? J. Med. Entomol. 38:411–22,</w:t>
      </w:r>
      <w:r>
        <w:rPr>
          <w:spacing w:val="-11"/>
          <w:sz w:val="16"/>
        </w:rPr>
        <w:t> </w:t>
      </w:r>
      <w:r>
        <w:rPr>
          <w:sz w:val="16"/>
        </w:rPr>
        <w:t>2001.</w:t>
      </w:r>
    </w:p>
    <w:p>
      <w:pPr>
        <w:pStyle w:val="BodyText"/>
        <w:spacing w:before="4"/>
        <w:rPr>
          <w:sz w:val="18"/>
        </w:rPr>
      </w:pPr>
    </w:p>
    <w:p>
      <w:pPr>
        <w:pStyle w:val="ListParagraph"/>
        <w:numPr>
          <w:ilvl w:val="0"/>
          <w:numId w:val="16"/>
        </w:numPr>
        <w:tabs>
          <w:tab w:pos="426" w:val="left" w:leader="none"/>
        </w:tabs>
        <w:spacing w:line="276" w:lineRule="auto" w:before="0" w:after="0"/>
        <w:ind w:left="102" w:right="2" w:firstLine="0"/>
        <w:jc w:val="both"/>
        <w:rPr>
          <w:sz w:val="16"/>
        </w:rPr>
      </w:pPr>
      <w:r>
        <w:rPr>
          <w:sz w:val="16"/>
        </w:rPr>
        <w:t>Brito, E.; Reyes, L.; Olano, V.: EncefalitisEquina Venezolana: Zoonosis de Importancia en Salud Pública. Revista del ICA.31 – 37,</w:t>
      </w:r>
      <w:r>
        <w:rPr>
          <w:spacing w:val="-11"/>
          <w:sz w:val="16"/>
        </w:rPr>
        <w:t> </w:t>
      </w:r>
      <w:r>
        <w:rPr>
          <w:sz w:val="16"/>
        </w:rPr>
        <w:t>2003.</w:t>
      </w:r>
    </w:p>
    <w:p>
      <w:pPr>
        <w:pStyle w:val="BodyText"/>
        <w:rPr>
          <w:sz w:val="16"/>
        </w:rPr>
      </w:pPr>
    </w:p>
    <w:p>
      <w:pPr>
        <w:pStyle w:val="BodyText"/>
        <w:spacing w:before="11"/>
        <w:rPr>
          <w:sz w:val="20"/>
        </w:rPr>
      </w:pPr>
    </w:p>
    <w:p>
      <w:pPr>
        <w:pStyle w:val="ListParagraph"/>
        <w:numPr>
          <w:ilvl w:val="0"/>
          <w:numId w:val="16"/>
        </w:numPr>
        <w:tabs>
          <w:tab w:pos="503" w:val="left" w:leader="none"/>
        </w:tabs>
        <w:spacing w:line="276" w:lineRule="auto" w:before="0" w:after="0"/>
        <w:ind w:left="102" w:right="1" w:firstLine="0"/>
        <w:jc w:val="both"/>
        <w:rPr>
          <w:sz w:val="16"/>
        </w:rPr>
      </w:pPr>
      <w:r>
        <w:rPr>
          <w:sz w:val="16"/>
        </w:rPr>
        <w:t>Rodríguez, G.,Boshell, J.: Encefalitis Equina Venezolana. Biomédica, Vol 15, N° 3, 172 –</w:t>
      </w:r>
      <w:r>
        <w:rPr>
          <w:spacing w:val="-18"/>
          <w:sz w:val="16"/>
        </w:rPr>
        <w:t> </w:t>
      </w:r>
      <w:r>
        <w:rPr>
          <w:sz w:val="16"/>
        </w:rPr>
        <w:t>182,1995.</w:t>
      </w:r>
    </w:p>
    <w:p>
      <w:pPr>
        <w:pStyle w:val="BodyText"/>
        <w:spacing w:before="4"/>
        <w:rPr>
          <w:sz w:val="18"/>
        </w:rPr>
      </w:pPr>
    </w:p>
    <w:p>
      <w:pPr>
        <w:pStyle w:val="ListParagraph"/>
        <w:numPr>
          <w:ilvl w:val="0"/>
          <w:numId w:val="16"/>
        </w:numPr>
        <w:tabs>
          <w:tab w:pos="371" w:val="left" w:leader="none"/>
        </w:tabs>
        <w:spacing w:line="276" w:lineRule="auto" w:before="0" w:after="0"/>
        <w:ind w:left="102" w:right="2" w:firstLine="0"/>
        <w:jc w:val="both"/>
        <w:rPr>
          <w:sz w:val="16"/>
        </w:rPr>
      </w:pPr>
      <w:r>
        <w:rPr>
          <w:sz w:val="16"/>
        </w:rPr>
        <w:t>Rivas, F; De la Hoz, O., Boshell, J., Olano, V, Roselli, D: Epidemic Venezuelan Equine Encephalitis in La Guajira, Colombia. The Journal of Infectious Diseases. 175: 828-32,</w:t>
      </w:r>
      <w:r>
        <w:rPr>
          <w:spacing w:val="-5"/>
          <w:sz w:val="16"/>
        </w:rPr>
        <w:t> </w:t>
      </w:r>
      <w:r>
        <w:rPr>
          <w:sz w:val="16"/>
        </w:rPr>
        <w:t>1995.</w:t>
      </w:r>
    </w:p>
    <w:p>
      <w:pPr>
        <w:pStyle w:val="BodyText"/>
        <w:spacing w:before="4"/>
        <w:rPr>
          <w:sz w:val="18"/>
        </w:rPr>
      </w:pPr>
    </w:p>
    <w:p>
      <w:pPr>
        <w:pStyle w:val="ListParagraph"/>
        <w:numPr>
          <w:ilvl w:val="0"/>
          <w:numId w:val="16"/>
        </w:numPr>
        <w:tabs>
          <w:tab w:pos="424" w:val="left" w:leader="none"/>
        </w:tabs>
        <w:spacing w:line="276" w:lineRule="auto" w:before="0" w:after="0"/>
        <w:ind w:left="102" w:right="0" w:firstLine="0"/>
        <w:jc w:val="both"/>
        <w:rPr>
          <w:sz w:val="16"/>
        </w:rPr>
      </w:pPr>
      <w:r>
        <w:rPr>
          <w:sz w:val="16"/>
        </w:rPr>
        <w:t>Reinert, J.: New Classification for the Composite Genus Aedes (Diptera: Culicidae:Aedini), Elevation of Subgenus </w:t>
      </w:r>
      <w:r>
        <w:rPr>
          <w:i/>
          <w:sz w:val="16"/>
        </w:rPr>
        <w:t>Ochlerotatus </w:t>
      </w:r>
      <w:r>
        <w:rPr>
          <w:sz w:val="16"/>
        </w:rPr>
        <w:t>to Generic Rank,</w:t>
      </w:r>
      <w:r>
        <w:rPr>
          <w:spacing w:val="-26"/>
          <w:sz w:val="16"/>
        </w:rPr>
        <w:t> </w:t>
      </w:r>
      <w:r>
        <w:rPr>
          <w:sz w:val="16"/>
        </w:rPr>
        <w:t>Reclassification of</w:t>
      </w:r>
      <w:r>
        <w:rPr>
          <w:spacing w:val="-5"/>
          <w:sz w:val="16"/>
        </w:rPr>
        <w:t> </w:t>
      </w:r>
      <w:r>
        <w:rPr>
          <w:sz w:val="16"/>
        </w:rPr>
        <w:t>the</w:t>
      </w:r>
      <w:r>
        <w:rPr>
          <w:spacing w:val="-9"/>
          <w:sz w:val="16"/>
        </w:rPr>
        <w:t> </w:t>
      </w:r>
      <w:r>
        <w:rPr>
          <w:sz w:val="16"/>
        </w:rPr>
        <w:t>Other</w:t>
      </w:r>
      <w:r>
        <w:rPr>
          <w:spacing w:val="-7"/>
          <w:sz w:val="16"/>
        </w:rPr>
        <w:t> </w:t>
      </w:r>
      <w:r>
        <w:rPr>
          <w:sz w:val="16"/>
        </w:rPr>
        <w:t>Subgenera,</w:t>
      </w:r>
      <w:r>
        <w:rPr>
          <w:spacing w:val="-8"/>
          <w:sz w:val="16"/>
        </w:rPr>
        <w:t> </w:t>
      </w:r>
      <w:r>
        <w:rPr>
          <w:sz w:val="16"/>
        </w:rPr>
        <w:t>and</w:t>
      </w:r>
      <w:r>
        <w:rPr>
          <w:spacing w:val="-7"/>
          <w:sz w:val="16"/>
        </w:rPr>
        <w:t> </w:t>
      </w:r>
      <w:r>
        <w:rPr>
          <w:sz w:val="16"/>
        </w:rPr>
        <w:t>Notes</w:t>
      </w:r>
      <w:r>
        <w:rPr>
          <w:spacing w:val="-5"/>
          <w:sz w:val="16"/>
        </w:rPr>
        <w:t> </w:t>
      </w:r>
      <w:r>
        <w:rPr>
          <w:sz w:val="16"/>
        </w:rPr>
        <w:t>on</w:t>
      </w:r>
      <w:r>
        <w:rPr>
          <w:spacing w:val="-7"/>
          <w:sz w:val="16"/>
        </w:rPr>
        <w:t> </w:t>
      </w:r>
      <w:r>
        <w:rPr>
          <w:sz w:val="16"/>
        </w:rPr>
        <w:t>Certain</w:t>
      </w:r>
      <w:r>
        <w:rPr>
          <w:spacing w:val="-9"/>
          <w:sz w:val="16"/>
        </w:rPr>
        <w:t> </w:t>
      </w:r>
      <w:r>
        <w:rPr>
          <w:sz w:val="16"/>
        </w:rPr>
        <w:t>Subgenera and Species. Journal of the American Mosquito Control Association.16:175 – 188,</w:t>
      </w:r>
      <w:r>
        <w:rPr>
          <w:spacing w:val="-11"/>
          <w:sz w:val="16"/>
        </w:rPr>
        <w:t> </w:t>
      </w:r>
      <w:r>
        <w:rPr>
          <w:sz w:val="16"/>
        </w:rPr>
        <w:t>2000.</w:t>
      </w:r>
    </w:p>
    <w:p>
      <w:pPr>
        <w:pStyle w:val="BodyText"/>
        <w:spacing w:before="4"/>
        <w:rPr>
          <w:sz w:val="18"/>
        </w:rPr>
      </w:pPr>
    </w:p>
    <w:p>
      <w:pPr>
        <w:pStyle w:val="ListParagraph"/>
        <w:numPr>
          <w:ilvl w:val="0"/>
          <w:numId w:val="16"/>
        </w:numPr>
        <w:tabs>
          <w:tab w:pos="431" w:val="left" w:leader="none"/>
        </w:tabs>
        <w:spacing w:line="278" w:lineRule="auto" w:before="0" w:after="0"/>
        <w:ind w:left="102" w:right="0" w:firstLine="0"/>
        <w:jc w:val="both"/>
        <w:rPr>
          <w:sz w:val="16"/>
        </w:rPr>
      </w:pPr>
      <w:r>
        <w:rPr>
          <w:sz w:val="16"/>
        </w:rPr>
        <w:t>Ferro, C; Olano, V.: Vectores y Reservorios de Encefalitis Equinas en Colombia. Laboratorio de Entomología, INS.</w:t>
      </w:r>
      <w:r>
        <w:rPr>
          <w:spacing w:val="-10"/>
          <w:sz w:val="16"/>
        </w:rPr>
        <w:t> </w:t>
      </w:r>
      <w:r>
        <w:rPr>
          <w:sz w:val="16"/>
        </w:rPr>
        <w:t>2003.</w:t>
      </w:r>
    </w:p>
    <w:p>
      <w:pPr>
        <w:pStyle w:val="BodyText"/>
        <w:spacing w:before="2"/>
        <w:rPr>
          <w:sz w:val="18"/>
        </w:rPr>
      </w:pPr>
    </w:p>
    <w:p>
      <w:pPr>
        <w:pStyle w:val="ListParagraph"/>
        <w:numPr>
          <w:ilvl w:val="0"/>
          <w:numId w:val="16"/>
        </w:numPr>
        <w:tabs>
          <w:tab w:pos="405" w:val="left" w:leader="none"/>
        </w:tabs>
        <w:spacing w:line="276" w:lineRule="auto" w:before="1" w:after="0"/>
        <w:ind w:left="102" w:right="3" w:firstLine="0"/>
        <w:jc w:val="both"/>
        <w:rPr>
          <w:sz w:val="16"/>
        </w:rPr>
      </w:pPr>
      <w:r>
        <w:rPr>
          <w:sz w:val="16"/>
        </w:rPr>
        <w:t>Brito, E., Reyes, L., Olano, V.: Encefalitis Equina Venezolana: Zoonosis de Importancia en Salud Pública. Revista del ICA. 31 –</w:t>
      </w:r>
      <w:r>
        <w:rPr>
          <w:spacing w:val="-12"/>
          <w:sz w:val="16"/>
        </w:rPr>
        <w:t> </w:t>
      </w:r>
      <w:r>
        <w:rPr>
          <w:sz w:val="16"/>
        </w:rPr>
        <w:t>37,2003.</w:t>
      </w:r>
    </w:p>
    <w:p>
      <w:pPr>
        <w:pStyle w:val="BodyText"/>
        <w:spacing w:before="7"/>
        <w:rPr>
          <w:sz w:val="18"/>
        </w:rPr>
      </w:pPr>
    </w:p>
    <w:p>
      <w:pPr>
        <w:pStyle w:val="ListParagraph"/>
        <w:numPr>
          <w:ilvl w:val="0"/>
          <w:numId w:val="16"/>
        </w:numPr>
        <w:tabs>
          <w:tab w:pos="393" w:val="left" w:leader="none"/>
        </w:tabs>
        <w:spacing w:line="276" w:lineRule="auto" w:before="0" w:after="0"/>
        <w:ind w:left="102" w:right="1" w:firstLine="0"/>
        <w:jc w:val="both"/>
        <w:rPr>
          <w:sz w:val="16"/>
        </w:rPr>
      </w:pPr>
      <w:r>
        <w:rPr>
          <w:sz w:val="16"/>
        </w:rPr>
        <w:t>Sistema de Información y Vigilancia Epidemiológica de la Encefalitis Equina Venezolana en la Región de las Américas. Rev Panam Salud Pública. 6:28-138,</w:t>
      </w:r>
      <w:r>
        <w:rPr>
          <w:spacing w:val="-17"/>
          <w:sz w:val="16"/>
        </w:rPr>
        <w:t> </w:t>
      </w:r>
      <w:r>
        <w:rPr>
          <w:sz w:val="16"/>
        </w:rPr>
        <w:t>1999.</w:t>
      </w:r>
    </w:p>
    <w:p>
      <w:pPr>
        <w:pStyle w:val="BodyText"/>
        <w:spacing w:before="4"/>
        <w:rPr>
          <w:sz w:val="18"/>
        </w:rPr>
      </w:pPr>
    </w:p>
    <w:p>
      <w:pPr>
        <w:pStyle w:val="ListParagraph"/>
        <w:numPr>
          <w:ilvl w:val="0"/>
          <w:numId w:val="16"/>
        </w:numPr>
        <w:tabs>
          <w:tab w:pos="374" w:val="left" w:leader="none"/>
        </w:tabs>
        <w:spacing w:line="276" w:lineRule="auto" w:before="0" w:after="0"/>
        <w:ind w:left="102" w:right="2" w:firstLine="0"/>
        <w:jc w:val="both"/>
        <w:rPr>
          <w:sz w:val="16"/>
        </w:rPr>
      </w:pPr>
      <w:r>
        <w:rPr>
          <w:sz w:val="16"/>
        </w:rPr>
        <w:t>Olano, V, González, C.: Vigilancia Entomológica para Aedes albopictus. Informe Quincenal de Casos y Brotes de Enfermedades. 2:93-94,</w:t>
      </w:r>
      <w:r>
        <w:rPr>
          <w:spacing w:val="-14"/>
          <w:sz w:val="16"/>
        </w:rPr>
        <w:t> </w:t>
      </w:r>
      <w:r>
        <w:rPr>
          <w:sz w:val="16"/>
        </w:rPr>
        <w:t>1997.</w:t>
      </w:r>
    </w:p>
    <w:p>
      <w:pPr>
        <w:pStyle w:val="BodyText"/>
        <w:spacing w:before="4"/>
        <w:rPr>
          <w:sz w:val="18"/>
        </w:rPr>
      </w:pPr>
    </w:p>
    <w:p>
      <w:pPr>
        <w:pStyle w:val="ListParagraph"/>
        <w:numPr>
          <w:ilvl w:val="0"/>
          <w:numId w:val="16"/>
        </w:numPr>
        <w:tabs>
          <w:tab w:pos="409" w:val="left" w:leader="none"/>
        </w:tabs>
        <w:spacing w:line="276" w:lineRule="auto" w:before="0" w:after="0"/>
        <w:ind w:left="102" w:right="1" w:firstLine="0"/>
        <w:jc w:val="both"/>
        <w:rPr>
          <w:sz w:val="16"/>
        </w:rPr>
      </w:pPr>
      <w:r>
        <w:rPr>
          <w:sz w:val="16"/>
        </w:rPr>
        <w:t>Sudia, W.D., Newhouse, V.F., Beadle, I.D., Miller, D.L., Johnston, J.G.: Epidemic Venezuelan equine encephalitis</w:t>
      </w:r>
      <w:r>
        <w:rPr>
          <w:spacing w:val="-5"/>
          <w:sz w:val="16"/>
        </w:rPr>
        <w:t> </w:t>
      </w:r>
      <w:r>
        <w:rPr>
          <w:sz w:val="16"/>
        </w:rPr>
        <w:t>in</w:t>
      </w:r>
      <w:r>
        <w:rPr>
          <w:spacing w:val="-9"/>
          <w:sz w:val="16"/>
        </w:rPr>
        <w:t> </w:t>
      </w:r>
      <w:r>
        <w:rPr>
          <w:sz w:val="16"/>
        </w:rPr>
        <w:t>North</w:t>
      </w:r>
      <w:r>
        <w:rPr>
          <w:spacing w:val="-7"/>
          <w:sz w:val="16"/>
        </w:rPr>
        <w:t> </w:t>
      </w:r>
      <w:r>
        <w:rPr>
          <w:sz w:val="16"/>
        </w:rPr>
        <w:t>America</w:t>
      </w:r>
      <w:r>
        <w:rPr>
          <w:spacing w:val="-9"/>
          <w:sz w:val="16"/>
        </w:rPr>
        <w:t> </w:t>
      </w:r>
      <w:r>
        <w:rPr>
          <w:sz w:val="16"/>
        </w:rPr>
        <w:t>in</w:t>
      </w:r>
      <w:r>
        <w:rPr>
          <w:spacing w:val="-6"/>
          <w:sz w:val="16"/>
        </w:rPr>
        <w:t> </w:t>
      </w:r>
      <w:r>
        <w:rPr>
          <w:sz w:val="16"/>
        </w:rPr>
        <w:t>1971:</w:t>
      </w:r>
      <w:r>
        <w:rPr>
          <w:spacing w:val="-5"/>
          <w:sz w:val="16"/>
        </w:rPr>
        <w:t> </w:t>
      </w:r>
      <w:r>
        <w:rPr>
          <w:sz w:val="16"/>
        </w:rPr>
        <w:t>vector</w:t>
      </w:r>
      <w:r>
        <w:rPr>
          <w:spacing w:val="-9"/>
          <w:sz w:val="16"/>
        </w:rPr>
        <w:t> </w:t>
      </w:r>
      <w:r>
        <w:rPr>
          <w:sz w:val="16"/>
        </w:rPr>
        <w:t>studies.</w:t>
      </w:r>
      <w:r>
        <w:rPr>
          <w:spacing w:val="-3"/>
          <w:sz w:val="16"/>
        </w:rPr>
        <w:t> </w:t>
      </w:r>
      <w:r>
        <w:rPr>
          <w:sz w:val="16"/>
        </w:rPr>
        <w:t>Am. J. Epidemiol.101:17–35,</w:t>
      </w:r>
      <w:r>
        <w:rPr>
          <w:spacing w:val="-10"/>
          <w:sz w:val="16"/>
        </w:rPr>
        <w:t> </w:t>
      </w:r>
      <w:r>
        <w:rPr>
          <w:sz w:val="16"/>
        </w:rPr>
        <w:t>1975.</w:t>
      </w:r>
    </w:p>
    <w:p>
      <w:pPr>
        <w:pStyle w:val="BodyText"/>
        <w:spacing w:before="7"/>
        <w:rPr>
          <w:sz w:val="18"/>
        </w:rPr>
      </w:pPr>
    </w:p>
    <w:p>
      <w:pPr>
        <w:pStyle w:val="ListParagraph"/>
        <w:numPr>
          <w:ilvl w:val="0"/>
          <w:numId w:val="16"/>
        </w:numPr>
        <w:tabs>
          <w:tab w:pos="520" w:val="left" w:leader="none"/>
        </w:tabs>
        <w:spacing w:line="276" w:lineRule="auto" w:before="0" w:after="0"/>
        <w:ind w:left="102" w:right="1" w:firstLine="0"/>
        <w:jc w:val="both"/>
        <w:rPr>
          <w:sz w:val="16"/>
        </w:rPr>
      </w:pPr>
      <w:r>
        <w:rPr>
          <w:sz w:val="16"/>
        </w:rPr>
        <w:t>Turell, M.J., Ludwig, G.V., Beaman, J.R.: Transmission of Venezuelan equine encephalomyelitis virus by </w:t>
      </w:r>
      <w:r>
        <w:rPr>
          <w:i/>
          <w:sz w:val="16"/>
        </w:rPr>
        <w:t>Aedes sollicitans </w:t>
      </w:r>
      <w:r>
        <w:rPr>
          <w:sz w:val="16"/>
        </w:rPr>
        <w:t>and </w:t>
      </w:r>
      <w:r>
        <w:rPr>
          <w:i/>
          <w:sz w:val="16"/>
        </w:rPr>
        <w:t>Aedes taeniorhynchus </w:t>
      </w:r>
      <w:r>
        <w:rPr>
          <w:sz w:val="16"/>
        </w:rPr>
        <w:t>(Diptera: Culicidae). </w:t>
      </w:r>
      <w:r>
        <w:rPr>
          <w:i/>
          <w:sz w:val="16"/>
        </w:rPr>
        <w:t>J. Med. Entomol</w:t>
      </w:r>
      <w:r>
        <w:rPr>
          <w:i/>
          <w:spacing w:val="-17"/>
          <w:sz w:val="16"/>
        </w:rPr>
        <w:t> </w:t>
      </w:r>
      <w:r>
        <w:rPr>
          <w:sz w:val="16"/>
        </w:rPr>
        <w:t>29:62–65,1992.</w:t>
      </w:r>
    </w:p>
    <w:p>
      <w:pPr>
        <w:pStyle w:val="BodyText"/>
        <w:spacing w:before="4"/>
        <w:rPr>
          <w:sz w:val="18"/>
        </w:rPr>
      </w:pPr>
    </w:p>
    <w:p>
      <w:pPr>
        <w:pStyle w:val="ListParagraph"/>
        <w:numPr>
          <w:ilvl w:val="0"/>
          <w:numId w:val="16"/>
        </w:numPr>
        <w:tabs>
          <w:tab w:pos="359" w:val="left" w:leader="none"/>
        </w:tabs>
        <w:spacing w:line="276" w:lineRule="auto" w:before="0" w:after="0"/>
        <w:ind w:left="102" w:right="1" w:firstLine="0"/>
        <w:jc w:val="both"/>
        <w:rPr>
          <w:sz w:val="16"/>
        </w:rPr>
      </w:pPr>
      <w:r>
        <w:rPr>
          <w:sz w:val="16"/>
        </w:rPr>
        <w:t>Sudia,</w:t>
      </w:r>
      <w:r>
        <w:rPr>
          <w:spacing w:val="-17"/>
          <w:sz w:val="16"/>
        </w:rPr>
        <w:t> </w:t>
      </w:r>
      <w:r>
        <w:rPr>
          <w:sz w:val="16"/>
        </w:rPr>
        <w:t>W.D.,</w:t>
      </w:r>
      <w:r>
        <w:rPr>
          <w:spacing w:val="-14"/>
          <w:sz w:val="16"/>
        </w:rPr>
        <w:t> </w:t>
      </w:r>
      <w:r>
        <w:rPr>
          <w:sz w:val="16"/>
        </w:rPr>
        <w:t>Turell,</w:t>
      </w:r>
      <w:r>
        <w:rPr>
          <w:spacing w:val="-11"/>
          <w:sz w:val="16"/>
        </w:rPr>
        <w:t> </w:t>
      </w:r>
      <w:r>
        <w:rPr>
          <w:sz w:val="16"/>
        </w:rPr>
        <w:t>M.J.,</w:t>
      </w:r>
      <w:r>
        <w:rPr>
          <w:spacing w:val="21"/>
          <w:sz w:val="16"/>
        </w:rPr>
        <w:t> </w:t>
      </w:r>
      <w:r>
        <w:rPr>
          <w:sz w:val="16"/>
        </w:rPr>
        <w:t>Kramer,</w:t>
      </w:r>
      <w:r>
        <w:rPr>
          <w:spacing w:val="-9"/>
          <w:sz w:val="16"/>
        </w:rPr>
        <w:t> </w:t>
      </w:r>
      <w:r>
        <w:rPr>
          <w:sz w:val="16"/>
        </w:rPr>
        <w:t>L.D.,</w:t>
      </w:r>
      <w:r>
        <w:rPr>
          <w:spacing w:val="-14"/>
          <w:sz w:val="16"/>
        </w:rPr>
        <w:t> </w:t>
      </w:r>
      <w:r>
        <w:rPr>
          <w:sz w:val="16"/>
        </w:rPr>
        <w:t>Scherer,</w:t>
      </w:r>
      <w:r>
        <w:rPr>
          <w:spacing w:val="-16"/>
          <w:sz w:val="16"/>
        </w:rPr>
        <w:t> </w:t>
      </w:r>
      <w:r>
        <w:rPr>
          <w:sz w:val="16"/>
        </w:rPr>
        <w:t>W.F.: Vector competence of mosquitoes as a marker to distinguish Central American and Mexican epizootic</w:t>
      </w:r>
      <w:r>
        <w:rPr>
          <w:spacing w:val="16"/>
          <w:sz w:val="16"/>
        </w:rPr>
        <w:t> </w:t>
      </w:r>
      <w:r>
        <w:rPr>
          <w:sz w:val="16"/>
        </w:rPr>
        <w:t>from</w:t>
      </w:r>
    </w:p>
    <w:p>
      <w:pPr>
        <w:spacing w:line="278" w:lineRule="auto" w:before="54"/>
        <w:ind w:left="102" w:right="116" w:firstLine="0"/>
        <w:jc w:val="both"/>
        <w:rPr>
          <w:sz w:val="16"/>
        </w:rPr>
      </w:pPr>
      <w:r>
        <w:rPr/>
        <w:br w:type="column"/>
      </w:r>
      <w:r>
        <w:rPr>
          <w:sz w:val="16"/>
        </w:rPr>
        <w:t>enzootic strains of Venezuelan encephalitis virus. Am. J. Trop. Med. Hyg. 25:336–46, 1976.</w:t>
      </w:r>
    </w:p>
    <w:p>
      <w:pPr>
        <w:pStyle w:val="BodyText"/>
        <w:spacing w:before="2"/>
        <w:rPr>
          <w:sz w:val="18"/>
        </w:rPr>
      </w:pPr>
    </w:p>
    <w:p>
      <w:pPr>
        <w:pStyle w:val="ListParagraph"/>
        <w:numPr>
          <w:ilvl w:val="0"/>
          <w:numId w:val="16"/>
        </w:numPr>
        <w:tabs>
          <w:tab w:pos="388" w:val="left" w:leader="none"/>
        </w:tabs>
        <w:spacing w:line="276" w:lineRule="auto" w:before="1" w:after="0"/>
        <w:ind w:left="102" w:right="116" w:firstLine="0"/>
        <w:jc w:val="left"/>
        <w:rPr>
          <w:sz w:val="16"/>
        </w:rPr>
      </w:pPr>
      <w:r>
        <w:rPr>
          <w:sz w:val="16"/>
        </w:rPr>
        <w:t>Grayson MA, Galindo P.: Experimental transmission of Venezuelan equine encephalitis virus by Deinocerites pseudes Dyar and Knab, 1909. J. Med. Entomol. 9:196–200,</w:t>
      </w:r>
      <w:r>
        <w:rPr>
          <w:spacing w:val="-6"/>
          <w:sz w:val="16"/>
        </w:rPr>
        <w:t> </w:t>
      </w:r>
      <w:r>
        <w:rPr>
          <w:sz w:val="16"/>
        </w:rPr>
        <w:t>1972.</w:t>
      </w:r>
    </w:p>
    <w:p>
      <w:pPr>
        <w:pStyle w:val="BodyText"/>
        <w:spacing w:before="7"/>
        <w:rPr>
          <w:sz w:val="18"/>
        </w:rPr>
      </w:pPr>
    </w:p>
    <w:p>
      <w:pPr>
        <w:pStyle w:val="ListParagraph"/>
        <w:numPr>
          <w:ilvl w:val="0"/>
          <w:numId w:val="17"/>
        </w:numPr>
        <w:tabs>
          <w:tab w:pos="369" w:val="left" w:leader="none"/>
        </w:tabs>
        <w:spacing w:line="240" w:lineRule="auto" w:before="0" w:after="0"/>
        <w:ind w:left="102" w:right="0" w:firstLine="0"/>
        <w:jc w:val="both"/>
        <w:rPr>
          <w:sz w:val="16"/>
        </w:rPr>
      </w:pPr>
      <w:r>
        <w:rPr>
          <w:sz w:val="16"/>
        </w:rPr>
        <w:t>Scherer, W. F., E. W. Cupp, J. B. Lok, R. J. Brenner</w:t>
      </w:r>
      <w:r>
        <w:rPr>
          <w:spacing w:val="-28"/>
          <w:sz w:val="16"/>
        </w:rPr>
        <w:t> </w:t>
      </w:r>
      <w:r>
        <w:rPr>
          <w:sz w:val="16"/>
        </w:rPr>
        <w:t>y</w:t>
      </w:r>
    </w:p>
    <w:p>
      <w:pPr>
        <w:spacing w:line="276" w:lineRule="auto" w:before="27"/>
        <w:ind w:left="102" w:right="117" w:firstLine="0"/>
        <w:jc w:val="both"/>
        <w:rPr>
          <w:sz w:val="16"/>
        </w:rPr>
      </w:pPr>
      <w:r>
        <w:rPr>
          <w:sz w:val="16"/>
        </w:rPr>
        <w:t>J. V. Ordoñez. Intestinal threshold of an enzootic strain of Venezuelan encephalitis virus in </w:t>
      </w:r>
      <w:r>
        <w:rPr>
          <w:i/>
          <w:sz w:val="16"/>
        </w:rPr>
        <w:t>Culex (Melanoconion) </w:t>
      </w:r>
      <w:r>
        <w:rPr>
          <w:i/>
          <w:sz w:val="16"/>
        </w:rPr>
        <w:t>taeniopus </w:t>
      </w:r>
      <w:r>
        <w:rPr>
          <w:sz w:val="16"/>
        </w:rPr>
        <w:t>mosquitoes and its implications to vector competency and vertebrate amplifying hosts. Am J Trop Med Hyg 30:862-69, 1981.</w:t>
      </w:r>
    </w:p>
    <w:p>
      <w:pPr>
        <w:pStyle w:val="BodyText"/>
        <w:spacing w:before="7"/>
        <w:rPr>
          <w:sz w:val="18"/>
        </w:rPr>
      </w:pPr>
    </w:p>
    <w:p>
      <w:pPr>
        <w:pStyle w:val="ListParagraph"/>
        <w:numPr>
          <w:ilvl w:val="0"/>
          <w:numId w:val="17"/>
        </w:numPr>
        <w:tabs>
          <w:tab w:pos="486" w:val="left" w:leader="none"/>
        </w:tabs>
        <w:spacing w:line="276" w:lineRule="auto" w:before="0" w:after="0"/>
        <w:ind w:left="102" w:right="116" w:firstLine="0"/>
        <w:jc w:val="both"/>
        <w:rPr>
          <w:sz w:val="16"/>
        </w:rPr>
      </w:pPr>
      <w:r>
        <w:rPr>
          <w:sz w:val="16"/>
        </w:rPr>
        <w:t>Linthicum, K.J., Gordon, S.W., Monath T.P.: Comparative</w:t>
      </w:r>
      <w:r>
        <w:rPr>
          <w:spacing w:val="-13"/>
          <w:sz w:val="16"/>
        </w:rPr>
        <w:t> </w:t>
      </w:r>
      <w:r>
        <w:rPr>
          <w:sz w:val="16"/>
        </w:rPr>
        <w:t>infections</w:t>
      </w:r>
      <w:r>
        <w:rPr>
          <w:spacing w:val="-11"/>
          <w:sz w:val="16"/>
        </w:rPr>
        <w:t> </w:t>
      </w:r>
      <w:r>
        <w:rPr>
          <w:sz w:val="16"/>
        </w:rPr>
        <w:t>of</w:t>
      </w:r>
      <w:r>
        <w:rPr>
          <w:spacing w:val="-11"/>
          <w:sz w:val="16"/>
        </w:rPr>
        <w:t> </w:t>
      </w:r>
      <w:r>
        <w:rPr>
          <w:sz w:val="16"/>
        </w:rPr>
        <w:t>epizootic</w:t>
      </w:r>
      <w:r>
        <w:rPr>
          <w:spacing w:val="-13"/>
          <w:sz w:val="16"/>
        </w:rPr>
        <w:t> </w:t>
      </w:r>
      <w:r>
        <w:rPr>
          <w:sz w:val="16"/>
        </w:rPr>
        <w:t>and</w:t>
      </w:r>
      <w:r>
        <w:rPr>
          <w:spacing w:val="-13"/>
          <w:sz w:val="16"/>
        </w:rPr>
        <w:t> </w:t>
      </w:r>
      <w:r>
        <w:rPr>
          <w:sz w:val="16"/>
        </w:rPr>
        <w:t>enzootic</w:t>
      </w:r>
      <w:r>
        <w:rPr>
          <w:spacing w:val="-13"/>
          <w:sz w:val="16"/>
        </w:rPr>
        <w:t> </w:t>
      </w:r>
      <w:r>
        <w:rPr>
          <w:sz w:val="16"/>
        </w:rPr>
        <w:t>strains</w:t>
      </w:r>
      <w:r>
        <w:rPr>
          <w:spacing w:val="-11"/>
          <w:sz w:val="16"/>
        </w:rPr>
        <w:t> </w:t>
      </w:r>
      <w:r>
        <w:rPr>
          <w:sz w:val="16"/>
        </w:rPr>
        <w:t>of Venezuelan equine encephalomyelitis virus in </w:t>
      </w:r>
      <w:r>
        <w:rPr>
          <w:i/>
          <w:sz w:val="16"/>
        </w:rPr>
        <w:t>Amblyomma cajennense </w:t>
      </w:r>
      <w:r>
        <w:rPr>
          <w:sz w:val="16"/>
        </w:rPr>
        <w:t>(Acari: Ixodidae). </w:t>
      </w:r>
      <w:r>
        <w:rPr>
          <w:i/>
          <w:sz w:val="16"/>
        </w:rPr>
        <w:t>J. Med. </w:t>
      </w:r>
      <w:r>
        <w:rPr>
          <w:i/>
          <w:sz w:val="16"/>
        </w:rPr>
        <w:t>Entomol.</w:t>
      </w:r>
      <w:r>
        <w:rPr>
          <w:i/>
          <w:spacing w:val="-10"/>
          <w:sz w:val="16"/>
        </w:rPr>
        <w:t> </w:t>
      </w:r>
      <w:r>
        <w:rPr>
          <w:sz w:val="16"/>
        </w:rPr>
        <w:t>29:827–31,1992.</w:t>
      </w:r>
    </w:p>
    <w:p>
      <w:pPr>
        <w:pStyle w:val="BodyText"/>
        <w:spacing w:before="7"/>
        <w:rPr>
          <w:sz w:val="18"/>
        </w:rPr>
      </w:pPr>
    </w:p>
    <w:p>
      <w:pPr>
        <w:pStyle w:val="ListParagraph"/>
        <w:numPr>
          <w:ilvl w:val="0"/>
          <w:numId w:val="17"/>
        </w:numPr>
        <w:tabs>
          <w:tab w:pos="393" w:val="left" w:leader="none"/>
        </w:tabs>
        <w:spacing w:line="276" w:lineRule="auto" w:before="0" w:after="0"/>
        <w:ind w:left="102" w:right="115" w:firstLine="0"/>
        <w:jc w:val="both"/>
        <w:rPr>
          <w:sz w:val="16"/>
        </w:rPr>
      </w:pPr>
      <w:r>
        <w:rPr>
          <w:sz w:val="16"/>
        </w:rPr>
        <w:t>Turell, M. J., J. Barth, R. E. Coleman.: Potential for Central American mosquitoes to transmit epizootic and enzootic strains of Venezuelan equine encephalitis virus. J Am Mosq Control Assoc</w:t>
      </w:r>
      <w:r>
        <w:rPr>
          <w:spacing w:val="-16"/>
          <w:sz w:val="16"/>
        </w:rPr>
        <w:t> </w:t>
      </w:r>
      <w:r>
        <w:rPr>
          <w:sz w:val="16"/>
        </w:rPr>
        <w:t>15:295-298,1999.</w:t>
      </w:r>
    </w:p>
    <w:p>
      <w:pPr>
        <w:pStyle w:val="BodyText"/>
        <w:spacing w:before="7"/>
        <w:rPr>
          <w:sz w:val="18"/>
        </w:rPr>
      </w:pPr>
    </w:p>
    <w:p>
      <w:pPr>
        <w:pStyle w:val="ListParagraph"/>
        <w:numPr>
          <w:ilvl w:val="0"/>
          <w:numId w:val="17"/>
        </w:numPr>
        <w:tabs>
          <w:tab w:pos="371" w:val="left" w:leader="none"/>
        </w:tabs>
        <w:spacing w:line="240" w:lineRule="auto" w:before="0" w:after="0"/>
        <w:ind w:left="370" w:right="0" w:hanging="268"/>
        <w:jc w:val="both"/>
        <w:rPr>
          <w:sz w:val="16"/>
        </w:rPr>
      </w:pPr>
      <w:r>
        <w:rPr>
          <w:sz w:val="16"/>
        </w:rPr>
        <w:t>Turell, M. J., J. W. Jones, M. R. Sardelis, D. J.</w:t>
      </w:r>
      <w:r>
        <w:rPr>
          <w:spacing w:val="-13"/>
          <w:sz w:val="16"/>
        </w:rPr>
        <w:t> </w:t>
      </w:r>
      <w:r>
        <w:rPr>
          <w:sz w:val="16"/>
        </w:rPr>
        <w:t>Dohm,</w:t>
      </w:r>
    </w:p>
    <w:p>
      <w:pPr>
        <w:spacing w:line="276" w:lineRule="auto" w:before="27"/>
        <w:ind w:left="102" w:right="116" w:firstLine="0"/>
        <w:jc w:val="both"/>
        <w:rPr>
          <w:sz w:val="16"/>
        </w:rPr>
      </w:pPr>
      <w:r>
        <w:rPr>
          <w:sz w:val="16"/>
        </w:rPr>
        <w:t>R. E. Coleman, D. M. Watts, R. Fernandez, C. Calampa, and T. A. Klein.: Vector competence of Peruvian mosquitoes</w:t>
      </w:r>
      <w:r>
        <w:rPr>
          <w:spacing w:val="-7"/>
          <w:sz w:val="16"/>
        </w:rPr>
        <w:t> </w:t>
      </w:r>
      <w:r>
        <w:rPr>
          <w:sz w:val="16"/>
        </w:rPr>
        <w:t>(Diptera:</w:t>
      </w:r>
      <w:r>
        <w:rPr>
          <w:spacing w:val="-7"/>
          <w:sz w:val="16"/>
        </w:rPr>
        <w:t> </w:t>
      </w:r>
      <w:r>
        <w:rPr>
          <w:sz w:val="16"/>
        </w:rPr>
        <w:t>Culicidae)</w:t>
      </w:r>
      <w:r>
        <w:rPr>
          <w:spacing w:val="-9"/>
          <w:sz w:val="16"/>
        </w:rPr>
        <w:t> </w:t>
      </w:r>
      <w:r>
        <w:rPr>
          <w:sz w:val="16"/>
        </w:rPr>
        <w:t>for</w:t>
      </w:r>
      <w:r>
        <w:rPr>
          <w:spacing w:val="-10"/>
          <w:sz w:val="16"/>
        </w:rPr>
        <w:t> </w:t>
      </w:r>
      <w:r>
        <w:rPr>
          <w:sz w:val="16"/>
        </w:rPr>
        <w:t>epizootic</w:t>
      </w:r>
      <w:r>
        <w:rPr>
          <w:spacing w:val="-7"/>
          <w:sz w:val="16"/>
        </w:rPr>
        <w:t> </w:t>
      </w:r>
      <w:r>
        <w:rPr>
          <w:sz w:val="16"/>
        </w:rPr>
        <w:t>and</w:t>
      </w:r>
      <w:r>
        <w:rPr>
          <w:spacing w:val="-9"/>
          <w:sz w:val="16"/>
        </w:rPr>
        <w:t> </w:t>
      </w:r>
      <w:r>
        <w:rPr>
          <w:sz w:val="16"/>
        </w:rPr>
        <w:t>enzootic strains of Venezuelan equine encephalomyelitis virus. J Med Entomol 37:835-839,</w:t>
      </w:r>
      <w:r>
        <w:rPr>
          <w:spacing w:val="-10"/>
          <w:sz w:val="16"/>
        </w:rPr>
        <w:t> </w:t>
      </w:r>
      <w:r>
        <w:rPr>
          <w:sz w:val="16"/>
        </w:rPr>
        <w:t>2000.</w:t>
      </w:r>
    </w:p>
    <w:p>
      <w:pPr>
        <w:pStyle w:val="BodyText"/>
        <w:spacing w:before="7"/>
        <w:rPr>
          <w:sz w:val="18"/>
        </w:rPr>
      </w:pPr>
    </w:p>
    <w:p>
      <w:pPr>
        <w:pStyle w:val="ListParagraph"/>
        <w:numPr>
          <w:ilvl w:val="0"/>
          <w:numId w:val="17"/>
        </w:numPr>
        <w:tabs>
          <w:tab w:pos="397" w:val="left" w:leader="none"/>
        </w:tabs>
        <w:spacing w:line="276" w:lineRule="auto" w:before="0" w:after="0"/>
        <w:ind w:left="102" w:right="116" w:firstLine="0"/>
        <w:jc w:val="both"/>
        <w:rPr>
          <w:sz w:val="16"/>
        </w:rPr>
      </w:pPr>
      <w:r>
        <w:rPr>
          <w:sz w:val="16"/>
        </w:rPr>
        <w:t>Weaver, S. C., W. F. Scherer, C. A. Taylor, D. A. Castello,</w:t>
      </w:r>
      <w:r>
        <w:rPr>
          <w:spacing w:val="-8"/>
          <w:sz w:val="16"/>
        </w:rPr>
        <w:t> </w:t>
      </w:r>
      <w:r>
        <w:rPr>
          <w:sz w:val="16"/>
        </w:rPr>
        <w:t>y</w:t>
      </w:r>
      <w:r>
        <w:rPr>
          <w:spacing w:val="25"/>
          <w:sz w:val="16"/>
        </w:rPr>
        <w:t> </w:t>
      </w:r>
      <w:r>
        <w:rPr>
          <w:sz w:val="16"/>
        </w:rPr>
        <w:t>E.</w:t>
      </w:r>
      <w:r>
        <w:rPr>
          <w:spacing w:val="-15"/>
          <w:sz w:val="16"/>
        </w:rPr>
        <w:t> </w:t>
      </w:r>
      <w:r>
        <w:rPr>
          <w:sz w:val="16"/>
        </w:rPr>
        <w:t>W.</w:t>
      </w:r>
      <w:r>
        <w:rPr>
          <w:spacing w:val="-8"/>
          <w:sz w:val="16"/>
        </w:rPr>
        <w:t> </w:t>
      </w:r>
      <w:r>
        <w:rPr>
          <w:sz w:val="16"/>
        </w:rPr>
        <w:t>Cupp.:</w:t>
      </w:r>
      <w:r>
        <w:rPr>
          <w:spacing w:val="-7"/>
          <w:sz w:val="16"/>
        </w:rPr>
        <w:t> </w:t>
      </w:r>
      <w:r>
        <w:rPr>
          <w:sz w:val="16"/>
        </w:rPr>
        <w:t>Laboratory</w:t>
      </w:r>
      <w:r>
        <w:rPr>
          <w:spacing w:val="-10"/>
          <w:sz w:val="16"/>
        </w:rPr>
        <w:t> </w:t>
      </w:r>
      <w:r>
        <w:rPr>
          <w:sz w:val="16"/>
        </w:rPr>
        <w:t>vector</w:t>
      </w:r>
      <w:r>
        <w:rPr>
          <w:spacing w:val="-8"/>
          <w:sz w:val="16"/>
        </w:rPr>
        <w:t> </w:t>
      </w:r>
      <w:r>
        <w:rPr>
          <w:sz w:val="16"/>
        </w:rPr>
        <w:t>competence</w:t>
      </w:r>
      <w:r>
        <w:rPr>
          <w:spacing w:val="-9"/>
          <w:sz w:val="16"/>
        </w:rPr>
        <w:t> </w:t>
      </w:r>
      <w:r>
        <w:rPr>
          <w:sz w:val="16"/>
        </w:rPr>
        <w:t>of </w:t>
      </w:r>
      <w:r>
        <w:rPr>
          <w:i/>
          <w:sz w:val="16"/>
        </w:rPr>
        <w:t>Culex</w:t>
      </w:r>
      <w:r>
        <w:rPr>
          <w:i/>
          <w:spacing w:val="-9"/>
          <w:sz w:val="16"/>
        </w:rPr>
        <w:t> </w:t>
      </w:r>
      <w:r>
        <w:rPr>
          <w:i/>
          <w:sz w:val="16"/>
        </w:rPr>
        <w:t>(Melanoconion)</w:t>
      </w:r>
      <w:r>
        <w:rPr>
          <w:i/>
          <w:spacing w:val="-13"/>
          <w:sz w:val="16"/>
        </w:rPr>
        <w:t> </w:t>
      </w:r>
      <w:r>
        <w:rPr>
          <w:i/>
          <w:sz w:val="16"/>
        </w:rPr>
        <w:t>cedecei</w:t>
      </w:r>
      <w:r>
        <w:rPr>
          <w:i/>
          <w:spacing w:val="-10"/>
          <w:sz w:val="16"/>
        </w:rPr>
        <w:t> </w:t>
      </w:r>
      <w:r>
        <w:rPr>
          <w:sz w:val="16"/>
        </w:rPr>
        <w:t>for</w:t>
      </w:r>
      <w:r>
        <w:rPr>
          <w:spacing w:val="-13"/>
          <w:sz w:val="16"/>
        </w:rPr>
        <w:t> </w:t>
      </w:r>
      <w:r>
        <w:rPr>
          <w:sz w:val="16"/>
        </w:rPr>
        <w:t>sympatric</w:t>
      </w:r>
      <w:r>
        <w:rPr>
          <w:spacing w:val="-9"/>
          <w:sz w:val="16"/>
        </w:rPr>
        <w:t> </w:t>
      </w:r>
      <w:r>
        <w:rPr>
          <w:sz w:val="16"/>
        </w:rPr>
        <w:t>and</w:t>
      </w:r>
      <w:r>
        <w:rPr>
          <w:spacing w:val="-13"/>
          <w:sz w:val="16"/>
        </w:rPr>
        <w:t> </w:t>
      </w:r>
      <w:r>
        <w:rPr>
          <w:sz w:val="16"/>
        </w:rPr>
        <w:t>allopatric Venezuelan equine encephalomyelitis viruses. Am J Trop Med Hyg 35:619-23,</w:t>
      </w:r>
      <w:r>
        <w:rPr>
          <w:spacing w:val="-9"/>
          <w:sz w:val="16"/>
        </w:rPr>
        <w:t> </w:t>
      </w:r>
      <w:r>
        <w:rPr>
          <w:sz w:val="16"/>
        </w:rPr>
        <w:t>1986.</w:t>
      </w:r>
    </w:p>
    <w:p>
      <w:pPr>
        <w:pStyle w:val="BodyText"/>
        <w:spacing w:before="7"/>
        <w:rPr>
          <w:sz w:val="18"/>
        </w:rPr>
      </w:pPr>
    </w:p>
    <w:p>
      <w:pPr>
        <w:pStyle w:val="ListParagraph"/>
        <w:numPr>
          <w:ilvl w:val="0"/>
          <w:numId w:val="17"/>
        </w:numPr>
        <w:tabs>
          <w:tab w:pos="364" w:val="left" w:leader="none"/>
        </w:tabs>
        <w:spacing w:line="276" w:lineRule="auto" w:before="0" w:after="0"/>
        <w:ind w:left="102" w:right="114" w:firstLine="0"/>
        <w:jc w:val="both"/>
        <w:rPr>
          <w:sz w:val="16"/>
        </w:rPr>
      </w:pPr>
      <w:r>
        <w:rPr>
          <w:sz w:val="16"/>
        </w:rPr>
        <w:t>Sanmartin-Barberi,</w:t>
      </w:r>
      <w:r>
        <w:rPr>
          <w:spacing w:val="-11"/>
          <w:sz w:val="16"/>
        </w:rPr>
        <w:t> </w:t>
      </w:r>
      <w:r>
        <w:rPr>
          <w:sz w:val="16"/>
        </w:rPr>
        <w:t>C.,</w:t>
      </w:r>
      <w:r>
        <w:rPr>
          <w:spacing w:val="-10"/>
          <w:sz w:val="16"/>
        </w:rPr>
        <w:t> </w:t>
      </w:r>
      <w:r>
        <w:rPr>
          <w:sz w:val="16"/>
        </w:rPr>
        <w:t>H.</w:t>
      </w:r>
      <w:r>
        <w:rPr>
          <w:spacing w:val="-10"/>
          <w:sz w:val="16"/>
        </w:rPr>
        <w:t> </w:t>
      </w:r>
      <w:r>
        <w:rPr>
          <w:sz w:val="16"/>
        </w:rPr>
        <w:t>Groot,</w:t>
      </w:r>
      <w:r>
        <w:rPr>
          <w:spacing w:val="-11"/>
          <w:sz w:val="16"/>
        </w:rPr>
        <w:t> </w:t>
      </w:r>
      <w:r>
        <w:rPr>
          <w:sz w:val="16"/>
        </w:rPr>
        <w:t>and</w:t>
      </w:r>
      <w:r>
        <w:rPr>
          <w:spacing w:val="-11"/>
          <w:sz w:val="16"/>
        </w:rPr>
        <w:t> </w:t>
      </w:r>
      <w:r>
        <w:rPr>
          <w:sz w:val="16"/>
        </w:rPr>
        <w:t>E.</w:t>
      </w:r>
      <w:r>
        <w:rPr>
          <w:spacing w:val="-11"/>
          <w:sz w:val="16"/>
        </w:rPr>
        <w:t> </w:t>
      </w:r>
      <w:r>
        <w:rPr>
          <w:sz w:val="16"/>
        </w:rPr>
        <w:t>Osorno-Mesa. 1954. Human epidemic in Colombia caused by the Venezuelan equine encephalomyelitis virus. Am J Trop Med Hyg</w:t>
      </w:r>
      <w:r>
        <w:rPr>
          <w:spacing w:val="-10"/>
          <w:sz w:val="16"/>
        </w:rPr>
        <w:t> </w:t>
      </w:r>
      <w:r>
        <w:rPr>
          <w:sz w:val="16"/>
        </w:rPr>
        <w:t>3:283-293,1954.</w:t>
      </w:r>
    </w:p>
    <w:p>
      <w:pPr>
        <w:pStyle w:val="BodyText"/>
        <w:spacing w:before="4"/>
        <w:rPr>
          <w:sz w:val="18"/>
        </w:rPr>
      </w:pPr>
    </w:p>
    <w:p>
      <w:pPr>
        <w:pStyle w:val="ListParagraph"/>
        <w:numPr>
          <w:ilvl w:val="0"/>
          <w:numId w:val="17"/>
        </w:numPr>
        <w:tabs>
          <w:tab w:pos="376" w:val="left" w:leader="none"/>
        </w:tabs>
        <w:spacing w:line="240" w:lineRule="auto" w:before="0" w:after="0"/>
        <w:ind w:left="375" w:right="0" w:hanging="273"/>
        <w:jc w:val="both"/>
        <w:rPr>
          <w:sz w:val="16"/>
        </w:rPr>
      </w:pPr>
      <w:r>
        <w:rPr>
          <w:sz w:val="16"/>
        </w:rPr>
        <w:t>Scherer, W. F., E. W. Cupp, J. B. Lok, R. J.</w:t>
      </w:r>
      <w:r>
        <w:rPr>
          <w:spacing w:val="44"/>
          <w:sz w:val="16"/>
        </w:rPr>
        <w:t> </w:t>
      </w:r>
      <w:r>
        <w:rPr>
          <w:sz w:val="16"/>
        </w:rPr>
        <w:t>Brenner,</w:t>
      </w:r>
    </w:p>
    <w:p>
      <w:pPr>
        <w:spacing w:line="276" w:lineRule="auto" w:before="29"/>
        <w:ind w:left="102" w:right="118" w:firstLine="0"/>
        <w:jc w:val="both"/>
        <w:rPr>
          <w:sz w:val="16"/>
        </w:rPr>
      </w:pPr>
      <w:r>
        <w:rPr>
          <w:sz w:val="16"/>
        </w:rPr>
        <w:t>J.</w:t>
      </w:r>
      <w:r>
        <w:rPr>
          <w:spacing w:val="-8"/>
          <w:sz w:val="16"/>
        </w:rPr>
        <w:t> </w:t>
      </w:r>
      <w:r>
        <w:rPr>
          <w:sz w:val="16"/>
        </w:rPr>
        <w:t>V.</w:t>
      </w:r>
      <w:r>
        <w:rPr>
          <w:spacing w:val="-6"/>
          <w:sz w:val="16"/>
        </w:rPr>
        <w:t> </w:t>
      </w:r>
      <w:r>
        <w:rPr>
          <w:sz w:val="16"/>
        </w:rPr>
        <w:t>Ordoñez.:</w:t>
      </w:r>
      <w:r>
        <w:rPr>
          <w:spacing w:val="-8"/>
          <w:sz w:val="16"/>
        </w:rPr>
        <w:t> </w:t>
      </w:r>
      <w:r>
        <w:rPr>
          <w:sz w:val="16"/>
        </w:rPr>
        <w:t>Intestinal</w:t>
      </w:r>
      <w:r>
        <w:rPr>
          <w:spacing w:val="-8"/>
          <w:sz w:val="16"/>
        </w:rPr>
        <w:t> </w:t>
      </w:r>
      <w:r>
        <w:rPr>
          <w:sz w:val="16"/>
        </w:rPr>
        <w:t>threshold</w:t>
      </w:r>
      <w:r>
        <w:rPr>
          <w:spacing w:val="-9"/>
          <w:sz w:val="16"/>
        </w:rPr>
        <w:t> </w:t>
      </w:r>
      <w:r>
        <w:rPr>
          <w:sz w:val="16"/>
        </w:rPr>
        <w:t>of</w:t>
      </w:r>
      <w:r>
        <w:rPr>
          <w:spacing w:val="-6"/>
          <w:sz w:val="16"/>
        </w:rPr>
        <w:t> </w:t>
      </w:r>
      <w:r>
        <w:rPr>
          <w:sz w:val="16"/>
        </w:rPr>
        <w:t>an</w:t>
      </w:r>
      <w:r>
        <w:rPr>
          <w:spacing w:val="-9"/>
          <w:sz w:val="16"/>
        </w:rPr>
        <w:t> </w:t>
      </w:r>
      <w:r>
        <w:rPr>
          <w:sz w:val="16"/>
        </w:rPr>
        <w:t>enzootic</w:t>
      </w:r>
      <w:r>
        <w:rPr>
          <w:spacing w:val="-9"/>
          <w:sz w:val="16"/>
        </w:rPr>
        <w:t> </w:t>
      </w:r>
      <w:r>
        <w:rPr>
          <w:sz w:val="16"/>
        </w:rPr>
        <w:t>strain</w:t>
      </w:r>
      <w:r>
        <w:rPr>
          <w:spacing w:val="-6"/>
          <w:sz w:val="16"/>
        </w:rPr>
        <w:t> </w:t>
      </w:r>
      <w:r>
        <w:rPr>
          <w:sz w:val="16"/>
        </w:rPr>
        <w:t>of Venezuelan encephalitis virus in Culex (Melanoconion) taeniopus mosquitoes and its implications to vector competency and vertebrate amplifying hosts. Am J Trop Med Hyg</w:t>
      </w:r>
      <w:r>
        <w:rPr>
          <w:spacing w:val="-10"/>
          <w:sz w:val="16"/>
        </w:rPr>
        <w:t> </w:t>
      </w:r>
      <w:r>
        <w:rPr>
          <w:sz w:val="16"/>
        </w:rPr>
        <w:t>30:862-869,1981.</w:t>
      </w:r>
    </w:p>
    <w:p>
      <w:pPr>
        <w:pStyle w:val="BodyText"/>
        <w:spacing w:before="7"/>
        <w:rPr>
          <w:sz w:val="18"/>
        </w:rPr>
      </w:pPr>
    </w:p>
    <w:p>
      <w:pPr>
        <w:pStyle w:val="ListParagraph"/>
        <w:numPr>
          <w:ilvl w:val="0"/>
          <w:numId w:val="17"/>
        </w:numPr>
        <w:tabs>
          <w:tab w:pos="438" w:val="left" w:leader="none"/>
        </w:tabs>
        <w:spacing w:line="276" w:lineRule="auto" w:before="0" w:after="0"/>
        <w:ind w:left="102" w:right="120" w:firstLine="0"/>
        <w:jc w:val="both"/>
        <w:rPr>
          <w:sz w:val="16"/>
        </w:rPr>
      </w:pPr>
      <w:r>
        <w:rPr>
          <w:sz w:val="16"/>
        </w:rPr>
        <w:t>Galindo, P.,M. A. Grayson.Culex (Melanoconion) aikenii: natural vector in Panama of endemic Venezuelan encephalitis. Science 172:594-5,</w:t>
      </w:r>
      <w:r>
        <w:rPr>
          <w:spacing w:val="-17"/>
          <w:sz w:val="16"/>
        </w:rPr>
        <w:t> </w:t>
      </w:r>
      <w:r>
        <w:rPr>
          <w:sz w:val="16"/>
        </w:rPr>
        <w:t>1971.</w:t>
      </w:r>
    </w:p>
    <w:p>
      <w:pPr>
        <w:pStyle w:val="BodyText"/>
        <w:spacing w:before="4"/>
        <w:rPr>
          <w:sz w:val="18"/>
        </w:rPr>
      </w:pPr>
    </w:p>
    <w:p>
      <w:pPr>
        <w:pStyle w:val="ListParagraph"/>
        <w:numPr>
          <w:ilvl w:val="0"/>
          <w:numId w:val="17"/>
        </w:numPr>
        <w:tabs>
          <w:tab w:pos="385" w:val="left" w:leader="none"/>
        </w:tabs>
        <w:spacing w:line="276" w:lineRule="auto" w:before="0" w:after="0"/>
        <w:ind w:left="102" w:right="118" w:firstLine="0"/>
        <w:jc w:val="both"/>
        <w:rPr>
          <w:sz w:val="16"/>
        </w:rPr>
      </w:pPr>
      <w:r>
        <w:rPr>
          <w:sz w:val="16"/>
        </w:rPr>
        <w:t>Ferro, C., Boshell, J., Moncada, A.C., Gonzalez, M., Ahumada, M.L.: Natural enzootic vectors of Venezuelan equine encephalitis virus, Magdalena Valley, Colombia. Emerg Infect Dis 9: 49–54,</w:t>
      </w:r>
      <w:r>
        <w:rPr>
          <w:spacing w:val="-10"/>
          <w:sz w:val="16"/>
        </w:rPr>
        <w:t> </w:t>
      </w:r>
      <w:r>
        <w:rPr>
          <w:sz w:val="16"/>
        </w:rPr>
        <w:t>2003.</w:t>
      </w:r>
    </w:p>
    <w:p>
      <w:pPr>
        <w:spacing w:after="0" w:line="276" w:lineRule="auto"/>
        <w:jc w:val="both"/>
        <w:rPr>
          <w:sz w:val="16"/>
        </w:rPr>
        <w:sectPr>
          <w:footerReference w:type="default" r:id="rId282"/>
          <w:pgSz w:w="12240" w:h="15840"/>
          <w:pgMar w:footer="573" w:header="0" w:top="1360" w:bottom="760" w:left="1600" w:right="1580"/>
          <w:pgNumType w:start="76"/>
          <w:cols w:num="2" w:equalWidth="0">
            <w:col w:w="4172" w:space="600"/>
            <w:col w:w="4288"/>
          </w:cols>
        </w:sectPr>
      </w:pPr>
    </w:p>
    <w:p>
      <w:pPr>
        <w:pStyle w:val="ListParagraph"/>
        <w:numPr>
          <w:ilvl w:val="0"/>
          <w:numId w:val="17"/>
        </w:numPr>
        <w:tabs>
          <w:tab w:pos="385" w:val="left" w:leader="none"/>
        </w:tabs>
        <w:spacing w:line="240" w:lineRule="auto" w:before="54" w:after="0"/>
        <w:ind w:left="384" w:right="0" w:hanging="282"/>
        <w:jc w:val="both"/>
        <w:rPr>
          <w:sz w:val="16"/>
        </w:rPr>
      </w:pPr>
      <w:r>
        <w:rPr>
          <w:sz w:val="16"/>
        </w:rPr>
        <w:t>Cupp, E.W., Scherer, W.F., Lok, J.B., Brenner, </w:t>
      </w:r>
      <w:r>
        <w:rPr>
          <w:spacing w:val="36"/>
          <w:sz w:val="16"/>
        </w:rPr>
        <w:t> </w:t>
      </w:r>
      <w:r>
        <w:rPr>
          <w:sz w:val="16"/>
        </w:rPr>
        <w:t>R.J.,</w:t>
      </w:r>
    </w:p>
    <w:p>
      <w:pPr>
        <w:spacing w:before="30"/>
        <w:ind w:left="102" w:right="0" w:firstLine="0"/>
        <w:jc w:val="both"/>
        <w:rPr>
          <w:sz w:val="16"/>
        </w:rPr>
      </w:pPr>
      <w:r>
        <w:rPr>
          <w:sz w:val="16"/>
        </w:rPr>
        <w:t>Dziem, G.M.: Entomological</w:t>
      </w:r>
    </w:p>
    <w:p>
      <w:pPr>
        <w:spacing w:line="276" w:lineRule="auto" w:before="27"/>
        <w:ind w:left="102" w:right="4" w:firstLine="0"/>
        <w:jc w:val="both"/>
        <w:rPr>
          <w:sz w:val="16"/>
        </w:rPr>
      </w:pPr>
      <w:r>
        <w:rPr>
          <w:sz w:val="16"/>
        </w:rPr>
        <w:t>studies at an enzootic Venezuelan equine encephalitis virus focus in Guatemala,</w:t>
      </w:r>
    </w:p>
    <w:p>
      <w:pPr>
        <w:spacing w:before="0"/>
        <w:ind w:left="102" w:right="0" w:firstLine="0"/>
        <w:jc w:val="both"/>
        <w:rPr>
          <w:sz w:val="16"/>
        </w:rPr>
      </w:pPr>
      <w:r>
        <w:rPr>
          <w:sz w:val="16"/>
        </w:rPr>
        <w:t>1977–1980. Am. J. Trop. Med. Hyg. 35:851–59,1986.</w:t>
      </w:r>
    </w:p>
    <w:p>
      <w:pPr>
        <w:pStyle w:val="BodyText"/>
        <w:spacing w:before="8"/>
        <w:rPr>
          <w:sz w:val="20"/>
        </w:rPr>
      </w:pPr>
    </w:p>
    <w:p>
      <w:pPr>
        <w:pStyle w:val="ListParagraph"/>
        <w:numPr>
          <w:ilvl w:val="0"/>
          <w:numId w:val="17"/>
        </w:numPr>
        <w:tabs>
          <w:tab w:pos="326" w:val="left" w:leader="none"/>
        </w:tabs>
        <w:spacing w:line="278" w:lineRule="auto" w:before="0" w:after="0"/>
        <w:ind w:left="102" w:right="2" w:firstLine="0"/>
        <w:jc w:val="both"/>
        <w:rPr>
          <w:sz w:val="16"/>
        </w:rPr>
      </w:pPr>
      <w:r>
        <w:rPr>
          <w:sz w:val="16"/>
        </w:rPr>
        <w:t>Forattini, O.P, Sallum, M.A.: </w:t>
      </w:r>
      <w:r>
        <w:rPr>
          <w:spacing w:val="-3"/>
          <w:sz w:val="16"/>
        </w:rPr>
        <w:t>Two </w:t>
      </w:r>
      <w:r>
        <w:rPr>
          <w:sz w:val="16"/>
        </w:rPr>
        <w:t>new species of the Spissipes section</w:t>
      </w:r>
      <w:r>
        <w:rPr>
          <w:spacing w:val="-7"/>
          <w:sz w:val="16"/>
        </w:rPr>
        <w:t> </w:t>
      </w:r>
      <w:r>
        <w:rPr>
          <w:sz w:val="16"/>
        </w:rPr>
        <w:t>of</w:t>
      </w:r>
    </w:p>
    <w:p>
      <w:pPr>
        <w:spacing w:line="276" w:lineRule="auto" w:before="0"/>
        <w:ind w:left="102" w:right="0" w:firstLine="0"/>
        <w:jc w:val="both"/>
        <w:rPr>
          <w:sz w:val="16"/>
        </w:rPr>
      </w:pPr>
      <w:r>
        <w:rPr>
          <w:sz w:val="16"/>
        </w:rPr>
        <w:t>Culex (Melanoconion) (Diptera: Culicidae). Mosq. Syst. 27:125–42, 1995.</w:t>
      </w:r>
    </w:p>
    <w:p>
      <w:pPr>
        <w:pStyle w:val="BodyText"/>
        <w:spacing w:before="4"/>
        <w:rPr>
          <w:sz w:val="18"/>
        </w:rPr>
      </w:pPr>
    </w:p>
    <w:p>
      <w:pPr>
        <w:pStyle w:val="ListParagraph"/>
        <w:numPr>
          <w:ilvl w:val="0"/>
          <w:numId w:val="17"/>
        </w:numPr>
        <w:tabs>
          <w:tab w:pos="481" w:val="left" w:leader="none"/>
        </w:tabs>
        <w:spacing w:line="276" w:lineRule="auto" w:before="0" w:after="0"/>
        <w:ind w:left="102" w:right="3" w:firstLine="0"/>
        <w:jc w:val="both"/>
        <w:rPr>
          <w:sz w:val="16"/>
        </w:rPr>
      </w:pPr>
      <w:r>
        <w:rPr>
          <w:sz w:val="16"/>
        </w:rPr>
        <w:t>Galindo, P.: Endemic vectors of Venezuelan encephalitis. Proc.</w:t>
      </w:r>
      <w:r>
        <w:rPr>
          <w:spacing w:val="-12"/>
          <w:sz w:val="16"/>
        </w:rPr>
        <w:t> </w:t>
      </w:r>
      <w:r>
        <w:rPr>
          <w:sz w:val="16"/>
        </w:rPr>
        <w:t>Workshop-</w:t>
      </w:r>
    </w:p>
    <w:p>
      <w:pPr>
        <w:spacing w:before="0"/>
        <w:ind w:left="102" w:right="0" w:firstLine="0"/>
        <w:jc w:val="both"/>
        <w:rPr>
          <w:sz w:val="16"/>
        </w:rPr>
      </w:pPr>
      <w:r>
        <w:rPr>
          <w:sz w:val="16"/>
        </w:rPr>
        <w:t>Symposium on Venezuelan Encephalitis Virus, pp.  249–</w:t>
      </w:r>
    </w:p>
    <w:p>
      <w:pPr>
        <w:spacing w:before="29"/>
        <w:ind w:left="102" w:right="0" w:firstLine="0"/>
        <w:jc w:val="both"/>
        <w:rPr>
          <w:sz w:val="16"/>
        </w:rPr>
      </w:pPr>
      <w:r>
        <w:rPr>
          <w:sz w:val="16"/>
        </w:rPr>
        <w:t>53. Washington,</w:t>
      </w:r>
    </w:p>
    <w:p>
      <w:pPr>
        <w:spacing w:before="27"/>
        <w:ind w:left="102" w:right="0" w:firstLine="0"/>
        <w:jc w:val="both"/>
        <w:rPr>
          <w:sz w:val="16"/>
        </w:rPr>
      </w:pPr>
      <w:r>
        <w:rPr>
          <w:sz w:val="16"/>
        </w:rPr>
        <w:t>DC: Pan Am. Health Organ. 249-253, 1972.</w:t>
      </w:r>
    </w:p>
    <w:p>
      <w:pPr>
        <w:pStyle w:val="BodyText"/>
        <w:spacing w:before="9"/>
        <w:rPr>
          <w:sz w:val="20"/>
        </w:rPr>
      </w:pPr>
    </w:p>
    <w:p>
      <w:pPr>
        <w:pStyle w:val="ListParagraph"/>
        <w:numPr>
          <w:ilvl w:val="0"/>
          <w:numId w:val="18"/>
        </w:numPr>
        <w:tabs>
          <w:tab w:pos="362" w:val="left" w:leader="none"/>
        </w:tabs>
        <w:spacing w:line="276" w:lineRule="auto" w:before="0" w:after="0"/>
        <w:ind w:left="102" w:right="2" w:firstLine="0"/>
        <w:jc w:val="both"/>
        <w:rPr>
          <w:sz w:val="16"/>
        </w:rPr>
      </w:pPr>
      <w:r>
        <w:rPr>
          <w:sz w:val="16"/>
        </w:rPr>
        <w:t>Sallum,</w:t>
      </w:r>
      <w:r>
        <w:rPr>
          <w:spacing w:val="-8"/>
          <w:sz w:val="16"/>
        </w:rPr>
        <w:t> </w:t>
      </w:r>
      <w:r>
        <w:rPr>
          <w:sz w:val="16"/>
        </w:rPr>
        <w:t>M.A.,</w:t>
      </w:r>
      <w:r>
        <w:rPr>
          <w:spacing w:val="-11"/>
          <w:sz w:val="16"/>
        </w:rPr>
        <w:t> </w:t>
      </w:r>
      <w:r>
        <w:rPr>
          <w:sz w:val="16"/>
        </w:rPr>
        <w:t>Forattini,</w:t>
      </w:r>
      <w:r>
        <w:rPr>
          <w:spacing w:val="-11"/>
          <w:sz w:val="16"/>
        </w:rPr>
        <w:t> </w:t>
      </w:r>
      <w:r>
        <w:rPr>
          <w:sz w:val="16"/>
        </w:rPr>
        <w:t>O.P.:</w:t>
      </w:r>
      <w:r>
        <w:rPr>
          <w:spacing w:val="-9"/>
          <w:sz w:val="16"/>
        </w:rPr>
        <w:t> </w:t>
      </w:r>
      <w:r>
        <w:rPr>
          <w:sz w:val="16"/>
        </w:rPr>
        <w:t>Revision</w:t>
      </w:r>
      <w:r>
        <w:rPr>
          <w:spacing w:val="-10"/>
          <w:sz w:val="16"/>
        </w:rPr>
        <w:t> </w:t>
      </w:r>
      <w:r>
        <w:rPr>
          <w:sz w:val="16"/>
        </w:rPr>
        <w:t>of</w:t>
      </w:r>
      <w:r>
        <w:rPr>
          <w:spacing w:val="-11"/>
          <w:sz w:val="16"/>
        </w:rPr>
        <w:t> </w:t>
      </w:r>
      <w:r>
        <w:rPr>
          <w:sz w:val="16"/>
        </w:rPr>
        <w:t>the</w:t>
      </w:r>
      <w:r>
        <w:rPr>
          <w:spacing w:val="-13"/>
          <w:sz w:val="16"/>
        </w:rPr>
        <w:t> </w:t>
      </w:r>
      <w:r>
        <w:rPr>
          <w:sz w:val="16"/>
        </w:rPr>
        <w:t>Spissipes section of</w:t>
      </w:r>
      <w:r>
        <w:rPr>
          <w:spacing w:val="-2"/>
          <w:sz w:val="16"/>
        </w:rPr>
        <w:t> </w:t>
      </w:r>
      <w:r>
        <w:rPr>
          <w:sz w:val="16"/>
        </w:rPr>
        <w:t>Culex</w:t>
      </w:r>
    </w:p>
    <w:p>
      <w:pPr>
        <w:spacing w:line="278" w:lineRule="auto" w:before="0"/>
        <w:ind w:left="102" w:right="1" w:firstLine="0"/>
        <w:jc w:val="both"/>
        <w:rPr>
          <w:sz w:val="16"/>
        </w:rPr>
      </w:pPr>
      <w:r>
        <w:rPr>
          <w:sz w:val="16"/>
        </w:rPr>
        <w:t>(Melanoconion)</w:t>
      </w:r>
      <w:r>
        <w:rPr>
          <w:spacing w:val="-8"/>
          <w:sz w:val="16"/>
        </w:rPr>
        <w:t> </w:t>
      </w:r>
      <w:r>
        <w:rPr>
          <w:sz w:val="16"/>
        </w:rPr>
        <w:t>(Diptera:</w:t>
      </w:r>
      <w:r>
        <w:rPr>
          <w:spacing w:val="-9"/>
          <w:sz w:val="16"/>
        </w:rPr>
        <w:t> </w:t>
      </w:r>
      <w:r>
        <w:rPr>
          <w:sz w:val="16"/>
        </w:rPr>
        <w:t>Culicidae).</w:t>
      </w:r>
      <w:r>
        <w:rPr>
          <w:spacing w:val="-7"/>
          <w:sz w:val="16"/>
        </w:rPr>
        <w:t> </w:t>
      </w:r>
      <w:r>
        <w:rPr>
          <w:sz w:val="16"/>
        </w:rPr>
        <w:t>J.</w:t>
      </w:r>
      <w:r>
        <w:rPr>
          <w:spacing w:val="-11"/>
          <w:sz w:val="16"/>
        </w:rPr>
        <w:t> </w:t>
      </w:r>
      <w:r>
        <w:rPr>
          <w:sz w:val="16"/>
        </w:rPr>
        <w:t>Am.</w:t>
      </w:r>
      <w:r>
        <w:rPr>
          <w:spacing w:val="-6"/>
          <w:sz w:val="16"/>
        </w:rPr>
        <w:t> </w:t>
      </w:r>
      <w:r>
        <w:rPr>
          <w:sz w:val="16"/>
        </w:rPr>
        <w:t>Mosq.</w:t>
      </w:r>
      <w:r>
        <w:rPr>
          <w:spacing w:val="-9"/>
          <w:sz w:val="16"/>
        </w:rPr>
        <w:t> </w:t>
      </w:r>
      <w:r>
        <w:rPr>
          <w:sz w:val="16"/>
        </w:rPr>
        <w:t>Control Assoc. 12:517–600,</w:t>
      </w:r>
      <w:r>
        <w:rPr>
          <w:spacing w:val="-10"/>
          <w:sz w:val="16"/>
        </w:rPr>
        <w:t> </w:t>
      </w:r>
      <w:r>
        <w:rPr>
          <w:sz w:val="16"/>
        </w:rPr>
        <w:t>1996.</w:t>
      </w:r>
    </w:p>
    <w:p>
      <w:pPr>
        <w:pStyle w:val="BodyText"/>
        <w:spacing w:before="2"/>
        <w:rPr>
          <w:sz w:val="18"/>
        </w:rPr>
      </w:pPr>
    </w:p>
    <w:p>
      <w:pPr>
        <w:pStyle w:val="ListParagraph"/>
        <w:numPr>
          <w:ilvl w:val="0"/>
          <w:numId w:val="18"/>
        </w:numPr>
        <w:tabs>
          <w:tab w:pos="412" w:val="left" w:leader="none"/>
        </w:tabs>
        <w:spacing w:line="276" w:lineRule="auto" w:before="1" w:after="0"/>
        <w:ind w:left="102" w:right="0" w:firstLine="0"/>
        <w:jc w:val="both"/>
        <w:rPr>
          <w:sz w:val="16"/>
        </w:rPr>
      </w:pPr>
      <w:r>
        <w:rPr>
          <w:sz w:val="16"/>
        </w:rPr>
        <w:t>Sirivanakarn, S.: A review of the systematics and proposed scheme of internal classification of the NewWorld subgenus </w:t>
      </w:r>
      <w:r>
        <w:rPr>
          <w:i/>
          <w:sz w:val="16"/>
        </w:rPr>
        <w:t>Melanoconion </w:t>
      </w:r>
      <w:r>
        <w:rPr>
          <w:sz w:val="16"/>
        </w:rPr>
        <w:t>of </w:t>
      </w:r>
      <w:r>
        <w:rPr>
          <w:i/>
          <w:sz w:val="16"/>
        </w:rPr>
        <w:t>Culex </w:t>
      </w:r>
      <w:r>
        <w:rPr>
          <w:sz w:val="16"/>
        </w:rPr>
        <w:t>(Diptera: Culicidae).</w:t>
      </w:r>
      <w:r>
        <w:rPr>
          <w:i/>
          <w:sz w:val="16"/>
        </w:rPr>
        <w:t>Mosq. Syst. </w:t>
      </w:r>
      <w:r>
        <w:rPr>
          <w:sz w:val="16"/>
        </w:rPr>
        <w:t>14:265–333,</w:t>
      </w:r>
      <w:r>
        <w:rPr>
          <w:spacing w:val="-14"/>
          <w:sz w:val="16"/>
        </w:rPr>
        <w:t> </w:t>
      </w:r>
      <w:r>
        <w:rPr>
          <w:sz w:val="16"/>
        </w:rPr>
        <w:t>1982.</w:t>
      </w:r>
    </w:p>
    <w:p>
      <w:pPr>
        <w:pStyle w:val="BodyText"/>
        <w:spacing w:before="7"/>
        <w:rPr>
          <w:sz w:val="18"/>
        </w:rPr>
      </w:pPr>
    </w:p>
    <w:p>
      <w:pPr>
        <w:spacing w:line="276" w:lineRule="auto" w:before="0"/>
        <w:ind w:left="102" w:right="2" w:firstLine="0"/>
        <w:jc w:val="both"/>
        <w:rPr>
          <w:sz w:val="16"/>
        </w:rPr>
      </w:pPr>
      <w:r>
        <w:rPr>
          <w:sz w:val="16"/>
        </w:rPr>
        <w:t>80</w:t>
      </w:r>
      <w:r>
        <w:rPr>
          <w:spacing w:val="-9"/>
          <w:sz w:val="16"/>
        </w:rPr>
        <w:t> </w:t>
      </w:r>
      <w:r>
        <w:rPr>
          <w:sz w:val="16"/>
        </w:rPr>
        <w:t>Kinney,</w:t>
      </w:r>
      <w:r>
        <w:rPr>
          <w:spacing w:val="-8"/>
          <w:sz w:val="16"/>
        </w:rPr>
        <w:t> </w:t>
      </w:r>
      <w:r>
        <w:rPr>
          <w:sz w:val="16"/>
        </w:rPr>
        <w:t>R.</w:t>
      </w:r>
      <w:r>
        <w:rPr>
          <w:spacing w:val="-8"/>
          <w:sz w:val="16"/>
        </w:rPr>
        <w:t> </w:t>
      </w:r>
      <w:r>
        <w:rPr>
          <w:sz w:val="16"/>
        </w:rPr>
        <w:t>M.,</w:t>
      </w:r>
      <w:r>
        <w:rPr>
          <w:spacing w:val="-9"/>
          <w:sz w:val="16"/>
        </w:rPr>
        <w:t> </w:t>
      </w:r>
      <w:r>
        <w:rPr>
          <w:sz w:val="16"/>
        </w:rPr>
        <w:t>K.</w:t>
      </w:r>
      <w:r>
        <w:rPr>
          <w:spacing w:val="-8"/>
          <w:sz w:val="16"/>
        </w:rPr>
        <w:t> </w:t>
      </w:r>
      <w:r>
        <w:rPr>
          <w:sz w:val="16"/>
        </w:rPr>
        <w:t>R.</w:t>
      </w:r>
      <w:r>
        <w:rPr>
          <w:spacing w:val="-8"/>
          <w:sz w:val="16"/>
        </w:rPr>
        <w:t> </w:t>
      </w:r>
      <w:r>
        <w:rPr>
          <w:sz w:val="16"/>
        </w:rPr>
        <w:t>Tsuchiya,</w:t>
      </w:r>
      <w:r>
        <w:rPr>
          <w:spacing w:val="-9"/>
          <w:sz w:val="16"/>
        </w:rPr>
        <w:t> </w:t>
      </w:r>
      <w:r>
        <w:rPr>
          <w:sz w:val="16"/>
        </w:rPr>
        <w:t>J.</w:t>
      </w:r>
      <w:r>
        <w:rPr>
          <w:spacing w:val="-8"/>
          <w:sz w:val="16"/>
        </w:rPr>
        <w:t> </w:t>
      </w:r>
      <w:r>
        <w:rPr>
          <w:sz w:val="16"/>
        </w:rPr>
        <w:t>M.</w:t>
      </w:r>
      <w:r>
        <w:rPr>
          <w:spacing w:val="-8"/>
          <w:sz w:val="16"/>
        </w:rPr>
        <w:t> </w:t>
      </w:r>
      <w:r>
        <w:rPr>
          <w:sz w:val="16"/>
        </w:rPr>
        <w:t>Sneider,</w:t>
      </w:r>
      <w:r>
        <w:rPr>
          <w:spacing w:val="-8"/>
          <w:sz w:val="16"/>
        </w:rPr>
        <w:t> </w:t>
      </w:r>
      <w:r>
        <w:rPr>
          <w:sz w:val="16"/>
        </w:rPr>
        <w:t>and</w:t>
      </w:r>
      <w:r>
        <w:rPr>
          <w:spacing w:val="-9"/>
          <w:sz w:val="16"/>
        </w:rPr>
        <w:t> </w:t>
      </w:r>
      <w:r>
        <w:rPr>
          <w:sz w:val="16"/>
        </w:rPr>
        <w:t>D.</w:t>
      </w:r>
      <w:r>
        <w:rPr>
          <w:spacing w:val="-14"/>
          <w:sz w:val="16"/>
        </w:rPr>
        <w:t> </w:t>
      </w:r>
      <w:r>
        <w:rPr>
          <w:sz w:val="16"/>
        </w:rPr>
        <w:t>W. Trent.:</w:t>
      </w:r>
      <w:r>
        <w:rPr>
          <w:spacing w:val="-10"/>
          <w:sz w:val="16"/>
        </w:rPr>
        <w:t> </w:t>
      </w:r>
      <w:r>
        <w:rPr>
          <w:sz w:val="16"/>
        </w:rPr>
        <w:t>Molecular</w:t>
      </w:r>
      <w:r>
        <w:rPr>
          <w:spacing w:val="-11"/>
          <w:sz w:val="16"/>
        </w:rPr>
        <w:t> </w:t>
      </w:r>
      <w:r>
        <w:rPr>
          <w:sz w:val="16"/>
        </w:rPr>
        <w:t>evidence</w:t>
      </w:r>
      <w:r>
        <w:rPr>
          <w:spacing w:val="-11"/>
          <w:sz w:val="16"/>
        </w:rPr>
        <w:t> </w:t>
      </w:r>
      <w:r>
        <w:rPr>
          <w:sz w:val="16"/>
        </w:rPr>
        <w:t>for</w:t>
      </w:r>
      <w:r>
        <w:rPr>
          <w:spacing w:val="-11"/>
          <w:sz w:val="16"/>
        </w:rPr>
        <w:t> </w:t>
      </w:r>
      <w:r>
        <w:rPr>
          <w:sz w:val="16"/>
        </w:rPr>
        <w:t>the</w:t>
      </w:r>
      <w:r>
        <w:rPr>
          <w:spacing w:val="-11"/>
          <w:sz w:val="16"/>
        </w:rPr>
        <w:t> </w:t>
      </w:r>
      <w:r>
        <w:rPr>
          <w:sz w:val="16"/>
        </w:rPr>
        <w:t>origin</w:t>
      </w:r>
      <w:r>
        <w:rPr>
          <w:spacing w:val="-9"/>
          <w:sz w:val="16"/>
        </w:rPr>
        <w:t> </w:t>
      </w:r>
      <w:r>
        <w:rPr>
          <w:sz w:val="16"/>
        </w:rPr>
        <w:t>of</w:t>
      </w:r>
      <w:r>
        <w:rPr>
          <w:spacing w:val="-10"/>
          <w:sz w:val="16"/>
        </w:rPr>
        <w:t> </w:t>
      </w:r>
      <w:r>
        <w:rPr>
          <w:sz w:val="16"/>
        </w:rPr>
        <w:t>the</w:t>
      </w:r>
      <w:r>
        <w:rPr>
          <w:spacing w:val="-11"/>
          <w:sz w:val="16"/>
        </w:rPr>
        <w:t> </w:t>
      </w:r>
      <w:r>
        <w:rPr>
          <w:sz w:val="16"/>
        </w:rPr>
        <w:t>widespread Venezuelan</w:t>
      </w:r>
      <w:r>
        <w:rPr>
          <w:spacing w:val="-13"/>
          <w:sz w:val="16"/>
        </w:rPr>
        <w:t> </w:t>
      </w:r>
      <w:r>
        <w:rPr>
          <w:sz w:val="16"/>
        </w:rPr>
        <w:t>equine</w:t>
      </w:r>
      <w:r>
        <w:rPr>
          <w:spacing w:val="-13"/>
          <w:sz w:val="16"/>
        </w:rPr>
        <w:t> </w:t>
      </w:r>
      <w:r>
        <w:rPr>
          <w:sz w:val="16"/>
        </w:rPr>
        <w:t>encephalitis</w:t>
      </w:r>
      <w:r>
        <w:rPr>
          <w:spacing w:val="-13"/>
          <w:sz w:val="16"/>
        </w:rPr>
        <w:t> </w:t>
      </w:r>
      <w:r>
        <w:rPr>
          <w:sz w:val="16"/>
        </w:rPr>
        <w:t>epizootic</w:t>
      </w:r>
      <w:r>
        <w:rPr>
          <w:spacing w:val="-13"/>
          <w:sz w:val="16"/>
        </w:rPr>
        <w:t> </w:t>
      </w:r>
      <w:r>
        <w:rPr>
          <w:sz w:val="16"/>
        </w:rPr>
        <w:t>of</w:t>
      </w:r>
      <w:r>
        <w:rPr>
          <w:spacing w:val="-13"/>
          <w:sz w:val="16"/>
        </w:rPr>
        <w:t> </w:t>
      </w:r>
      <w:r>
        <w:rPr>
          <w:sz w:val="16"/>
        </w:rPr>
        <w:t>1969</w:t>
      </w:r>
      <w:r>
        <w:rPr>
          <w:spacing w:val="-15"/>
          <w:sz w:val="16"/>
        </w:rPr>
        <w:t> </w:t>
      </w:r>
      <w:r>
        <w:rPr>
          <w:sz w:val="16"/>
        </w:rPr>
        <w:t>to</w:t>
      </w:r>
      <w:r>
        <w:rPr>
          <w:spacing w:val="-13"/>
          <w:sz w:val="16"/>
        </w:rPr>
        <w:t> </w:t>
      </w:r>
      <w:r>
        <w:rPr>
          <w:sz w:val="16"/>
        </w:rPr>
        <w:t>1972. J Gen Virol. 73:3301-5,</w:t>
      </w:r>
      <w:r>
        <w:rPr>
          <w:spacing w:val="-8"/>
          <w:sz w:val="16"/>
        </w:rPr>
        <w:t> </w:t>
      </w:r>
      <w:r>
        <w:rPr>
          <w:sz w:val="16"/>
        </w:rPr>
        <w:t>1992.</w:t>
      </w:r>
    </w:p>
    <w:p>
      <w:pPr>
        <w:pStyle w:val="BodyText"/>
        <w:spacing w:before="7"/>
        <w:rPr>
          <w:sz w:val="18"/>
        </w:rPr>
      </w:pPr>
    </w:p>
    <w:p>
      <w:pPr>
        <w:pStyle w:val="ListParagraph"/>
        <w:numPr>
          <w:ilvl w:val="0"/>
          <w:numId w:val="19"/>
        </w:numPr>
        <w:tabs>
          <w:tab w:pos="359" w:val="left" w:leader="none"/>
        </w:tabs>
        <w:spacing w:line="240" w:lineRule="auto" w:before="0" w:after="0"/>
        <w:ind w:left="102" w:right="0" w:firstLine="0"/>
        <w:jc w:val="both"/>
        <w:rPr>
          <w:sz w:val="16"/>
        </w:rPr>
      </w:pPr>
      <w:r>
        <w:rPr>
          <w:sz w:val="16"/>
        </w:rPr>
        <w:t>Weaver,</w:t>
      </w:r>
      <w:r>
        <w:rPr>
          <w:spacing w:val="-9"/>
          <w:sz w:val="16"/>
        </w:rPr>
        <w:t> </w:t>
      </w:r>
      <w:r>
        <w:rPr>
          <w:sz w:val="16"/>
        </w:rPr>
        <w:t>S.</w:t>
      </w:r>
      <w:r>
        <w:rPr>
          <w:spacing w:val="-7"/>
          <w:sz w:val="16"/>
        </w:rPr>
        <w:t> </w:t>
      </w:r>
      <w:r>
        <w:rPr>
          <w:sz w:val="16"/>
        </w:rPr>
        <w:t>C.,</w:t>
      </w:r>
      <w:r>
        <w:rPr>
          <w:spacing w:val="-7"/>
          <w:sz w:val="16"/>
        </w:rPr>
        <w:t> </w:t>
      </w:r>
      <w:r>
        <w:rPr>
          <w:sz w:val="16"/>
        </w:rPr>
        <w:t>M.</w:t>
      </w:r>
      <w:r>
        <w:rPr>
          <w:spacing w:val="-9"/>
          <w:sz w:val="16"/>
        </w:rPr>
        <w:t> </w:t>
      </w:r>
      <w:r>
        <w:rPr>
          <w:sz w:val="16"/>
        </w:rPr>
        <w:t>Pfeffer,</w:t>
      </w:r>
      <w:r>
        <w:rPr>
          <w:spacing w:val="-9"/>
          <w:sz w:val="16"/>
        </w:rPr>
        <w:t> </w:t>
      </w:r>
      <w:r>
        <w:rPr>
          <w:sz w:val="16"/>
        </w:rPr>
        <w:t>K.</w:t>
      </w:r>
      <w:r>
        <w:rPr>
          <w:spacing w:val="-7"/>
          <w:sz w:val="16"/>
        </w:rPr>
        <w:t> </w:t>
      </w:r>
      <w:r>
        <w:rPr>
          <w:sz w:val="16"/>
        </w:rPr>
        <w:t>Marriott,</w:t>
      </w:r>
      <w:r>
        <w:rPr>
          <w:spacing w:val="-12"/>
          <w:sz w:val="16"/>
        </w:rPr>
        <w:t> </w:t>
      </w:r>
      <w:r>
        <w:rPr>
          <w:sz w:val="16"/>
        </w:rPr>
        <w:t>W.</w:t>
      </w:r>
      <w:r>
        <w:rPr>
          <w:spacing w:val="-9"/>
          <w:sz w:val="16"/>
        </w:rPr>
        <w:t> </w:t>
      </w:r>
      <w:r>
        <w:rPr>
          <w:sz w:val="16"/>
        </w:rPr>
        <w:t>Kang,</w:t>
      </w:r>
      <w:r>
        <w:rPr>
          <w:spacing w:val="-7"/>
          <w:sz w:val="16"/>
        </w:rPr>
        <w:t> </w:t>
      </w:r>
      <w:r>
        <w:rPr>
          <w:sz w:val="16"/>
        </w:rPr>
        <w:t>and</w:t>
      </w:r>
      <w:r>
        <w:rPr>
          <w:spacing w:val="-8"/>
          <w:sz w:val="16"/>
        </w:rPr>
        <w:t> </w:t>
      </w:r>
      <w:r>
        <w:rPr>
          <w:sz w:val="16"/>
        </w:rPr>
        <w:t>R.</w:t>
      </w:r>
    </w:p>
    <w:p>
      <w:pPr>
        <w:spacing w:line="276" w:lineRule="auto" w:before="27"/>
        <w:ind w:left="102" w:right="2" w:firstLine="0"/>
        <w:jc w:val="both"/>
        <w:rPr>
          <w:sz w:val="16"/>
        </w:rPr>
      </w:pPr>
      <w:r>
        <w:rPr>
          <w:sz w:val="16"/>
        </w:rPr>
        <w:t>M. Kinney.: Genetic evidence for the origins of Venezuelan equine encephalitis virus subtype IAB outbreaks. Am J Trop Med Hyg 60:441-8, 1999.</w:t>
      </w:r>
    </w:p>
    <w:p>
      <w:pPr>
        <w:pStyle w:val="BodyText"/>
        <w:spacing w:before="4"/>
        <w:rPr>
          <w:sz w:val="18"/>
        </w:rPr>
      </w:pPr>
    </w:p>
    <w:p>
      <w:pPr>
        <w:pStyle w:val="ListParagraph"/>
        <w:numPr>
          <w:ilvl w:val="0"/>
          <w:numId w:val="19"/>
        </w:numPr>
        <w:tabs>
          <w:tab w:pos="393" w:val="left" w:leader="none"/>
        </w:tabs>
        <w:spacing w:line="276" w:lineRule="auto" w:before="0" w:after="0"/>
        <w:ind w:left="102" w:right="0" w:firstLine="0"/>
        <w:jc w:val="both"/>
        <w:rPr>
          <w:sz w:val="16"/>
        </w:rPr>
      </w:pPr>
      <w:r>
        <w:rPr>
          <w:sz w:val="16"/>
        </w:rPr>
        <w:t>Sutton, L. S., and C. C. Brooke.Venezuelan equine encephalomyelitis due to vaccination in man. J Am Med Assoc 155:1473-6,</w:t>
      </w:r>
      <w:r>
        <w:rPr>
          <w:spacing w:val="-9"/>
          <w:sz w:val="16"/>
        </w:rPr>
        <w:t> </w:t>
      </w:r>
      <w:r>
        <w:rPr>
          <w:sz w:val="16"/>
        </w:rPr>
        <w:t>1954.</w:t>
      </w:r>
    </w:p>
    <w:p>
      <w:pPr>
        <w:pStyle w:val="BodyText"/>
        <w:spacing w:before="4"/>
        <w:rPr>
          <w:sz w:val="18"/>
        </w:rPr>
      </w:pPr>
    </w:p>
    <w:p>
      <w:pPr>
        <w:pStyle w:val="ListParagraph"/>
        <w:numPr>
          <w:ilvl w:val="0"/>
          <w:numId w:val="19"/>
        </w:numPr>
        <w:tabs>
          <w:tab w:pos="371" w:val="left" w:leader="none"/>
        </w:tabs>
        <w:spacing w:line="273" w:lineRule="auto" w:before="0" w:after="0"/>
        <w:ind w:left="102" w:right="0" w:firstLine="0"/>
        <w:jc w:val="both"/>
        <w:rPr>
          <w:sz w:val="16"/>
        </w:rPr>
      </w:pPr>
      <w:r>
        <w:rPr>
          <w:sz w:val="16"/>
        </w:rPr>
        <w:t>Rico-Hesse, R., J. T. Roehrig, D. </w:t>
      </w:r>
      <w:r>
        <w:rPr>
          <w:spacing w:val="3"/>
          <w:sz w:val="16"/>
        </w:rPr>
        <w:t>W. </w:t>
      </w:r>
      <w:r>
        <w:rPr>
          <w:sz w:val="16"/>
        </w:rPr>
        <w:t>Trent, and R. W. Dickerman.: Genetic variation of Venezuelan equine encephalitis</w:t>
      </w:r>
      <w:r>
        <w:rPr>
          <w:spacing w:val="-8"/>
          <w:sz w:val="16"/>
        </w:rPr>
        <w:t> </w:t>
      </w:r>
      <w:r>
        <w:rPr>
          <w:sz w:val="16"/>
        </w:rPr>
        <w:t>virus</w:t>
      </w:r>
      <w:r>
        <w:rPr>
          <w:spacing w:val="-10"/>
          <w:sz w:val="16"/>
        </w:rPr>
        <w:t> </w:t>
      </w:r>
      <w:r>
        <w:rPr>
          <w:sz w:val="16"/>
        </w:rPr>
        <w:t>strains</w:t>
      </w:r>
      <w:r>
        <w:rPr>
          <w:spacing w:val="-10"/>
          <w:sz w:val="16"/>
        </w:rPr>
        <w:t> </w:t>
      </w:r>
      <w:r>
        <w:rPr>
          <w:sz w:val="16"/>
        </w:rPr>
        <w:t>of</w:t>
      </w:r>
      <w:r>
        <w:rPr>
          <w:spacing w:val="-10"/>
          <w:sz w:val="16"/>
        </w:rPr>
        <w:t> </w:t>
      </w:r>
      <w:r>
        <w:rPr>
          <w:sz w:val="16"/>
        </w:rPr>
        <w:t>the</w:t>
      </w:r>
      <w:r>
        <w:rPr>
          <w:spacing w:val="-9"/>
          <w:sz w:val="16"/>
        </w:rPr>
        <w:t> </w:t>
      </w:r>
      <w:r>
        <w:rPr>
          <w:sz w:val="16"/>
        </w:rPr>
        <w:t>ID</w:t>
      </w:r>
      <w:r>
        <w:rPr>
          <w:spacing w:val="-13"/>
          <w:sz w:val="16"/>
        </w:rPr>
        <w:t> </w:t>
      </w:r>
      <w:r>
        <w:rPr>
          <w:sz w:val="16"/>
        </w:rPr>
        <w:t>variety</w:t>
      </w:r>
      <w:r>
        <w:rPr>
          <w:spacing w:val="-10"/>
          <w:sz w:val="16"/>
        </w:rPr>
        <w:t> </w:t>
      </w:r>
      <w:r>
        <w:rPr>
          <w:sz w:val="16"/>
        </w:rPr>
        <w:t>in</w:t>
      </w:r>
      <w:r>
        <w:rPr>
          <w:spacing w:val="-9"/>
          <w:sz w:val="16"/>
        </w:rPr>
        <w:t> </w:t>
      </w:r>
      <w:r>
        <w:rPr>
          <w:sz w:val="16"/>
        </w:rPr>
        <w:t>Colombia.</w:t>
      </w:r>
      <w:r>
        <w:rPr>
          <w:spacing w:val="-10"/>
          <w:sz w:val="16"/>
        </w:rPr>
        <w:t> </w:t>
      </w:r>
      <w:r>
        <w:rPr>
          <w:sz w:val="16"/>
        </w:rPr>
        <w:t>Am J Trop Med Hyg 38:195-204,</w:t>
      </w:r>
      <w:r>
        <w:rPr>
          <w:spacing w:val="-8"/>
          <w:sz w:val="16"/>
        </w:rPr>
        <w:t> </w:t>
      </w:r>
      <w:r>
        <w:rPr>
          <w:sz w:val="16"/>
        </w:rPr>
        <w:t>1988.</w:t>
      </w:r>
    </w:p>
    <w:p>
      <w:pPr>
        <w:pStyle w:val="BodyText"/>
        <w:spacing w:before="4"/>
        <w:rPr>
          <w:sz w:val="14"/>
        </w:rPr>
      </w:pPr>
    </w:p>
    <w:p>
      <w:pPr>
        <w:pStyle w:val="ListParagraph"/>
        <w:numPr>
          <w:ilvl w:val="0"/>
          <w:numId w:val="19"/>
        </w:numPr>
        <w:tabs>
          <w:tab w:pos="376" w:val="left" w:leader="none"/>
        </w:tabs>
        <w:spacing w:line="276" w:lineRule="auto" w:before="0" w:after="0"/>
        <w:ind w:left="102" w:right="1" w:firstLine="0"/>
        <w:jc w:val="both"/>
        <w:rPr>
          <w:sz w:val="16"/>
        </w:rPr>
      </w:pPr>
      <w:r>
        <w:rPr>
          <w:sz w:val="16"/>
        </w:rPr>
        <w:t>Kinney, R. M., K. R. Tsuchiya, J. M. Sneider y D. W. Trent.</w:t>
      </w:r>
      <w:r>
        <w:rPr>
          <w:spacing w:val="-7"/>
          <w:sz w:val="16"/>
        </w:rPr>
        <w:t> </w:t>
      </w:r>
      <w:r>
        <w:rPr>
          <w:sz w:val="16"/>
        </w:rPr>
        <w:t>Genetic</w:t>
      </w:r>
      <w:r>
        <w:rPr>
          <w:spacing w:val="-7"/>
          <w:sz w:val="16"/>
        </w:rPr>
        <w:t> </w:t>
      </w:r>
      <w:r>
        <w:rPr>
          <w:sz w:val="16"/>
        </w:rPr>
        <w:t>evidence</w:t>
      </w:r>
      <w:r>
        <w:rPr>
          <w:spacing w:val="-12"/>
          <w:sz w:val="16"/>
        </w:rPr>
        <w:t> </w:t>
      </w:r>
      <w:r>
        <w:rPr>
          <w:sz w:val="16"/>
        </w:rPr>
        <w:t>that</w:t>
      </w:r>
      <w:r>
        <w:rPr>
          <w:spacing w:val="-8"/>
          <w:sz w:val="16"/>
        </w:rPr>
        <w:t> </w:t>
      </w:r>
      <w:r>
        <w:rPr>
          <w:sz w:val="16"/>
        </w:rPr>
        <w:t>epizootic</w:t>
      </w:r>
      <w:r>
        <w:rPr>
          <w:spacing w:val="-9"/>
          <w:sz w:val="16"/>
        </w:rPr>
        <w:t> </w:t>
      </w:r>
      <w:r>
        <w:rPr>
          <w:sz w:val="16"/>
        </w:rPr>
        <w:t>Venezuelan</w:t>
      </w:r>
      <w:r>
        <w:rPr>
          <w:spacing w:val="-7"/>
          <w:sz w:val="16"/>
        </w:rPr>
        <w:t> </w:t>
      </w:r>
      <w:r>
        <w:rPr>
          <w:sz w:val="16"/>
        </w:rPr>
        <w:t>equine encephalitis (VEE) viruses may have evolved from enzootic VEE subtype I-D virus. Virology 191:569-80, 1992.</w:t>
      </w:r>
    </w:p>
    <w:p>
      <w:pPr>
        <w:pStyle w:val="BodyText"/>
        <w:spacing w:before="2"/>
        <w:rPr>
          <w:sz w:val="14"/>
        </w:rPr>
      </w:pPr>
    </w:p>
    <w:p>
      <w:pPr>
        <w:pStyle w:val="ListParagraph"/>
        <w:numPr>
          <w:ilvl w:val="0"/>
          <w:numId w:val="19"/>
        </w:numPr>
        <w:tabs>
          <w:tab w:pos="388" w:val="left" w:leader="none"/>
        </w:tabs>
        <w:spacing w:line="273" w:lineRule="auto" w:before="0" w:after="0"/>
        <w:ind w:left="102" w:right="0" w:firstLine="0"/>
        <w:jc w:val="both"/>
        <w:rPr>
          <w:sz w:val="16"/>
        </w:rPr>
      </w:pPr>
      <w:r>
        <w:rPr>
          <w:sz w:val="16"/>
        </w:rPr>
        <w:t>Salas, R. A., C. Z. Garcia, J. Liria, R. Barrera, J. C. Navarro,</w:t>
      </w:r>
      <w:r>
        <w:rPr>
          <w:spacing w:val="-6"/>
          <w:sz w:val="16"/>
        </w:rPr>
        <w:t> </w:t>
      </w:r>
      <w:r>
        <w:rPr>
          <w:sz w:val="16"/>
        </w:rPr>
        <w:t>G.</w:t>
      </w:r>
      <w:r>
        <w:rPr>
          <w:spacing w:val="-7"/>
          <w:sz w:val="16"/>
        </w:rPr>
        <w:t> </w:t>
      </w:r>
      <w:r>
        <w:rPr>
          <w:sz w:val="16"/>
        </w:rPr>
        <w:t>Medina,</w:t>
      </w:r>
      <w:r>
        <w:rPr>
          <w:spacing w:val="-6"/>
          <w:sz w:val="16"/>
        </w:rPr>
        <w:t> </w:t>
      </w:r>
      <w:r>
        <w:rPr>
          <w:sz w:val="16"/>
        </w:rPr>
        <w:t>C.</w:t>
      </w:r>
      <w:r>
        <w:rPr>
          <w:spacing w:val="-9"/>
          <w:sz w:val="16"/>
        </w:rPr>
        <w:t> </w:t>
      </w:r>
      <w:r>
        <w:rPr>
          <w:sz w:val="16"/>
        </w:rPr>
        <w:t>Vasquez,</w:t>
      </w:r>
      <w:r>
        <w:rPr>
          <w:spacing w:val="-11"/>
          <w:sz w:val="16"/>
        </w:rPr>
        <w:t> </w:t>
      </w:r>
      <w:r>
        <w:rPr>
          <w:sz w:val="16"/>
        </w:rPr>
        <w:t>Z.</w:t>
      </w:r>
      <w:r>
        <w:rPr>
          <w:spacing w:val="-9"/>
          <w:sz w:val="16"/>
        </w:rPr>
        <w:t> </w:t>
      </w:r>
      <w:r>
        <w:rPr>
          <w:sz w:val="16"/>
        </w:rPr>
        <w:t>Fernandez,</w:t>
      </w:r>
      <w:r>
        <w:rPr>
          <w:spacing w:val="-6"/>
          <w:sz w:val="16"/>
        </w:rPr>
        <w:t> </w:t>
      </w:r>
      <w:r>
        <w:rPr>
          <w:sz w:val="16"/>
        </w:rPr>
        <w:t>and</w:t>
      </w:r>
      <w:r>
        <w:rPr>
          <w:spacing w:val="-8"/>
          <w:sz w:val="16"/>
        </w:rPr>
        <w:t> </w:t>
      </w:r>
      <w:r>
        <w:rPr>
          <w:sz w:val="16"/>
        </w:rPr>
        <w:t>S.</w:t>
      </w:r>
      <w:r>
        <w:rPr>
          <w:spacing w:val="-6"/>
          <w:sz w:val="16"/>
        </w:rPr>
        <w:t> </w:t>
      </w:r>
      <w:r>
        <w:rPr>
          <w:sz w:val="16"/>
        </w:rPr>
        <w:t>C. Weaver. Ecological studies of enzootic Venezuelan equine encephalitis in north-central Venezuela, 1997- 1998. Am J Trop Med Hyg 64:84-92,</w:t>
      </w:r>
      <w:r>
        <w:rPr>
          <w:spacing w:val="-10"/>
          <w:sz w:val="16"/>
        </w:rPr>
        <w:t> </w:t>
      </w:r>
      <w:r>
        <w:rPr>
          <w:sz w:val="16"/>
        </w:rPr>
        <w:t>2001.</w:t>
      </w:r>
    </w:p>
    <w:p>
      <w:pPr>
        <w:pStyle w:val="BodyText"/>
        <w:spacing w:before="4"/>
        <w:rPr>
          <w:sz w:val="14"/>
        </w:rPr>
      </w:pPr>
    </w:p>
    <w:p>
      <w:pPr>
        <w:pStyle w:val="ListParagraph"/>
        <w:numPr>
          <w:ilvl w:val="0"/>
          <w:numId w:val="19"/>
        </w:numPr>
        <w:tabs>
          <w:tab w:pos="410" w:val="left" w:leader="none"/>
        </w:tabs>
        <w:spacing w:line="273" w:lineRule="auto" w:before="0" w:after="0"/>
        <w:ind w:left="102" w:right="1" w:firstLine="0"/>
        <w:jc w:val="both"/>
        <w:rPr>
          <w:sz w:val="16"/>
        </w:rPr>
      </w:pPr>
      <w:r>
        <w:rPr>
          <w:sz w:val="16"/>
        </w:rPr>
        <w:t>Weaver, S. C., L. A. Bellew, and R. Rico-Hesse. Phylogenetic analysis of alphaviruses in the Venezuelan equine encephalitis complex and</w:t>
      </w:r>
      <w:r>
        <w:rPr>
          <w:spacing w:val="-14"/>
          <w:sz w:val="16"/>
        </w:rPr>
        <w:t> </w:t>
      </w:r>
      <w:r>
        <w:rPr>
          <w:sz w:val="16"/>
        </w:rPr>
        <w:t>identification</w:t>
      </w:r>
    </w:p>
    <w:p>
      <w:pPr>
        <w:pStyle w:val="ListParagraph"/>
        <w:numPr>
          <w:ilvl w:val="0"/>
          <w:numId w:val="19"/>
        </w:numPr>
        <w:tabs>
          <w:tab w:pos="393" w:val="left" w:leader="none"/>
        </w:tabs>
        <w:spacing w:line="240" w:lineRule="auto" w:before="54" w:after="0"/>
        <w:ind w:left="392" w:right="0" w:hanging="290"/>
        <w:jc w:val="both"/>
        <w:rPr>
          <w:sz w:val="16"/>
        </w:rPr>
      </w:pPr>
      <w:r>
        <w:rPr>
          <w:spacing w:val="4"/>
          <w:w w:val="100"/>
          <w:sz w:val="16"/>
        </w:rPr>
        <w:br w:type="column"/>
      </w:r>
      <w:r>
        <w:rPr>
          <w:sz w:val="16"/>
        </w:rPr>
        <w:t>Wang,</w:t>
      </w:r>
      <w:r>
        <w:rPr>
          <w:spacing w:val="-13"/>
          <w:sz w:val="16"/>
        </w:rPr>
        <w:t> </w:t>
      </w:r>
      <w:r>
        <w:rPr>
          <w:sz w:val="16"/>
        </w:rPr>
        <w:t>E.,</w:t>
      </w:r>
      <w:r>
        <w:rPr>
          <w:spacing w:val="-12"/>
          <w:sz w:val="16"/>
        </w:rPr>
        <w:t> </w:t>
      </w:r>
      <w:r>
        <w:rPr>
          <w:sz w:val="16"/>
        </w:rPr>
        <w:t>R.</w:t>
      </w:r>
      <w:r>
        <w:rPr>
          <w:spacing w:val="-13"/>
          <w:sz w:val="16"/>
        </w:rPr>
        <w:t> </w:t>
      </w:r>
      <w:r>
        <w:rPr>
          <w:sz w:val="16"/>
        </w:rPr>
        <w:t>Barrera,</w:t>
      </w:r>
      <w:r>
        <w:rPr>
          <w:spacing w:val="-10"/>
          <w:sz w:val="16"/>
        </w:rPr>
        <w:t> </w:t>
      </w:r>
      <w:r>
        <w:rPr>
          <w:sz w:val="16"/>
        </w:rPr>
        <w:t>J.</w:t>
      </w:r>
      <w:r>
        <w:rPr>
          <w:spacing w:val="-10"/>
          <w:sz w:val="16"/>
        </w:rPr>
        <w:t> </w:t>
      </w:r>
      <w:r>
        <w:rPr>
          <w:sz w:val="16"/>
        </w:rPr>
        <w:t>Boshell,</w:t>
      </w:r>
      <w:r>
        <w:rPr>
          <w:spacing w:val="-10"/>
          <w:sz w:val="16"/>
        </w:rPr>
        <w:t> </w:t>
      </w:r>
      <w:r>
        <w:rPr>
          <w:sz w:val="16"/>
        </w:rPr>
        <w:t>C.</w:t>
      </w:r>
      <w:r>
        <w:rPr>
          <w:spacing w:val="-13"/>
          <w:sz w:val="16"/>
        </w:rPr>
        <w:t> </w:t>
      </w:r>
      <w:r>
        <w:rPr>
          <w:sz w:val="16"/>
        </w:rPr>
        <w:t>Ferro,</w:t>
      </w:r>
      <w:r>
        <w:rPr>
          <w:spacing w:val="-10"/>
          <w:sz w:val="16"/>
        </w:rPr>
        <w:t> </w:t>
      </w:r>
      <w:r>
        <w:rPr>
          <w:sz w:val="16"/>
        </w:rPr>
        <w:t>J.</w:t>
      </w:r>
      <w:r>
        <w:rPr>
          <w:spacing w:val="-13"/>
          <w:sz w:val="16"/>
        </w:rPr>
        <w:t> </w:t>
      </w:r>
      <w:r>
        <w:rPr>
          <w:sz w:val="16"/>
        </w:rPr>
        <w:t>E.</w:t>
      </w:r>
      <w:r>
        <w:rPr>
          <w:spacing w:val="-10"/>
          <w:sz w:val="16"/>
        </w:rPr>
        <w:t> </w:t>
      </w:r>
      <w:r>
        <w:rPr>
          <w:sz w:val="16"/>
        </w:rPr>
        <w:t>Freier,</w:t>
      </w:r>
    </w:p>
    <w:p>
      <w:pPr>
        <w:spacing w:line="273" w:lineRule="auto" w:before="30"/>
        <w:ind w:left="102" w:right="115" w:firstLine="0"/>
        <w:jc w:val="both"/>
        <w:rPr>
          <w:sz w:val="16"/>
        </w:rPr>
      </w:pPr>
      <w:r>
        <w:rPr>
          <w:sz w:val="16"/>
        </w:rPr>
        <w:t>J. C. Navarro, R. Salas, C. Vasquez, and S. C. Weaver. Genetic and phenotypic changes accompanying the emergence of epizootic subtype IC Venezuelan equine encephalitis viruses from an enzootic subtype ID progenitor. J Virol 73:4266-71, 1999.</w:t>
      </w:r>
    </w:p>
    <w:p>
      <w:pPr>
        <w:pStyle w:val="BodyText"/>
        <w:rPr>
          <w:sz w:val="16"/>
        </w:rPr>
      </w:pPr>
    </w:p>
    <w:p>
      <w:pPr>
        <w:pStyle w:val="BodyText"/>
        <w:rPr>
          <w:sz w:val="16"/>
        </w:rPr>
      </w:pPr>
    </w:p>
    <w:p>
      <w:pPr>
        <w:pStyle w:val="BodyText"/>
        <w:spacing w:before="8"/>
        <w:rPr>
          <w:sz w:val="14"/>
        </w:rPr>
      </w:pPr>
    </w:p>
    <w:p>
      <w:pPr>
        <w:pStyle w:val="ListParagraph"/>
        <w:numPr>
          <w:ilvl w:val="0"/>
          <w:numId w:val="19"/>
        </w:numPr>
        <w:tabs>
          <w:tab w:pos="433" w:val="left" w:leader="none"/>
        </w:tabs>
        <w:spacing w:line="276" w:lineRule="auto" w:before="0" w:after="0"/>
        <w:ind w:left="102" w:right="117" w:firstLine="0"/>
        <w:jc w:val="both"/>
        <w:rPr>
          <w:sz w:val="16"/>
        </w:rPr>
      </w:pPr>
      <w:r>
        <w:rPr>
          <w:sz w:val="16"/>
        </w:rPr>
        <w:t>Anishchenko, M., R. A. Bowen, S. Paessler, L. Austgen, I. P. Greene, and S. C. Weaver. Venezuelan encephalitis emergence mediated by a phylogenetically predicted viral mutation. Proc Natl Acad Sci U S A.103:4994-9, 2006.   89. Brault, A. C., A. M. Powers, </w:t>
      </w:r>
      <w:r>
        <w:rPr>
          <w:spacing w:val="6"/>
          <w:sz w:val="16"/>
        </w:rPr>
        <w:t> </w:t>
      </w:r>
      <w:r>
        <w:rPr>
          <w:sz w:val="16"/>
        </w:rPr>
        <w:t>E.</w:t>
      </w:r>
    </w:p>
    <w:p>
      <w:pPr>
        <w:spacing w:line="276" w:lineRule="auto" w:before="0"/>
        <w:ind w:left="102" w:right="116" w:firstLine="0"/>
        <w:jc w:val="both"/>
        <w:rPr>
          <w:sz w:val="16"/>
        </w:rPr>
      </w:pPr>
      <w:r>
        <w:rPr>
          <w:sz w:val="16"/>
        </w:rPr>
        <w:t>C. Holmes, C. H. Woelk, and S. C. Weaver. Positively charged amino acid substitutions in the E2 envelope glycoprotein are associated with the emergence of venezuelan equine encephalitis virus. J Virol 76:1718-30, 2002.</w:t>
      </w:r>
    </w:p>
    <w:p>
      <w:pPr>
        <w:pStyle w:val="BodyText"/>
        <w:rPr>
          <w:sz w:val="16"/>
        </w:rPr>
      </w:pPr>
    </w:p>
    <w:p>
      <w:pPr>
        <w:pStyle w:val="BodyText"/>
        <w:rPr>
          <w:sz w:val="16"/>
        </w:rPr>
      </w:pPr>
    </w:p>
    <w:p>
      <w:pPr>
        <w:pStyle w:val="BodyText"/>
        <w:spacing w:before="6"/>
        <w:rPr>
          <w:sz w:val="14"/>
        </w:rPr>
      </w:pPr>
    </w:p>
    <w:p>
      <w:pPr>
        <w:pStyle w:val="ListParagraph"/>
        <w:numPr>
          <w:ilvl w:val="0"/>
          <w:numId w:val="20"/>
        </w:numPr>
        <w:tabs>
          <w:tab w:pos="378" w:val="left" w:leader="none"/>
        </w:tabs>
        <w:spacing w:line="240" w:lineRule="auto" w:before="0" w:after="0"/>
        <w:ind w:left="102" w:right="0" w:firstLine="0"/>
        <w:jc w:val="both"/>
        <w:rPr>
          <w:sz w:val="16"/>
        </w:rPr>
      </w:pPr>
      <w:r>
        <w:rPr>
          <w:sz w:val="16"/>
        </w:rPr>
        <w:t>Oberste, M. S., M. Fraire, R. Navarro, C. Zepeda, </w:t>
      </w:r>
      <w:r>
        <w:rPr>
          <w:spacing w:val="1"/>
          <w:sz w:val="16"/>
        </w:rPr>
        <w:t> </w:t>
      </w:r>
      <w:r>
        <w:rPr>
          <w:sz w:val="16"/>
        </w:rPr>
        <w:t>M.</w:t>
      </w:r>
    </w:p>
    <w:p>
      <w:pPr>
        <w:spacing w:line="276" w:lineRule="auto" w:before="27"/>
        <w:ind w:left="102" w:right="116" w:firstLine="0"/>
        <w:jc w:val="both"/>
        <w:rPr>
          <w:sz w:val="16"/>
        </w:rPr>
      </w:pPr>
      <w:r>
        <w:rPr>
          <w:sz w:val="16"/>
        </w:rPr>
        <w:t>L. Zarate, G. V. Ludwig, J. F. Kondig, S. C. Weaver, J. F. Smith, and R. Rico-Hesse. Association of Venezuelan equine encephalitis virus subtype IE with two equine epizootics</w:t>
      </w:r>
      <w:r>
        <w:rPr>
          <w:spacing w:val="-5"/>
          <w:sz w:val="16"/>
        </w:rPr>
        <w:t> </w:t>
      </w:r>
      <w:r>
        <w:rPr>
          <w:sz w:val="16"/>
        </w:rPr>
        <w:t>in</w:t>
      </w:r>
      <w:r>
        <w:rPr>
          <w:spacing w:val="-9"/>
          <w:sz w:val="16"/>
        </w:rPr>
        <w:t> </w:t>
      </w:r>
      <w:r>
        <w:rPr>
          <w:sz w:val="16"/>
        </w:rPr>
        <w:t>Mexico.</w:t>
      </w:r>
      <w:r>
        <w:rPr>
          <w:spacing w:val="-5"/>
          <w:sz w:val="16"/>
        </w:rPr>
        <w:t> </w:t>
      </w:r>
      <w:r>
        <w:rPr>
          <w:sz w:val="16"/>
        </w:rPr>
        <w:t>Am</w:t>
      </w:r>
      <w:r>
        <w:rPr>
          <w:spacing w:val="-8"/>
          <w:sz w:val="16"/>
        </w:rPr>
        <w:t> </w:t>
      </w:r>
      <w:r>
        <w:rPr>
          <w:sz w:val="16"/>
        </w:rPr>
        <w:t>J</w:t>
      </w:r>
      <w:r>
        <w:rPr>
          <w:spacing w:val="-5"/>
          <w:sz w:val="16"/>
        </w:rPr>
        <w:t> </w:t>
      </w:r>
      <w:r>
        <w:rPr>
          <w:sz w:val="16"/>
        </w:rPr>
        <w:t>Trop</w:t>
      </w:r>
      <w:r>
        <w:rPr>
          <w:spacing w:val="-7"/>
          <w:sz w:val="16"/>
        </w:rPr>
        <w:t> </w:t>
      </w:r>
      <w:r>
        <w:rPr>
          <w:sz w:val="16"/>
        </w:rPr>
        <w:t>Med</w:t>
      </w:r>
      <w:r>
        <w:rPr>
          <w:spacing w:val="-7"/>
          <w:sz w:val="16"/>
        </w:rPr>
        <w:t> </w:t>
      </w:r>
      <w:r>
        <w:rPr>
          <w:sz w:val="16"/>
        </w:rPr>
        <w:t>Hyg</w:t>
      </w:r>
      <w:r>
        <w:rPr>
          <w:spacing w:val="-7"/>
          <w:sz w:val="16"/>
        </w:rPr>
        <w:t> </w:t>
      </w:r>
      <w:r>
        <w:rPr>
          <w:sz w:val="16"/>
        </w:rPr>
        <w:t>59:100-7,</w:t>
      </w:r>
      <w:r>
        <w:rPr>
          <w:spacing w:val="-5"/>
          <w:sz w:val="16"/>
        </w:rPr>
        <w:t> </w:t>
      </w:r>
      <w:r>
        <w:rPr>
          <w:sz w:val="16"/>
        </w:rPr>
        <w:t>1998.</w:t>
      </w:r>
    </w:p>
    <w:p>
      <w:pPr>
        <w:pStyle w:val="BodyText"/>
        <w:rPr>
          <w:sz w:val="16"/>
        </w:rPr>
      </w:pPr>
    </w:p>
    <w:p>
      <w:pPr>
        <w:pStyle w:val="BodyText"/>
        <w:rPr>
          <w:sz w:val="16"/>
        </w:rPr>
      </w:pPr>
    </w:p>
    <w:p>
      <w:pPr>
        <w:pStyle w:val="BodyText"/>
        <w:spacing w:before="4"/>
        <w:rPr>
          <w:sz w:val="14"/>
        </w:rPr>
      </w:pPr>
    </w:p>
    <w:p>
      <w:pPr>
        <w:pStyle w:val="ListParagraph"/>
        <w:numPr>
          <w:ilvl w:val="0"/>
          <w:numId w:val="20"/>
        </w:numPr>
        <w:tabs>
          <w:tab w:pos="376" w:val="left" w:leader="none"/>
        </w:tabs>
        <w:spacing w:line="240" w:lineRule="auto" w:before="0" w:after="0"/>
        <w:ind w:left="375" w:right="0" w:hanging="273"/>
        <w:jc w:val="both"/>
        <w:rPr>
          <w:sz w:val="16"/>
        </w:rPr>
      </w:pPr>
      <w:r>
        <w:rPr>
          <w:sz w:val="16"/>
        </w:rPr>
        <w:t>Oberste, M. S., S. M. Schmura, S. C. Weaver, and</w:t>
      </w:r>
      <w:r>
        <w:rPr>
          <w:spacing w:val="27"/>
          <w:sz w:val="16"/>
        </w:rPr>
        <w:t> </w:t>
      </w:r>
      <w:r>
        <w:rPr>
          <w:sz w:val="16"/>
        </w:rPr>
        <w:t>J.</w:t>
      </w:r>
    </w:p>
    <w:p>
      <w:pPr>
        <w:spacing w:line="276" w:lineRule="auto" w:before="27"/>
        <w:ind w:left="102" w:right="114" w:firstLine="0"/>
        <w:jc w:val="both"/>
        <w:rPr>
          <w:sz w:val="16"/>
        </w:rPr>
      </w:pPr>
      <w:r>
        <w:rPr>
          <w:sz w:val="16"/>
        </w:rPr>
        <w:t>F. Smith. Geographic distribution of Venezuelan equine encephalitis virus subtype IE genotypes in Central America</w:t>
      </w:r>
      <w:r>
        <w:rPr>
          <w:spacing w:val="-9"/>
          <w:sz w:val="16"/>
        </w:rPr>
        <w:t> </w:t>
      </w:r>
      <w:r>
        <w:rPr>
          <w:sz w:val="16"/>
        </w:rPr>
        <w:t>and</w:t>
      </w:r>
      <w:r>
        <w:rPr>
          <w:spacing w:val="-9"/>
          <w:sz w:val="16"/>
        </w:rPr>
        <w:t> </w:t>
      </w:r>
      <w:r>
        <w:rPr>
          <w:sz w:val="16"/>
        </w:rPr>
        <w:t>Mexico.</w:t>
      </w:r>
      <w:r>
        <w:rPr>
          <w:spacing w:val="-8"/>
          <w:sz w:val="16"/>
        </w:rPr>
        <w:t> </w:t>
      </w:r>
      <w:r>
        <w:rPr>
          <w:sz w:val="16"/>
        </w:rPr>
        <w:t>Am</w:t>
      </w:r>
      <w:r>
        <w:rPr>
          <w:spacing w:val="-8"/>
          <w:sz w:val="16"/>
        </w:rPr>
        <w:t> </w:t>
      </w:r>
      <w:r>
        <w:rPr>
          <w:sz w:val="16"/>
        </w:rPr>
        <w:t>J</w:t>
      </w:r>
      <w:r>
        <w:rPr>
          <w:spacing w:val="-10"/>
          <w:sz w:val="16"/>
        </w:rPr>
        <w:t> </w:t>
      </w:r>
      <w:r>
        <w:rPr>
          <w:sz w:val="16"/>
        </w:rPr>
        <w:t>Trop</w:t>
      </w:r>
      <w:r>
        <w:rPr>
          <w:spacing w:val="-9"/>
          <w:sz w:val="16"/>
        </w:rPr>
        <w:t> </w:t>
      </w:r>
      <w:r>
        <w:rPr>
          <w:sz w:val="16"/>
        </w:rPr>
        <w:t>Med</w:t>
      </w:r>
      <w:r>
        <w:rPr>
          <w:spacing w:val="-9"/>
          <w:sz w:val="16"/>
        </w:rPr>
        <w:t> </w:t>
      </w:r>
      <w:r>
        <w:rPr>
          <w:sz w:val="16"/>
        </w:rPr>
        <w:t>Hyg</w:t>
      </w:r>
      <w:r>
        <w:rPr>
          <w:spacing w:val="-9"/>
          <w:sz w:val="16"/>
        </w:rPr>
        <w:t> </w:t>
      </w:r>
      <w:r>
        <w:rPr>
          <w:sz w:val="16"/>
        </w:rPr>
        <w:t>60:630-4,</w:t>
      </w:r>
      <w:r>
        <w:rPr>
          <w:spacing w:val="-8"/>
          <w:sz w:val="16"/>
        </w:rPr>
        <w:t> </w:t>
      </w:r>
      <w:r>
        <w:rPr>
          <w:sz w:val="16"/>
        </w:rPr>
        <w:t>1999.</w:t>
      </w:r>
    </w:p>
    <w:p>
      <w:pPr>
        <w:pStyle w:val="BodyText"/>
        <w:spacing w:before="3"/>
        <w:rPr>
          <w:sz w:val="14"/>
        </w:rPr>
      </w:pPr>
    </w:p>
    <w:p>
      <w:pPr>
        <w:pStyle w:val="ListParagraph"/>
        <w:numPr>
          <w:ilvl w:val="0"/>
          <w:numId w:val="20"/>
        </w:numPr>
        <w:tabs>
          <w:tab w:pos="472" w:val="left" w:leader="none"/>
        </w:tabs>
        <w:spacing w:line="273" w:lineRule="auto" w:before="0" w:after="0"/>
        <w:ind w:left="102" w:right="116" w:firstLine="0"/>
        <w:jc w:val="both"/>
        <w:rPr>
          <w:sz w:val="16"/>
        </w:rPr>
      </w:pPr>
      <w:r>
        <w:rPr>
          <w:sz w:val="16"/>
        </w:rPr>
        <w:t>Weaver, S. C., M. Anishchenko, R. Bowen, A. C. Brault, J. G. Estrada-Franco, Z. Fernandez, I. Greene, D. Ortiz, S. Paessler, and A. M. Powers.Genetic determinants of Venezuelan equine encephalitis emergence. Arch Virol Suppl: 43-64,</w:t>
      </w:r>
      <w:r>
        <w:rPr>
          <w:spacing w:val="-16"/>
          <w:sz w:val="16"/>
        </w:rPr>
        <w:t> </w:t>
      </w:r>
      <w:r>
        <w:rPr>
          <w:sz w:val="16"/>
        </w:rPr>
        <w:t>2004.</w:t>
      </w:r>
    </w:p>
    <w:p>
      <w:pPr>
        <w:pStyle w:val="BodyText"/>
        <w:spacing w:before="4"/>
        <w:rPr>
          <w:sz w:val="14"/>
        </w:rPr>
      </w:pPr>
    </w:p>
    <w:p>
      <w:pPr>
        <w:spacing w:line="273" w:lineRule="auto" w:before="0"/>
        <w:ind w:left="102" w:right="115" w:firstLine="0"/>
        <w:jc w:val="both"/>
        <w:rPr>
          <w:sz w:val="16"/>
        </w:rPr>
      </w:pPr>
      <w:r>
        <w:rPr>
          <w:sz w:val="16"/>
        </w:rPr>
        <w:t>93</w:t>
      </w:r>
      <w:r>
        <w:rPr>
          <w:spacing w:val="30"/>
          <w:sz w:val="16"/>
        </w:rPr>
        <w:t> </w:t>
      </w:r>
      <w:r>
        <w:rPr>
          <w:sz w:val="16"/>
        </w:rPr>
        <w:t>Scherer,</w:t>
      </w:r>
      <w:r>
        <w:rPr>
          <w:spacing w:val="-10"/>
          <w:sz w:val="16"/>
        </w:rPr>
        <w:t> </w:t>
      </w:r>
      <w:r>
        <w:rPr>
          <w:sz w:val="16"/>
        </w:rPr>
        <w:t>W.</w:t>
      </w:r>
      <w:r>
        <w:rPr>
          <w:spacing w:val="-10"/>
          <w:sz w:val="16"/>
        </w:rPr>
        <w:t> </w:t>
      </w:r>
      <w:r>
        <w:rPr>
          <w:sz w:val="16"/>
        </w:rPr>
        <w:t>F.,</w:t>
      </w:r>
      <w:r>
        <w:rPr>
          <w:spacing w:val="-8"/>
          <w:sz w:val="16"/>
        </w:rPr>
        <w:t> </w:t>
      </w:r>
      <w:r>
        <w:rPr>
          <w:sz w:val="16"/>
        </w:rPr>
        <w:t>and</w:t>
      </w:r>
      <w:r>
        <w:rPr>
          <w:spacing w:val="-9"/>
          <w:sz w:val="16"/>
        </w:rPr>
        <w:t> </w:t>
      </w:r>
      <w:r>
        <w:rPr>
          <w:sz w:val="16"/>
        </w:rPr>
        <w:t>J.</w:t>
      </w:r>
      <w:r>
        <w:rPr>
          <w:spacing w:val="-8"/>
          <w:sz w:val="16"/>
        </w:rPr>
        <w:t> </w:t>
      </w:r>
      <w:r>
        <w:rPr>
          <w:sz w:val="16"/>
        </w:rPr>
        <w:t>Chin.</w:t>
      </w:r>
      <w:r>
        <w:rPr>
          <w:spacing w:val="-5"/>
          <w:sz w:val="16"/>
        </w:rPr>
        <w:t> </w:t>
      </w:r>
      <w:r>
        <w:rPr>
          <w:sz w:val="16"/>
        </w:rPr>
        <w:t>Responses</w:t>
      </w:r>
      <w:r>
        <w:rPr>
          <w:spacing w:val="-5"/>
          <w:sz w:val="16"/>
        </w:rPr>
        <w:t> </w:t>
      </w:r>
      <w:r>
        <w:rPr>
          <w:sz w:val="16"/>
        </w:rPr>
        <w:t>of</w:t>
      </w:r>
      <w:r>
        <w:rPr>
          <w:spacing w:val="-8"/>
          <w:sz w:val="16"/>
        </w:rPr>
        <w:t> </w:t>
      </w:r>
      <w:r>
        <w:rPr>
          <w:sz w:val="16"/>
        </w:rPr>
        <w:t>guinea</w:t>
      </w:r>
      <w:r>
        <w:rPr>
          <w:spacing w:val="-7"/>
          <w:sz w:val="16"/>
        </w:rPr>
        <w:t> </w:t>
      </w:r>
      <w:r>
        <w:rPr>
          <w:sz w:val="16"/>
        </w:rPr>
        <w:t>pigs to</w:t>
      </w:r>
      <w:r>
        <w:rPr>
          <w:spacing w:val="-5"/>
          <w:sz w:val="16"/>
        </w:rPr>
        <w:t> </w:t>
      </w:r>
      <w:r>
        <w:rPr>
          <w:sz w:val="16"/>
        </w:rPr>
        <w:t>infections</w:t>
      </w:r>
      <w:r>
        <w:rPr>
          <w:spacing w:val="-6"/>
          <w:sz w:val="16"/>
        </w:rPr>
        <w:t> </w:t>
      </w:r>
      <w:r>
        <w:rPr>
          <w:sz w:val="16"/>
        </w:rPr>
        <w:t>with</w:t>
      </w:r>
      <w:r>
        <w:rPr>
          <w:spacing w:val="-5"/>
          <w:sz w:val="16"/>
        </w:rPr>
        <w:t> </w:t>
      </w:r>
      <w:r>
        <w:rPr>
          <w:sz w:val="16"/>
        </w:rPr>
        <w:t>strains</w:t>
      </w:r>
      <w:r>
        <w:rPr>
          <w:spacing w:val="-6"/>
          <w:sz w:val="16"/>
        </w:rPr>
        <w:t> </w:t>
      </w:r>
      <w:r>
        <w:rPr>
          <w:sz w:val="16"/>
        </w:rPr>
        <w:t>of</w:t>
      </w:r>
      <w:r>
        <w:rPr>
          <w:spacing w:val="-6"/>
          <w:sz w:val="16"/>
        </w:rPr>
        <w:t> </w:t>
      </w:r>
      <w:r>
        <w:rPr>
          <w:sz w:val="16"/>
        </w:rPr>
        <w:t>Venezuelan</w:t>
      </w:r>
      <w:r>
        <w:rPr>
          <w:spacing w:val="-6"/>
          <w:sz w:val="16"/>
        </w:rPr>
        <w:t> </w:t>
      </w:r>
      <w:r>
        <w:rPr>
          <w:sz w:val="16"/>
        </w:rPr>
        <w:t>encephalitis</w:t>
      </w:r>
      <w:r>
        <w:rPr>
          <w:spacing w:val="-6"/>
          <w:sz w:val="16"/>
        </w:rPr>
        <w:t> </w:t>
      </w:r>
      <w:r>
        <w:rPr>
          <w:sz w:val="16"/>
        </w:rPr>
        <w:t>virus, and</w:t>
      </w:r>
      <w:r>
        <w:rPr>
          <w:spacing w:val="-12"/>
          <w:sz w:val="16"/>
        </w:rPr>
        <w:t> </w:t>
      </w:r>
      <w:r>
        <w:rPr>
          <w:sz w:val="16"/>
        </w:rPr>
        <w:t>correlations</w:t>
      </w:r>
      <w:r>
        <w:rPr>
          <w:spacing w:val="-10"/>
          <w:sz w:val="16"/>
        </w:rPr>
        <w:t> </w:t>
      </w:r>
      <w:r>
        <w:rPr>
          <w:sz w:val="16"/>
        </w:rPr>
        <w:t>with</w:t>
      </w:r>
      <w:r>
        <w:rPr>
          <w:spacing w:val="-12"/>
          <w:sz w:val="16"/>
        </w:rPr>
        <w:t> </w:t>
      </w:r>
      <w:r>
        <w:rPr>
          <w:sz w:val="16"/>
        </w:rPr>
        <w:t>equine</w:t>
      </w:r>
      <w:r>
        <w:rPr>
          <w:spacing w:val="-13"/>
          <w:sz w:val="16"/>
        </w:rPr>
        <w:t> </w:t>
      </w:r>
      <w:r>
        <w:rPr>
          <w:sz w:val="16"/>
        </w:rPr>
        <w:t>virulence.Am</w:t>
      </w:r>
      <w:r>
        <w:rPr>
          <w:spacing w:val="-10"/>
          <w:sz w:val="16"/>
        </w:rPr>
        <w:t> </w:t>
      </w:r>
      <w:r>
        <w:rPr>
          <w:sz w:val="16"/>
        </w:rPr>
        <w:t>J</w:t>
      </w:r>
      <w:r>
        <w:rPr>
          <w:spacing w:val="-12"/>
          <w:sz w:val="16"/>
        </w:rPr>
        <w:t> </w:t>
      </w:r>
      <w:r>
        <w:rPr>
          <w:sz w:val="16"/>
        </w:rPr>
        <w:t>Trop</w:t>
      </w:r>
      <w:r>
        <w:rPr>
          <w:spacing w:val="-12"/>
          <w:sz w:val="16"/>
        </w:rPr>
        <w:t> </w:t>
      </w:r>
      <w:r>
        <w:rPr>
          <w:sz w:val="16"/>
        </w:rPr>
        <w:t>Med</w:t>
      </w:r>
      <w:r>
        <w:rPr>
          <w:spacing w:val="-12"/>
          <w:sz w:val="16"/>
        </w:rPr>
        <w:t> </w:t>
      </w:r>
      <w:r>
        <w:rPr>
          <w:sz w:val="16"/>
        </w:rPr>
        <w:t>Hyg 26:307-12,</w:t>
      </w:r>
      <w:r>
        <w:rPr>
          <w:spacing w:val="-6"/>
          <w:sz w:val="16"/>
        </w:rPr>
        <w:t> </w:t>
      </w:r>
      <w:r>
        <w:rPr>
          <w:sz w:val="16"/>
        </w:rPr>
        <w:t>1977.</w:t>
      </w:r>
    </w:p>
    <w:p>
      <w:pPr>
        <w:pStyle w:val="BodyText"/>
        <w:spacing w:before="4"/>
        <w:rPr>
          <w:sz w:val="14"/>
        </w:rPr>
      </w:pPr>
    </w:p>
    <w:p>
      <w:pPr>
        <w:pStyle w:val="ListParagraph"/>
        <w:numPr>
          <w:ilvl w:val="0"/>
          <w:numId w:val="21"/>
        </w:numPr>
        <w:tabs>
          <w:tab w:pos="402" w:val="left" w:leader="none"/>
        </w:tabs>
        <w:spacing w:line="276" w:lineRule="auto" w:before="0" w:after="0"/>
        <w:ind w:left="102" w:right="116" w:firstLine="0"/>
        <w:jc w:val="both"/>
        <w:rPr>
          <w:sz w:val="16"/>
        </w:rPr>
      </w:pPr>
      <w:r>
        <w:rPr>
          <w:sz w:val="16"/>
        </w:rPr>
        <w:t>Scherer, W. F., J. Chin, y J. V. Ordonez. Further observations</w:t>
      </w:r>
      <w:r>
        <w:rPr>
          <w:spacing w:val="-9"/>
          <w:sz w:val="16"/>
        </w:rPr>
        <w:t> </w:t>
      </w:r>
      <w:r>
        <w:rPr>
          <w:sz w:val="16"/>
        </w:rPr>
        <w:t>on</w:t>
      </w:r>
      <w:r>
        <w:rPr>
          <w:spacing w:val="-10"/>
          <w:sz w:val="16"/>
        </w:rPr>
        <w:t> </w:t>
      </w:r>
      <w:r>
        <w:rPr>
          <w:sz w:val="16"/>
        </w:rPr>
        <w:t>infections</w:t>
      </w:r>
      <w:r>
        <w:rPr>
          <w:spacing w:val="-11"/>
          <w:sz w:val="16"/>
        </w:rPr>
        <w:t> </w:t>
      </w:r>
      <w:r>
        <w:rPr>
          <w:sz w:val="16"/>
        </w:rPr>
        <w:t>of</w:t>
      </w:r>
      <w:r>
        <w:rPr>
          <w:spacing w:val="-9"/>
          <w:sz w:val="16"/>
        </w:rPr>
        <w:t> </w:t>
      </w:r>
      <w:r>
        <w:rPr>
          <w:sz w:val="16"/>
        </w:rPr>
        <w:t>guinea</w:t>
      </w:r>
      <w:r>
        <w:rPr>
          <w:spacing w:val="-10"/>
          <w:sz w:val="16"/>
        </w:rPr>
        <w:t> </w:t>
      </w:r>
      <w:r>
        <w:rPr>
          <w:sz w:val="16"/>
        </w:rPr>
        <w:t>pigs</w:t>
      </w:r>
      <w:r>
        <w:rPr>
          <w:spacing w:val="-9"/>
          <w:sz w:val="16"/>
        </w:rPr>
        <w:t> </w:t>
      </w:r>
      <w:r>
        <w:rPr>
          <w:sz w:val="16"/>
        </w:rPr>
        <w:t>with</w:t>
      </w:r>
      <w:r>
        <w:rPr>
          <w:spacing w:val="-10"/>
          <w:sz w:val="16"/>
        </w:rPr>
        <w:t> </w:t>
      </w:r>
      <w:r>
        <w:rPr>
          <w:sz w:val="16"/>
        </w:rPr>
        <w:t>Venezuelan encephalitis virus strains. Am J Trop Med Hyg. 28:725- 8,1979.</w:t>
      </w:r>
    </w:p>
    <w:p>
      <w:pPr>
        <w:pStyle w:val="BodyText"/>
        <w:spacing w:before="3"/>
        <w:rPr>
          <w:sz w:val="14"/>
        </w:rPr>
      </w:pPr>
    </w:p>
    <w:p>
      <w:pPr>
        <w:pStyle w:val="ListParagraph"/>
        <w:numPr>
          <w:ilvl w:val="0"/>
          <w:numId w:val="21"/>
        </w:numPr>
        <w:tabs>
          <w:tab w:pos="397" w:val="left" w:leader="none"/>
        </w:tabs>
        <w:spacing w:line="273" w:lineRule="auto" w:before="0" w:after="0"/>
        <w:ind w:left="102" w:right="118" w:firstLine="0"/>
        <w:jc w:val="both"/>
        <w:rPr>
          <w:sz w:val="16"/>
        </w:rPr>
      </w:pPr>
      <w:r>
        <w:rPr>
          <w:sz w:val="16"/>
        </w:rPr>
        <w:t>Oberste, M.S., Fraire, M., Navarro, R., Zepeda, C., Zarate, M.L., Ludwig, G.V.: Association of Venezuelan equine encephalitis virus subtype IE with two equine epizootics in Mexico. Am J Trop Med Hyg.59:100–107, 1998.</w:t>
      </w:r>
    </w:p>
    <w:p>
      <w:pPr>
        <w:pStyle w:val="BodyText"/>
        <w:spacing w:before="4"/>
        <w:rPr>
          <w:sz w:val="14"/>
        </w:rPr>
      </w:pPr>
    </w:p>
    <w:p>
      <w:pPr>
        <w:pStyle w:val="ListParagraph"/>
        <w:numPr>
          <w:ilvl w:val="0"/>
          <w:numId w:val="21"/>
        </w:numPr>
        <w:tabs>
          <w:tab w:pos="424" w:val="left" w:leader="none"/>
        </w:tabs>
        <w:spacing w:line="276" w:lineRule="auto" w:before="0" w:after="0"/>
        <w:ind w:left="102" w:right="116" w:firstLine="0"/>
        <w:jc w:val="both"/>
        <w:rPr>
          <w:sz w:val="16"/>
        </w:rPr>
      </w:pPr>
      <w:r>
        <w:rPr>
          <w:sz w:val="16"/>
        </w:rPr>
        <w:t>Oberste, M.S., Schmura, S.M., Weaver, S.C., Smith, J.F.: Geographic distribution of Venezuelan equine encephalitis virus subtype IE genotypes in Central America and Mexico. Am J Trop Med Hyg. 60:630–634, 1999.</w:t>
      </w:r>
    </w:p>
    <w:p>
      <w:pPr>
        <w:spacing w:after="0" w:line="276" w:lineRule="auto"/>
        <w:jc w:val="both"/>
        <w:rPr>
          <w:sz w:val="16"/>
        </w:rPr>
        <w:sectPr>
          <w:pgSz w:w="12240" w:h="15840"/>
          <w:pgMar w:header="0" w:footer="573" w:top="1360" w:bottom="760" w:left="1600" w:right="1580"/>
          <w:cols w:num="2" w:equalWidth="0">
            <w:col w:w="4172" w:space="600"/>
            <w:col w:w="4288"/>
          </w:cols>
        </w:sectPr>
      </w:pPr>
    </w:p>
    <w:p>
      <w:pPr>
        <w:pStyle w:val="ListParagraph"/>
        <w:numPr>
          <w:ilvl w:val="0"/>
          <w:numId w:val="21"/>
        </w:numPr>
        <w:tabs>
          <w:tab w:pos="381" w:val="left" w:leader="none"/>
        </w:tabs>
        <w:spacing w:line="276" w:lineRule="auto" w:before="54" w:after="0"/>
        <w:ind w:left="102" w:right="1" w:firstLine="0"/>
        <w:jc w:val="both"/>
        <w:rPr>
          <w:sz w:val="16"/>
        </w:rPr>
      </w:pPr>
      <w:r>
        <w:rPr>
          <w:sz w:val="16"/>
        </w:rPr>
        <w:t>Powers, A. M., A. C. Brault, R. M. Kinney, and S. C. Weaver. The use of chimeric Venezuelan equine encephalitis viruses as an approach for the molecular identification of natural virulence determinants. J Virol 74:4258-63,</w:t>
      </w:r>
      <w:r>
        <w:rPr>
          <w:spacing w:val="-6"/>
          <w:sz w:val="16"/>
        </w:rPr>
        <w:t> </w:t>
      </w:r>
      <w:r>
        <w:rPr>
          <w:sz w:val="16"/>
        </w:rPr>
        <w:t>2000.</w:t>
      </w:r>
    </w:p>
    <w:p>
      <w:pPr>
        <w:pStyle w:val="BodyText"/>
        <w:spacing w:before="2"/>
        <w:rPr>
          <w:sz w:val="14"/>
        </w:rPr>
      </w:pPr>
    </w:p>
    <w:p>
      <w:pPr>
        <w:spacing w:line="276" w:lineRule="auto" w:before="0"/>
        <w:ind w:left="102" w:right="0" w:firstLine="0"/>
        <w:jc w:val="both"/>
        <w:rPr>
          <w:sz w:val="16"/>
        </w:rPr>
      </w:pPr>
      <w:r>
        <w:rPr>
          <w:sz w:val="16"/>
        </w:rPr>
        <w:t>98 Greene, I. P., S. Paessler, M. Anishchenko, D. R. Smith, A. C. Brault, I.Frolov, and S. C. Weaver. Venezuelan equine encephalitis virus in the guinea pig model: evidence for epizootic virulence determinants outside the E2 envelope glycoprotein gene. Am J Trop Med Hyg 72:330-338, 2005.</w:t>
      </w:r>
    </w:p>
    <w:p>
      <w:pPr>
        <w:pStyle w:val="BodyText"/>
        <w:spacing w:before="2"/>
        <w:rPr>
          <w:sz w:val="14"/>
        </w:rPr>
      </w:pPr>
    </w:p>
    <w:p>
      <w:pPr>
        <w:pStyle w:val="ListParagraph"/>
        <w:numPr>
          <w:ilvl w:val="0"/>
          <w:numId w:val="22"/>
        </w:numPr>
        <w:tabs>
          <w:tab w:pos="433" w:val="left" w:leader="none"/>
        </w:tabs>
        <w:spacing w:line="276" w:lineRule="auto" w:before="0" w:after="0"/>
        <w:ind w:left="102" w:right="1" w:firstLine="0"/>
        <w:jc w:val="both"/>
        <w:rPr>
          <w:sz w:val="16"/>
        </w:rPr>
      </w:pPr>
      <w:r>
        <w:rPr>
          <w:sz w:val="16"/>
        </w:rPr>
        <w:t>Anishchenko, M., R. A. Bowen, S. Paessler, L. Austgen, I. P. Greene, and S.C. Weaver.Venezuelan encephalitis emergence mediated by a phylogenetically predicted viral mutation. Proc Natl Acad Sci U S A103:4994-9,</w:t>
      </w:r>
      <w:r>
        <w:rPr>
          <w:spacing w:val="-6"/>
          <w:sz w:val="16"/>
        </w:rPr>
        <w:t> </w:t>
      </w:r>
      <w:r>
        <w:rPr>
          <w:sz w:val="16"/>
        </w:rPr>
        <w:t>2006.</w:t>
      </w:r>
    </w:p>
    <w:p>
      <w:pPr>
        <w:pStyle w:val="BodyText"/>
        <w:spacing w:before="2"/>
        <w:rPr>
          <w:sz w:val="14"/>
        </w:rPr>
      </w:pPr>
    </w:p>
    <w:p>
      <w:pPr>
        <w:pStyle w:val="ListParagraph"/>
        <w:numPr>
          <w:ilvl w:val="0"/>
          <w:numId w:val="22"/>
        </w:numPr>
        <w:tabs>
          <w:tab w:pos="522" w:val="left" w:leader="none"/>
        </w:tabs>
        <w:spacing w:line="276" w:lineRule="auto" w:before="0" w:after="0"/>
        <w:ind w:left="102" w:right="1" w:firstLine="0"/>
        <w:jc w:val="both"/>
        <w:rPr>
          <w:sz w:val="16"/>
        </w:rPr>
      </w:pPr>
      <w:r>
        <w:rPr>
          <w:sz w:val="16"/>
        </w:rPr>
        <w:t>Kramer, L. D. y W. F. Scherer. Vector competence of</w:t>
      </w:r>
      <w:r>
        <w:rPr>
          <w:spacing w:val="-13"/>
          <w:sz w:val="16"/>
        </w:rPr>
        <w:t> </w:t>
      </w:r>
      <w:r>
        <w:rPr>
          <w:sz w:val="16"/>
        </w:rPr>
        <w:t>mosquitoes</w:t>
      </w:r>
      <w:r>
        <w:rPr>
          <w:spacing w:val="-12"/>
          <w:sz w:val="16"/>
        </w:rPr>
        <w:t> </w:t>
      </w:r>
      <w:r>
        <w:rPr>
          <w:sz w:val="16"/>
        </w:rPr>
        <w:t>as</w:t>
      </w:r>
      <w:r>
        <w:rPr>
          <w:spacing w:val="-12"/>
          <w:sz w:val="16"/>
        </w:rPr>
        <w:t> </w:t>
      </w:r>
      <w:r>
        <w:rPr>
          <w:sz w:val="16"/>
        </w:rPr>
        <w:t>a</w:t>
      </w:r>
      <w:r>
        <w:rPr>
          <w:spacing w:val="-14"/>
          <w:sz w:val="16"/>
        </w:rPr>
        <w:t> </w:t>
      </w:r>
      <w:r>
        <w:rPr>
          <w:sz w:val="16"/>
        </w:rPr>
        <w:t>marker</w:t>
      </w:r>
      <w:r>
        <w:rPr>
          <w:spacing w:val="-14"/>
          <w:sz w:val="16"/>
        </w:rPr>
        <w:t> </w:t>
      </w:r>
      <w:r>
        <w:rPr>
          <w:sz w:val="16"/>
        </w:rPr>
        <w:t>to</w:t>
      </w:r>
      <w:r>
        <w:rPr>
          <w:spacing w:val="-12"/>
          <w:sz w:val="16"/>
        </w:rPr>
        <w:t> </w:t>
      </w:r>
      <w:r>
        <w:rPr>
          <w:sz w:val="16"/>
        </w:rPr>
        <w:t>distinguish</w:t>
      </w:r>
      <w:r>
        <w:rPr>
          <w:spacing w:val="-12"/>
          <w:sz w:val="16"/>
        </w:rPr>
        <w:t> </w:t>
      </w:r>
      <w:r>
        <w:rPr>
          <w:sz w:val="16"/>
        </w:rPr>
        <w:t>Central</w:t>
      </w:r>
      <w:r>
        <w:rPr>
          <w:spacing w:val="-13"/>
          <w:sz w:val="16"/>
        </w:rPr>
        <w:t> </w:t>
      </w:r>
      <w:r>
        <w:rPr>
          <w:sz w:val="16"/>
        </w:rPr>
        <w:t>American and Mexican epizootic from enzootic strains of Venezuelan encephalitis virus. Am J Trop Med Hyg 25:336-46,</w:t>
      </w:r>
      <w:r>
        <w:rPr>
          <w:spacing w:val="-6"/>
          <w:sz w:val="16"/>
        </w:rPr>
        <w:t> </w:t>
      </w:r>
      <w:r>
        <w:rPr>
          <w:sz w:val="16"/>
        </w:rPr>
        <w:t>1976.</w:t>
      </w:r>
    </w:p>
    <w:p>
      <w:pPr>
        <w:pStyle w:val="BodyText"/>
        <w:rPr>
          <w:sz w:val="16"/>
        </w:rPr>
      </w:pPr>
    </w:p>
    <w:p>
      <w:pPr>
        <w:pStyle w:val="BodyText"/>
        <w:rPr>
          <w:sz w:val="16"/>
        </w:rPr>
      </w:pPr>
    </w:p>
    <w:p>
      <w:pPr>
        <w:pStyle w:val="BodyText"/>
        <w:spacing w:before="4"/>
        <w:rPr>
          <w:sz w:val="14"/>
        </w:rPr>
      </w:pPr>
    </w:p>
    <w:p>
      <w:pPr>
        <w:pStyle w:val="ListParagraph"/>
        <w:numPr>
          <w:ilvl w:val="0"/>
          <w:numId w:val="22"/>
        </w:numPr>
        <w:tabs>
          <w:tab w:pos="474" w:val="left" w:leader="none"/>
        </w:tabs>
        <w:spacing w:line="276" w:lineRule="auto" w:before="0" w:after="0"/>
        <w:ind w:left="102" w:right="0" w:firstLine="0"/>
        <w:jc w:val="both"/>
        <w:rPr>
          <w:sz w:val="16"/>
        </w:rPr>
      </w:pPr>
      <w:r>
        <w:rPr>
          <w:sz w:val="16"/>
        </w:rPr>
        <w:t>Brault, A. C., Powers, A.M., y S.C. Weaver.Vector infection determinants of Venezuelan equine encephalitis virus reside within the E2 envelope glycoprotein. J Virol 76:6387-6392, 2002102 Brault, A. C., A. M. Powers, D. Ortiz, J. G. Estrada-Franco, R. Navarro- Lopez, and S. C. Weaver. Venezuelan equine encephalitis emergence: Enhanced vector infection from a single amino acid substitution in the envelope glycoprotein. Proc Natl Acad Sci U S A 101:11344-9,</w:t>
      </w:r>
      <w:r>
        <w:rPr>
          <w:spacing w:val="-9"/>
          <w:sz w:val="16"/>
        </w:rPr>
        <w:t> </w:t>
      </w:r>
      <w:r>
        <w:rPr>
          <w:sz w:val="16"/>
        </w:rPr>
        <w:t>2004</w:t>
      </w:r>
    </w:p>
    <w:p>
      <w:pPr>
        <w:pStyle w:val="BodyText"/>
        <w:rPr>
          <w:sz w:val="16"/>
        </w:rPr>
      </w:pPr>
    </w:p>
    <w:p>
      <w:pPr>
        <w:pStyle w:val="BodyText"/>
        <w:rPr>
          <w:sz w:val="16"/>
        </w:rPr>
      </w:pPr>
    </w:p>
    <w:p>
      <w:pPr>
        <w:pStyle w:val="BodyText"/>
        <w:spacing w:before="4"/>
        <w:rPr>
          <w:sz w:val="14"/>
        </w:rPr>
      </w:pPr>
    </w:p>
    <w:p>
      <w:pPr>
        <w:pStyle w:val="ListParagraph"/>
        <w:numPr>
          <w:ilvl w:val="0"/>
          <w:numId w:val="23"/>
        </w:numPr>
        <w:tabs>
          <w:tab w:pos="462" w:val="left" w:leader="none"/>
        </w:tabs>
        <w:spacing w:line="240" w:lineRule="auto" w:before="0" w:after="0"/>
        <w:ind w:left="102" w:right="0" w:firstLine="0"/>
        <w:jc w:val="both"/>
        <w:rPr>
          <w:sz w:val="16"/>
        </w:rPr>
      </w:pPr>
      <w:r>
        <w:rPr>
          <w:sz w:val="16"/>
        </w:rPr>
        <w:t>Kinney, R. M., K. R. Tsuchiya, J. M. Sneider, and</w:t>
      </w:r>
      <w:r>
        <w:rPr>
          <w:spacing w:val="10"/>
          <w:sz w:val="16"/>
        </w:rPr>
        <w:t> </w:t>
      </w:r>
      <w:r>
        <w:rPr>
          <w:sz w:val="16"/>
        </w:rPr>
        <w:t>D.</w:t>
      </w:r>
    </w:p>
    <w:p>
      <w:pPr>
        <w:spacing w:line="276" w:lineRule="auto" w:before="27"/>
        <w:ind w:left="102" w:right="1" w:firstLine="0"/>
        <w:jc w:val="both"/>
        <w:rPr>
          <w:sz w:val="16"/>
        </w:rPr>
      </w:pPr>
      <w:r>
        <w:rPr>
          <w:sz w:val="16"/>
        </w:rPr>
        <w:t>W. Trent. Molecular evidence for the origin of the widespread Venezuelan equine encephalitis epizootic of 1969 to 1972. J Gen Virol 73 (Pt 12):3301-5, 1992.</w:t>
      </w:r>
    </w:p>
    <w:p>
      <w:pPr>
        <w:pStyle w:val="BodyText"/>
        <w:rPr>
          <w:sz w:val="14"/>
        </w:rPr>
      </w:pPr>
    </w:p>
    <w:p>
      <w:pPr>
        <w:pStyle w:val="ListParagraph"/>
        <w:numPr>
          <w:ilvl w:val="0"/>
          <w:numId w:val="23"/>
        </w:numPr>
        <w:tabs>
          <w:tab w:pos="594" w:val="left" w:leader="none"/>
        </w:tabs>
        <w:spacing w:line="276" w:lineRule="auto" w:before="0" w:after="0"/>
        <w:ind w:left="102" w:right="0" w:firstLine="0"/>
        <w:jc w:val="both"/>
        <w:rPr>
          <w:sz w:val="16"/>
        </w:rPr>
      </w:pPr>
      <w:r>
        <w:rPr>
          <w:sz w:val="16"/>
        </w:rPr>
        <w:t>Johnson, K. M., and D. H. Martin. Venezuelan equine encephalitis. Adv Vet Sci Comp Med 18:79-116, 1974.</w:t>
      </w:r>
    </w:p>
    <w:p>
      <w:pPr>
        <w:pStyle w:val="BodyText"/>
        <w:spacing w:before="2"/>
        <w:rPr>
          <w:sz w:val="14"/>
        </w:rPr>
      </w:pPr>
    </w:p>
    <w:p>
      <w:pPr>
        <w:pStyle w:val="ListParagraph"/>
        <w:numPr>
          <w:ilvl w:val="0"/>
          <w:numId w:val="23"/>
        </w:numPr>
        <w:tabs>
          <w:tab w:pos="498" w:val="left" w:leader="none"/>
        </w:tabs>
        <w:spacing w:line="240" w:lineRule="auto" w:before="0" w:after="0"/>
        <w:ind w:left="498" w:right="0" w:hanging="396"/>
        <w:jc w:val="both"/>
        <w:rPr>
          <w:sz w:val="16"/>
        </w:rPr>
      </w:pPr>
      <w:r>
        <w:rPr>
          <w:sz w:val="16"/>
        </w:rPr>
        <w:t>Walton,</w:t>
      </w:r>
      <w:r>
        <w:rPr>
          <w:spacing w:val="-5"/>
          <w:sz w:val="16"/>
        </w:rPr>
        <w:t> </w:t>
      </w:r>
      <w:r>
        <w:rPr>
          <w:sz w:val="16"/>
        </w:rPr>
        <w:t>T.</w:t>
      </w:r>
      <w:r>
        <w:rPr>
          <w:spacing w:val="-5"/>
          <w:sz w:val="16"/>
        </w:rPr>
        <w:t> </w:t>
      </w:r>
      <w:r>
        <w:rPr>
          <w:sz w:val="16"/>
        </w:rPr>
        <w:t>E.,</w:t>
      </w:r>
      <w:r>
        <w:rPr>
          <w:spacing w:val="-3"/>
          <w:sz w:val="16"/>
        </w:rPr>
        <w:t> </w:t>
      </w:r>
      <w:r>
        <w:rPr>
          <w:sz w:val="16"/>
        </w:rPr>
        <w:t>O.</w:t>
      </w:r>
      <w:r>
        <w:rPr>
          <w:spacing w:val="-3"/>
          <w:sz w:val="16"/>
        </w:rPr>
        <w:t> </w:t>
      </w:r>
      <w:r>
        <w:rPr>
          <w:sz w:val="16"/>
        </w:rPr>
        <w:t>Alvarez,</w:t>
      </w:r>
      <w:r>
        <w:rPr>
          <w:spacing w:val="-5"/>
          <w:sz w:val="16"/>
        </w:rPr>
        <w:t> </w:t>
      </w:r>
      <w:r>
        <w:rPr>
          <w:sz w:val="16"/>
        </w:rPr>
        <w:t>Jr.,</w:t>
      </w:r>
      <w:r>
        <w:rPr>
          <w:spacing w:val="-3"/>
          <w:sz w:val="16"/>
        </w:rPr>
        <w:t> </w:t>
      </w:r>
      <w:r>
        <w:rPr>
          <w:sz w:val="16"/>
        </w:rPr>
        <w:t>R.</w:t>
      </w:r>
      <w:r>
        <w:rPr>
          <w:spacing w:val="-3"/>
          <w:sz w:val="16"/>
        </w:rPr>
        <w:t> </w:t>
      </w:r>
      <w:r>
        <w:rPr>
          <w:sz w:val="16"/>
        </w:rPr>
        <w:t>M.</w:t>
      </w:r>
      <w:r>
        <w:rPr>
          <w:spacing w:val="-5"/>
          <w:sz w:val="16"/>
        </w:rPr>
        <w:t> </w:t>
      </w:r>
      <w:r>
        <w:rPr>
          <w:sz w:val="16"/>
        </w:rPr>
        <w:t>Buckwalter,</w:t>
      </w:r>
      <w:r>
        <w:rPr>
          <w:spacing w:val="-3"/>
          <w:sz w:val="16"/>
        </w:rPr>
        <w:t> </w:t>
      </w:r>
      <w:r>
        <w:rPr>
          <w:sz w:val="16"/>
        </w:rPr>
        <w:t>and</w:t>
      </w:r>
    </w:p>
    <w:p>
      <w:pPr>
        <w:spacing w:line="273" w:lineRule="auto" w:before="27"/>
        <w:ind w:left="102" w:right="0" w:firstLine="0"/>
        <w:jc w:val="both"/>
        <w:rPr>
          <w:sz w:val="16"/>
        </w:rPr>
      </w:pPr>
      <w:r>
        <w:rPr>
          <w:sz w:val="16"/>
        </w:rPr>
        <w:t>K. M. Johnson. Experimental infection of horses with enzootic and epizootic strains of Venezuelan equine encephalomyelitis virus. J Infect Dis 128:271-82, 1973.</w:t>
      </w:r>
    </w:p>
    <w:p>
      <w:pPr>
        <w:pStyle w:val="BodyText"/>
        <w:spacing w:before="4"/>
        <w:rPr>
          <w:sz w:val="14"/>
        </w:rPr>
      </w:pPr>
    </w:p>
    <w:p>
      <w:pPr>
        <w:pStyle w:val="ListParagraph"/>
        <w:numPr>
          <w:ilvl w:val="0"/>
          <w:numId w:val="23"/>
        </w:numPr>
        <w:tabs>
          <w:tab w:pos="484" w:val="left" w:leader="none"/>
        </w:tabs>
        <w:spacing w:line="273" w:lineRule="auto" w:before="0" w:after="0"/>
        <w:ind w:left="102" w:right="1" w:firstLine="0"/>
        <w:jc w:val="both"/>
        <w:rPr>
          <w:sz w:val="16"/>
        </w:rPr>
      </w:pPr>
      <w:r>
        <w:rPr>
          <w:sz w:val="16"/>
        </w:rPr>
        <w:t>Franck, P. T., and K. M. Johnson. An outbreak of Venezuelan encephalitis in man in the Panama Canal Zone. Am J Trop Med Hyg 19:860-5,</w:t>
      </w:r>
      <w:r>
        <w:rPr>
          <w:spacing w:val="-11"/>
          <w:sz w:val="16"/>
        </w:rPr>
        <w:t> </w:t>
      </w:r>
      <w:r>
        <w:rPr>
          <w:sz w:val="16"/>
        </w:rPr>
        <w:t>1970.</w:t>
      </w:r>
    </w:p>
    <w:p>
      <w:pPr>
        <w:pStyle w:val="BodyText"/>
        <w:spacing w:before="4"/>
        <w:rPr>
          <w:sz w:val="14"/>
        </w:rPr>
      </w:pPr>
    </w:p>
    <w:p>
      <w:pPr>
        <w:pStyle w:val="ListParagraph"/>
        <w:numPr>
          <w:ilvl w:val="0"/>
          <w:numId w:val="23"/>
        </w:numPr>
        <w:tabs>
          <w:tab w:pos="546" w:val="left" w:leader="none"/>
        </w:tabs>
        <w:spacing w:line="276" w:lineRule="auto" w:before="0" w:after="0"/>
        <w:ind w:left="102" w:right="1" w:firstLine="0"/>
        <w:jc w:val="both"/>
        <w:rPr>
          <w:sz w:val="16"/>
        </w:rPr>
      </w:pPr>
      <w:r>
        <w:rPr>
          <w:sz w:val="16"/>
        </w:rPr>
        <w:t>Johnson, K. M., A. Shelokov, P. H. Peralta, G. J. Dammin, and N. A. Young. Recovery of Venezuelan equine</w:t>
      </w:r>
      <w:r>
        <w:rPr>
          <w:spacing w:val="-5"/>
          <w:sz w:val="16"/>
        </w:rPr>
        <w:t> </w:t>
      </w:r>
      <w:r>
        <w:rPr>
          <w:sz w:val="16"/>
        </w:rPr>
        <w:t>encephalomyelitis</w:t>
      </w:r>
      <w:r>
        <w:rPr>
          <w:spacing w:val="-5"/>
          <w:sz w:val="16"/>
        </w:rPr>
        <w:t> </w:t>
      </w:r>
      <w:r>
        <w:rPr>
          <w:sz w:val="16"/>
        </w:rPr>
        <w:t>virus</w:t>
      </w:r>
      <w:r>
        <w:rPr>
          <w:spacing w:val="-3"/>
          <w:sz w:val="16"/>
        </w:rPr>
        <w:t> </w:t>
      </w:r>
      <w:r>
        <w:rPr>
          <w:sz w:val="16"/>
        </w:rPr>
        <w:t>in</w:t>
      </w:r>
      <w:r>
        <w:rPr>
          <w:spacing w:val="-9"/>
          <w:sz w:val="16"/>
        </w:rPr>
        <w:t> </w:t>
      </w:r>
      <w:r>
        <w:rPr>
          <w:sz w:val="16"/>
        </w:rPr>
        <w:t>Panama.</w:t>
      </w:r>
      <w:r>
        <w:rPr>
          <w:spacing w:val="-5"/>
          <w:sz w:val="16"/>
        </w:rPr>
        <w:t> </w:t>
      </w:r>
      <w:r>
        <w:rPr>
          <w:sz w:val="16"/>
        </w:rPr>
        <w:t>A</w:t>
      </w:r>
      <w:r>
        <w:rPr>
          <w:spacing w:val="-5"/>
          <w:sz w:val="16"/>
        </w:rPr>
        <w:t> </w:t>
      </w:r>
      <w:r>
        <w:rPr>
          <w:sz w:val="16"/>
        </w:rPr>
        <w:t>fatal</w:t>
      </w:r>
      <w:r>
        <w:rPr>
          <w:spacing w:val="-4"/>
          <w:sz w:val="16"/>
        </w:rPr>
        <w:t> </w:t>
      </w:r>
      <w:r>
        <w:rPr>
          <w:sz w:val="16"/>
        </w:rPr>
        <w:t>case</w:t>
      </w:r>
      <w:r>
        <w:rPr>
          <w:spacing w:val="-7"/>
          <w:sz w:val="16"/>
        </w:rPr>
        <w:t> </w:t>
      </w:r>
      <w:r>
        <w:rPr>
          <w:sz w:val="16"/>
        </w:rPr>
        <w:t>in man. Am J Trop Med Hyg 17:432-40,</w:t>
      </w:r>
      <w:r>
        <w:rPr>
          <w:spacing w:val="-13"/>
          <w:sz w:val="16"/>
        </w:rPr>
        <w:t> </w:t>
      </w:r>
      <w:r>
        <w:rPr>
          <w:sz w:val="16"/>
        </w:rPr>
        <w:t>1968.</w:t>
      </w:r>
    </w:p>
    <w:p>
      <w:pPr>
        <w:pStyle w:val="BodyText"/>
        <w:rPr>
          <w:sz w:val="14"/>
        </w:rPr>
      </w:pPr>
    </w:p>
    <w:p>
      <w:pPr>
        <w:pStyle w:val="ListParagraph"/>
        <w:numPr>
          <w:ilvl w:val="0"/>
          <w:numId w:val="23"/>
        </w:numPr>
        <w:tabs>
          <w:tab w:pos="510" w:val="left" w:leader="none"/>
        </w:tabs>
        <w:spacing w:line="278" w:lineRule="auto" w:before="0" w:after="0"/>
        <w:ind w:left="102" w:right="0" w:firstLine="0"/>
        <w:jc w:val="both"/>
        <w:rPr>
          <w:sz w:val="16"/>
        </w:rPr>
      </w:pPr>
      <w:r>
        <w:rPr>
          <w:sz w:val="16"/>
        </w:rPr>
        <w:t>Zarate, M. L., W. F. Scherer, and R. W. Dickerman. 1970. Venezuelan equine encephalitis virus as a </w:t>
      </w:r>
      <w:r>
        <w:rPr>
          <w:spacing w:val="35"/>
          <w:sz w:val="16"/>
        </w:rPr>
        <w:t> </w:t>
      </w:r>
      <w:r>
        <w:rPr>
          <w:sz w:val="16"/>
        </w:rPr>
        <w:t>human</w:t>
      </w:r>
    </w:p>
    <w:p>
      <w:pPr>
        <w:spacing w:line="276" w:lineRule="auto" w:before="54"/>
        <w:ind w:left="102" w:right="117" w:firstLine="0"/>
        <w:jc w:val="both"/>
        <w:rPr>
          <w:sz w:val="16"/>
        </w:rPr>
      </w:pPr>
      <w:r>
        <w:rPr/>
        <w:br w:type="column"/>
      </w:r>
      <w:r>
        <w:rPr>
          <w:sz w:val="16"/>
        </w:rPr>
        <w:t>infection</w:t>
      </w:r>
      <w:r>
        <w:rPr>
          <w:spacing w:val="-10"/>
          <w:sz w:val="16"/>
        </w:rPr>
        <w:t> </w:t>
      </w:r>
      <w:r>
        <w:rPr>
          <w:sz w:val="16"/>
        </w:rPr>
        <w:t>determinant.</w:t>
      </w:r>
      <w:r>
        <w:rPr>
          <w:spacing w:val="-9"/>
          <w:sz w:val="16"/>
        </w:rPr>
        <w:t> </w:t>
      </w:r>
      <w:r>
        <w:rPr>
          <w:sz w:val="16"/>
        </w:rPr>
        <w:t>Description</w:t>
      </w:r>
      <w:r>
        <w:rPr>
          <w:spacing w:val="-13"/>
          <w:sz w:val="16"/>
        </w:rPr>
        <w:t> </w:t>
      </w:r>
      <w:r>
        <w:rPr>
          <w:sz w:val="16"/>
        </w:rPr>
        <w:t>of</w:t>
      </w:r>
      <w:r>
        <w:rPr>
          <w:spacing w:val="-9"/>
          <w:sz w:val="16"/>
        </w:rPr>
        <w:t> </w:t>
      </w:r>
      <w:r>
        <w:rPr>
          <w:sz w:val="16"/>
        </w:rPr>
        <w:t>a</w:t>
      </w:r>
      <w:r>
        <w:rPr>
          <w:spacing w:val="-13"/>
          <w:sz w:val="16"/>
        </w:rPr>
        <w:t> </w:t>
      </w:r>
      <w:r>
        <w:rPr>
          <w:sz w:val="16"/>
        </w:rPr>
        <w:t>fatal</w:t>
      </w:r>
      <w:r>
        <w:rPr>
          <w:spacing w:val="-12"/>
          <w:sz w:val="16"/>
        </w:rPr>
        <w:t> </w:t>
      </w:r>
      <w:r>
        <w:rPr>
          <w:sz w:val="16"/>
        </w:rPr>
        <w:t>case</w:t>
      </w:r>
      <w:r>
        <w:rPr>
          <w:spacing w:val="-13"/>
          <w:sz w:val="16"/>
        </w:rPr>
        <w:t> </w:t>
      </w:r>
      <w:r>
        <w:rPr>
          <w:sz w:val="16"/>
        </w:rPr>
        <w:t>occurring in Jaltipan, Ver., in 1965]. Rev Invest Salud Publica 30:296-302,</w:t>
      </w:r>
      <w:r>
        <w:rPr>
          <w:spacing w:val="-6"/>
          <w:sz w:val="16"/>
        </w:rPr>
        <w:t> </w:t>
      </w:r>
      <w:r>
        <w:rPr>
          <w:sz w:val="16"/>
        </w:rPr>
        <w:t>1970</w:t>
      </w:r>
    </w:p>
    <w:p>
      <w:pPr>
        <w:pStyle w:val="BodyText"/>
        <w:spacing w:before="2"/>
        <w:rPr>
          <w:sz w:val="14"/>
        </w:rPr>
      </w:pPr>
    </w:p>
    <w:p>
      <w:pPr>
        <w:pStyle w:val="ListParagraph"/>
        <w:numPr>
          <w:ilvl w:val="0"/>
          <w:numId w:val="23"/>
        </w:numPr>
        <w:tabs>
          <w:tab w:pos="451" w:val="left" w:leader="none"/>
        </w:tabs>
        <w:spacing w:line="271" w:lineRule="auto" w:before="0" w:after="0"/>
        <w:ind w:left="102" w:right="114" w:firstLine="0"/>
        <w:jc w:val="both"/>
        <w:rPr>
          <w:sz w:val="16"/>
        </w:rPr>
      </w:pPr>
      <w:r>
        <w:rPr>
          <w:sz w:val="16"/>
        </w:rPr>
        <w:t>Johnson,</w:t>
      </w:r>
      <w:r>
        <w:rPr>
          <w:spacing w:val="-11"/>
          <w:sz w:val="16"/>
        </w:rPr>
        <w:t> </w:t>
      </w:r>
      <w:r>
        <w:rPr>
          <w:sz w:val="16"/>
        </w:rPr>
        <w:t>K.</w:t>
      </w:r>
      <w:r>
        <w:rPr>
          <w:spacing w:val="-9"/>
          <w:sz w:val="16"/>
        </w:rPr>
        <w:t> </w:t>
      </w:r>
      <w:r>
        <w:rPr>
          <w:sz w:val="16"/>
        </w:rPr>
        <w:t>M.,</w:t>
      </w:r>
      <w:r>
        <w:rPr>
          <w:spacing w:val="-9"/>
          <w:sz w:val="16"/>
        </w:rPr>
        <w:t> </w:t>
      </w:r>
      <w:r>
        <w:rPr>
          <w:sz w:val="16"/>
        </w:rPr>
        <w:t>and</w:t>
      </w:r>
      <w:r>
        <w:rPr>
          <w:spacing w:val="-11"/>
          <w:sz w:val="16"/>
        </w:rPr>
        <w:t> </w:t>
      </w:r>
      <w:r>
        <w:rPr>
          <w:sz w:val="16"/>
        </w:rPr>
        <w:t>D.</w:t>
      </w:r>
      <w:r>
        <w:rPr>
          <w:spacing w:val="-9"/>
          <w:sz w:val="16"/>
        </w:rPr>
        <w:t> </w:t>
      </w:r>
      <w:r>
        <w:rPr>
          <w:sz w:val="16"/>
        </w:rPr>
        <w:t>H.</w:t>
      </w:r>
      <w:r>
        <w:rPr>
          <w:spacing w:val="-9"/>
          <w:sz w:val="16"/>
        </w:rPr>
        <w:t> </w:t>
      </w:r>
      <w:r>
        <w:rPr>
          <w:sz w:val="16"/>
        </w:rPr>
        <w:t>Martin.</w:t>
      </w:r>
      <w:r>
        <w:rPr>
          <w:spacing w:val="-8"/>
          <w:sz w:val="16"/>
        </w:rPr>
        <w:t> </w:t>
      </w:r>
      <w:r>
        <w:rPr>
          <w:sz w:val="16"/>
        </w:rPr>
        <w:t>Venezuelan</w:t>
      </w:r>
      <w:r>
        <w:rPr>
          <w:spacing w:val="-8"/>
          <w:sz w:val="16"/>
        </w:rPr>
        <w:t> </w:t>
      </w:r>
      <w:r>
        <w:rPr>
          <w:sz w:val="16"/>
        </w:rPr>
        <w:t>equine encephalitis. Adv Vet Sci Comp Med 18:79-116,</w:t>
      </w:r>
      <w:r>
        <w:rPr>
          <w:spacing w:val="-20"/>
          <w:sz w:val="16"/>
        </w:rPr>
        <w:t> </w:t>
      </w:r>
      <w:r>
        <w:rPr>
          <w:sz w:val="16"/>
        </w:rPr>
        <w:t>1974.</w:t>
      </w:r>
    </w:p>
    <w:p>
      <w:pPr>
        <w:pStyle w:val="BodyText"/>
        <w:spacing w:before="6"/>
        <w:rPr>
          <w:sz w:val="14"/>
        </w:rPr>
      </w:pPr>
    </w:p>
    <w:p>
      <w:pPr>
        <w:pStyle w:val="ListParagraph"/>
        <w:numPr>
          <w:ilvl w:val="0"/>
          <w:numId w:val="23"/>
        </w:numPr>
        <w:tabs>
          <w:tab w:pos="523" w:val="left" w:leader="none"/>
        </w:tabs>
        <w:spacing w:line="240" w:lineRule="auto" w:before="0" w:after="0"/>
        <w:ind w:left="522" w:right="0" w:hanging="420"/>
        <w:jc w:val="both"/>
        <w:rPr>
          <w:sz w:val="16"/>
        </w:rPr>
      </w:pPr>
      <w:r>
        <w:rPr>
          <w:sz w:val="16"/>
        </w:rPr>
        <w:t>Wang, E., R. A. Bowen, G. Medina, A. M. </w:t>
      </w:r>
      <w:r>
        <w:rPr>
          <w:spacing w:val="36"/>
          <w:sz w:val="16"/>
        </w:rPr>
        <w:t> </w:t>
      </w:r>
      <w:r>
        <w:rPr>
          <w:sz w:val="16"/>
        </w:rPr>
        <w:t>Powers,</w:t>
      </w:r>
    </w:p>
    <w:p>
      <w:pPr>
        <w:spacing w:line="273" w:lineRule="auto" w:before="27"/>
        <w:ind w:left="102" w:right="114" w:firstLine="0"/>
        <w:jc w:val="both"/>
        <w:rPr>
          <w:sz w:val="16"/>
        </w:rPr>
      </w:pPr>
      <w:r>
        <w:rPr>
          <w:sz w:val="16"/>
        </w:rPr>
        <w:t>W. Kang, L. M. Chandler,R. E. Shope, and S. C. Weaver.Virulence and viremia characteristics of 1992 epizootic subtype IC Venezuelan equine encephalitis viruses and closely related enzootic subtype ID strains. Am J Trop Med Hyg 65:64-9, 2001.</w:t>
      </w:r>
    </w:p>
    <w:p>
      <w:pPr>
        <w:pStyle w:val="BodyText"/>
        <w:spacing w:before="4"/>
        <w:rPr>
          <w:sz w:val="14"/>
        </w:rPr>
      </w:pPr>
    </w:p>
    <w:p>
      <w:pPr>
        <w:pStyle w:val="ListParagraph"/>
        <w:numPr>
          <w:ilvl w:val="0"/>
          <w:numId w:val="23"/>
        </w:numPr>
        <w:tabs>
          <w:tab w:pos="494" w:val="left" w:leader="none"/>
        </w:tabs>
        <w:spacing w:line="276" w:lineRule="auto" w:before="0" w:after="0"/>
        <w:ind w:left="102" w:right="117" w:firstLine="0"/>
        <w:jc w:val="both"/>
        <w:rPr>
          <w:sz w:val="16"/>
        </w:rPr>
      </w:pPr>
      <w:r>
        <w:rPr>
          <w:sz w:val="16"/>
        </w:rPr>
        <w:t>Monte, S., F. Castro, N. J. Bonilla, A. Gaskin de Urdaneta, and G. M. Hutchins. 1985. The systemic pathology of Venezuelan equine encephalitis virus infection in humans. Am J Trop Med Hyg 34:194-202, 1985.</w:t>
      </w:r>
    </w:p>
    <w:p>
      <w:pPr>
        <w:pStyle w:val="BodyText"/>
        <w:spacing w:before="2"/>
        <w:rPr>
          <w:sz w:val="14"/>
        </w:rPr>
      </w:pPr>
    </w:p>
    <w:p>
      <w:pPr>
        <w:pStyle w:val="ListParagraph"/>
        <w:numPr>
          <w:ilvl w:val="0"/>
          <w:numId w:val="23"/>
        </w:numPr>
        <w:tabs>
          <w:tab w:pos="451" w:val="left" w:leader="none"/>
        </w:tabs>
        <w:spacing w:line="240" w:lineRule="auto" w:before="0" w:after="0"/>
        <w:ind w:left="450" w:right="0" w:hanging="348"/>
        <w:jc w:val="both"/>
        <w:rPr>
          <w:sz w:val="16"/>
        </w:rPr>
      </w:pPr>
      <w:r>
        <w:rPr>
          <w:sz w:val="16"/>
        </w:rPr>
        <w:t>Gleiser,</w:t>
      </w:r>
      <w:r>
        <w:rPr>
          <w:spacing w:val="-10"/>
          <w:sz w:val="16"/>
        </w:rPr>
        <w:t> </w:t>
      </w:r>
      <w:r>
        <w:rPr>
          <w:sz w:val="16"/>
        </w:rPr>
        <w:t>C.</w:t>
      </w:r>
      <w:r>
        <w:rPr>
          <w:spacing w:val="-13"/>
          <w:sz w:val="16"/>
        </w:rPr>
        <w:t> </w:t>
      </w:r>
      <w:r>
        <w:rPr>
          <w:sz w:val="16"/>
        </w:rPr>
        <w:t>A.,</w:t>
      </w:r>
      <w:r>
        <w:rPr>
          <w:spacing w:val="-14"/>
          <w:sz w:val="16"/>
        </w:rPr>
        <w:t> </w:t>
      </w:r>
      <w:r>
        <w:rPr>
          <w:sz w:val="16"/>
        </w:rPr>
        <w:t>W.</w:t>
      </w:r>
      <w:r>
        <w:rPr>
          <w:spacing w:val="-12"/>
          <w:sz w:val="16"/>
        </w:rPr>
        <w:t> </w:t>
      </w:r>
      <w:r>
        <w:rPr>
          <w:sz w:val="16"/>
        </w:rPr>
        <w:t>S.</w:t>
      </w:r>
      <w:r>
        <w:rPr>
          <w:spacing w:val="-10"/>
          <w:sz w:val="16"/>
        </w:rPr>
        <w:t> </w:t>
      </w:r>
      <w:r>
        <w:rPr>
          <w:sz w:val="16"/>
        </w:rPr>
        <w:t>Gochenour,</w:t>
      </w:r>
      <w:r>
        <w:rPr>
          <w:spacing w:val="-10"/>
          <w:sz w:val="16"/>
        </w:rPr>
        <w:t> </w:t>
      </w:r>
      <w:r>
        <w:rPr>
          <w:sz w:val="16"/>
        </w:rPr>
        <w:t>Jr.,</w:t>
      </w:r>
      <w:r>
        <w:rPr>
          <w:spacing w:val="-10"/>
          <w:sz w:val="16"/>
        </w:rPr>
        <w:t> </w:t>
      </w:r>
      <w:r>
        <w:rPr>
          <w:sz w:val="16"/>
        </w:rPr>
        <w:t>T.</w:t>
      </w:r>
      <w:r>
        <w:rPr>
          <w:spacing w:val="-10"/>
          <w:sz w:val="16"/>
        </w:rPr>
        <w:t> </w:t>
      </w:r>
      <w:r>
        <w:rPr>
          <w:sz w:val="16"/>
        </w:rPr>
        <w:t>O.</w:t>
      </w:r>
      <w:r>
        <w:rPr>
          <w:spacing w:val="-13"/>
          <w:sz w:val="16"/>
        </w:rPr>
        <w:t> </w:t>
      </w:r>
      <w:r>
        <w:rPr>
          <w:sz w:val="16"/>
        </w:rPr>
        <w:t>Berge,</w:t>
      </w:r>
      <w:r>
        <w:rPr>
          <w:spacing w:val="-10"/>
          <w:sz w:val="16"/>
        </w:rPr>
        <w:t> </w:t>
      </w:r>
      <w:r>
        <w:rPr>
          <w:sz w:val="16"/>
        </w:rPr>
        <w:t>and</w:t>
      </w:r>
    </w:p>
    <w:p>
      <w:pPr>
        <w:spacing w:line="273" w:lineRule="auto" w:before="27"/>
        <w:ind w:left="102" w:right="117" w:firstLine="0"/>
        <w:jc w:val="both"/>
        <w:rPr>
          <w:sz w:val="16"/>
        </w:rPr>
      </w:pPr>
      <w:r>
        <w:rPr>
          <w:sz w:val="16"/>
        </w:rPr>
        <w:t>W. D. Tigertt. The comparative pathology of experimental Venezuelan</w:t>
      </w:r>
      <w:r>
        <w:rPr>
          <w:spacing w:val="-14"/>
          <w:sz w:val="16"/>
        </w:rPr>
        <w:t> </w:t>
      </w:r>
      <w:r>
        <w:rPr>
          <w:sz w:val="16"/>
        </w:rPr>
        <w:t>equine</w:t>
      </w:r>
      <w:r>
        <w:rPr>
          <w:spacing w:val="-14"/>
          <w:sz w:val="16"/>
        </w:rPr>
        <w:t> </w:t>
      </w:r>
      <w:r>
        <w:rPr>
          <w:sz w:val="16"/>
        </w:rPr>
        <w:t>encephalomyelitis</w:t>
      </w:r>
      <w:r>
        <w:rPr>
          <w:spacing w:val="-14"/>
          <w:sz w:val="16"/>
        </w:rPr>
        <w:t> </w:t>
      </w:r>
      <w:r>
        <w:rPr>
          <w:sz w:val="16"/>
        </w:rPr>
        <w:t>infection</w:t>
      </w:r>
      <w:r>
        <w:rPr>
          <w:spacing w:val="-16"/>
          <w:sz w:val="16"/>
        </w:rPr>
        <w:t> </w:t>
      </w:r>
      <w:r>
        <w:rPr>
          <w:sz w:val="16"/>
        </w:rPr>
        <w:t>in</w:t>
      </w:r>
      <w:r>
        <w:rPr>
          <w:spacing w:val="-16"/>
          <w:sz w:val="16"/>
        </w:rPr>
        <w:t> </w:t>
      </w:r>
      <w:r>
        <w:rPr>
          <w:sz w:val="16"/>
        </w:rPr>
        <w:t>different animal hosts. J Infect Dis 110:80-97,</w:t>
      </w:r>
      <w:r>
        <w:rPr>
          <w:spacing w:val="-18"/>
          <w:sz w:val="16"/>
        </w:rPr>
        <w:t> </w:t>
      </w:r>
      <w:r>
        <w:rPr>
          <w:sz w:val="16"/>
        </w:rPr>
        <w:t>1962.</w:t>
      </w:r>
    </w:p>
    <w:p>
      <w:pPr>
        <w:pStyle w:val="BodyText"/>
        <w:spacing w:before="4"/>
        <w:rPr>
          <w:sz w:val="14"/>
        </w:rPr>
      </w:pPr>
    </w:p>
    <w:p>
      <w:pPr>
        <w:pStyle w:val="ListParagraph"/>
        <w:numPr>
          <w:ilvl w:val="0"/>
          <w:numId w:val="23"/>
        </w:numPr>
        <w:tabs>
          <w:tab w:pos="496" w:val="left" w:leader="none"/>
        </w:tabs>
        <w:spacing w:line="276" w:lineRule="auto" w:before="0" w:after="0"/>
        <w:ind w:left="102" w:right="115" w:firstLine="0"/>
        <w:jc w:val="both"/>
        <w:rPr>
          <w:sz w:val="16"/>
        </w:rPr>
      </w:pPr>
      <w:r>
        <w:rPr>
          <w:sz w:val="16"/>
        </w:rPr>
        <w:t>Grieder, F. B., N. L. Davis, J. F. Aronson, P. C. Charles, D. C. Sellon, K. Suzuki, and R. E. Johnston.Specific restrictions in the progression of Venezuelan equine encephalitis virus-induced disease resulting from single amino acid changes in the glycoproteins. Virology 206:994-1006,</w:t>
      </w:r>
      <w:r>
        <w:rPr>
          <w:spacing w:val="-13"/>
          <w:sz w:val="16"/>
        </w:rPr>
        <w:t> </w:t>
      </w:r>
      <w:r>
        <w:rPr>
          <w:sz w:val="16"/>
        </w:rPr>
        <w:t>1995.</w:t>
      </w:r>
    </w:p>
    <w:p>
      <w:pPr>
        <w:pStyle w:val="BodyText"/>
        <w:spacing w:before="2"/>
        <w:rPr>
          <w:sz w:val="14"/>
        </w:rPr>
      </w:pPr>
    </w:p>
    <w:p>
      <w:pPr>
        <w:pStyle w:val="ListParagraph"/>
        <w:numPr>
          <w:ilvl w:val="0"/>
          <w:numId w:val="24"/>
        </w:numPr>
        <w:tabs>
          <w:tab w:pos="463" w:val="left" w:leader="none"/>
        </w:tabs>
        <w:spacing w:line="273" w:lineRule="auto" w:before="0" w:after="0"/>
        <w:ind w:left="102" w:right="116" w:firstLine="0"/>
        <w:jc w:val="both"/>
        <w:rPr>
          <w:sz w:val="16"/>
        </w:rPr>
      </w:pPr>
      <w:r>
        <w:rPr>
          <w:sz w:val="16"/>
        </w:rPr>
        <w:t>MacDonald, G. H., and R. E. Johnston. Role of dendritic cell targeting inVenezuelan equine encephalitis virus pathogenesis. J Virol 74:914-22,</w:t>
      </w:r>
      <w:r>
        <w:rPr>
          <w:spacing w:val="-16"/>
          <w:sz w:val="16"/>
        </w:rPr>
        <w:t> </w:t>
      </w:r>
      <w:r>
        <w:rPr>
          <w:sz w:val="16"/>
        </w:rPr>
        <w:t>2000.</w:t>
      </w:r>
    </w:p>
    <w:p>
      <w:pPr>
        <w:pStyle w:val="BodyText"/>
        <w:spacing w:before="4"/>
        <w:rPr>
          <w:sz w:val="14"/>
        </w:rPr>
      </w:pPr>
    </w:p>
    <w:p>
      <w:pPr>
        <w:pStyle w:val="ListParagraph"/>
        <w:numPr>
          <w:ilvl w:val="0"/>
          <w:numId w:val="24"/>
        </w:numPr>
        <w:tabs>
          <w:tab w:pos="556" w:val="left" w:leader="none"/>
        </w:tabs>
        <w:spacing w:line="276" w:lineRule="auto" w:before="0" w:after="0"/>
        <w:ind w:left="102" w:right="118" w:firstLine="0"/>
        <w:jc w:val="both"/>
        <w:rPr>
          <w:sz w:val="16"/>
        </w:rPr>
      </w:pPr>
      <w:r>
        <w:rPr>
          <w:sz w:val="16"/>
        </w:rPr>
        <w:t>Davis, N. L., F. B. Grieder, J. F. Smith, G. F. Greenwald,</w:t>
      </w:r>
      <w:r>
        <w:rPr>
          <w:spacing w:val="-11"/>
          <w:sz w:val="16"/>
        </w:rPr>
        <w:t> </w:t>
      </w:r>
      <w:r>
        <w:rPr>
          <w:sz w:val="16"/>
        </w:rPr>
        <w:t>M.</w:t>
      </w:r>
      <w:r>
        <w:rPr>
          <w:spacing w:val="-12"/>
          <w:sz w:val="16"/>
        </w:rPr>
        <w:t> </w:t>
      </w:r>
      <w:r>
        <w:rPr>
          <w:sz w:val="16"/>
        </w:rPr>
        <w:t>L.</w:t>
      </w:r>
      <w:r>
        <w:rPr>
          <w:spacing w:val="-15"/>
          <w:sz w:val="16"/>
        </w:rPr>
        <w:t> </w:t>
      </w:r>
      <w:r>
        <w:rPr>
          <w:sz w:val="16"/>
        </w:rPr>
        <w:t>Valenski,</w:t>
      </w:r>
      <w:r>
        <w:rPr>
          <w:spacing w:val="-12"/>
          <w:sz w:val="16"/>
        </w:rPr>
        <w:t> </w:t>
      </w:r>
      <w:r>
        <w:rPr>
          <w:sz w:val="16"/>
        </w:rPr>
        <w:t>D.C.</w:t>
      </w:r>
      <w:r>
        <w:rPr>
          <w:spacing w:val="-15"/>
          <w:sz w:val="16"/>
        </w:rPr>
        <w:t> </w:t>
      </w:r>
      <w:r>
        <w:rPr>
          <w:sz w:val="16"/>
        </w:rPr>
        <w:t>Sellon,</w:t>
      </w:r>
      <w:r>
        <w:rPr>
          <w:spacing w:val="-12"/>
          <w:sz w:val="16"/>
        </w:rPr>
        <w:t> </w:t>
      </w:r>
      <w:r>
        <w:rPr>
          <w:sz w:val="16"/>
        </w:rPr>
        <w:t>P.</w:t>
      </w:r>
      <w:r>
        <w:rPr>
          <w:spacing w:val="-12"/>
          <w:sz w:val="16"/>
        </w:rPr>
        <w:t> </w:t>
      </w:r>
      <w:r>
        <w:rPr>
          <w:sz w:val="16"/>
        </w:rPr>
        <w:t>C.</w:t>
      </w:r>
      <w:r>
        <w:rPr>
          <w:spacing w:val="-12"/>
          <w:sz w:val="16"/>
        </w:rPr>
        <w:t> </w:t>
      </w:r>
      <w:r>
        <w:rPr>
          <w:sz w:val="16"/>
        </w:rPr>
        <w:t>Charles,</w:t>
      </w:r>
      <w:r>
        <w:rPr>
          <w:spacing w:val="-12"/>
          <w:sz w:val="16"/>
        </w:rPr>
        <w:t> </w:t>
      </w:r>
      <w:r>
        <w:rPr>
          <w:sz w:val="16"/>
        </w:rPr>
        <w:t>and</w:t>
      </w:r>
    </w:p>
    <w:p>
      <w:pPr>
        <w:spacing w:line="273" w:lineRule="auto" w:before="0"/>
        <w:ind w:left="102" w:right="117" w:firstLine="0"/>
        <w:jc w:val="both"/>
        <w:rPr>
          <w:sz w:val="16"/>
        </w:rPr>
      </w:pPr>
      <w:r>
        <w:rPr>
          <w:sz w:val="16"/>
        </w:rPr>
        <w:t>R.</w:t>
      </w:r>
      <w:r>
        <w:rPr>
          <w:spacing w:val="-8"/>
          <w:sz w:val="16"/>
        </w:rPr>
        <w:t> </w:t>
      </w:r>
      <w:r>
        <w:rPr>
          <w:sz w:val="16"/>
        </w:rPr>
        <w:t>E.</w:t>
      </w:r>
      <w:r>
        <w:rPr>
          <w:spacing w:val="-10"/>
          <w:sz w:val="16"/>
        </w:rPr>
        <w:t> </w:t>
      </w:r>
      <w:r>
        <w:rPr>
          <w:sz w:val="16"/>
        </w:rPr>
        <w:t>Johnston.</w:t>
      </w:r>
      <w:r>
        <w:rPr>
          <w:spacing w:val="-9"/>
          <w:sz w:val="16"/>
        </w:rPr>
        <w:t> </w:t>
      </w:r>
      <w:r>
        <w:rPr>
          <w:sz w:val="16"/>
        </w:rPr>
        <w:t>A</w:t>
      </w:r>
      <w:r>
        <w:rPr>
          <w:spacing w:val="-10"/>
          <w:sz w:val="16"/>
        </w:rPr>
        <w:t> </w:t>
      </w:r>
      <w:r>
        <w:rPr>
          <w:sz w:val="16"/>
        </w:rPr>
        <w:t>molecular</w:t>
      </w:r>
      <w:r>
        <w:rPr>
          <w:spacing w:val="-10"/>
          <w:sz w:val="16"/>
        </w:rPr>
        <w:t> </w:t>
      </w:r>
      <w:r>
        <w:rPr>
          <w:sz w:val="16"/>
        </w:rPr>
        <w:t>genetic</w:t>
      </w:r>
      <w:r>
        <w:rPr>
          <w:spacing w:val="-6"/>
          <w:sz w:val="16"/>
        </w:rPr>
        <w:t> </w:t>
      </w:r>
      <w:r>
        <w:rPr>
          <w:sz w:val="16"/>
        </w:rPr>
        <w:t>approach</w:t>
      </w:r>
      <w:r>
        <w:rPr>
          <w:spacing w:val="-12"/>
          <w:sz w:val="16"/>
        </w:rPr>
        <w:t> </w:t>
      </w:r>
      <w:r>
        <w:rPr>
          <w:sz w:val="16"/>
        </w:rPr>
        <w:t>to</w:t>
      </w:r>
      <w:r>
        <w:rPr>
          <w:spacing w:val="-12"/>
          <w:sz w:val="16"/>
        </w:rPr>
        <w:t> </w:t>
      </w:r>
      <w:r>
        <w:rPr>
          <w:sz w:val="16"/>
        </w:rPr>
        <w:t>the</w:t>
      </w:r>
      <w:r>
        <w:rPr>
          <w:spacing w:val="-9"/>
          <w:sz w:val="16"/>
        </w:rPr>
        <w:t> </w:t>
      </w:r>
      <w:r>
        <w:rPr>
          <w:sz w:val="16"/>
        </w:rPr>
        <w:t>study of Venezuelan equine encephalitis virus pathogenesis. Arch Virol Suppl 9:99-109,</w:t>
      </w:r>
      <w:r>
        <w:rPr>
          <w:spacing w:val="-10"/>
          <w:sz w:val="16"/>
        </w:rPr>
        <w:t> </w:t>
      </w:r>
      <w:r>
        <w:rPr>
          <w:sz w:val="16"/>
        </w:rPr>
        <w:t>1994.</w:t>
      </w:r>
    </w:p>
    <w:p>
      <w:pPr>
        <w:pStyle w:val="BodyText"/>
        <w:spacing w:before="4"/>
        <w:rPr>
          <w:sz w:val="14"/>
        </w:rPr>
      </w:pPr>
    </w:p>
    <w:p>
      <w:pPr>
        <w:pStyle w:val="ListParagraph"/>
        <w:numPr>
          <w:ilvl w:val="0"/>
          <w:numId w:val="24"/>
        </w:numPr>
        <w:tabs>
          <w:tab w:pos="525" w:val="left" w:leader="none"/>
        </w:tabs>
        <w:spacing w:line="276" w:lineRule="auto" w:before="0" w:after="0"/>
        <w:ind w:left="102" w:right="115" w:firstLine="0"/>
        <w:jc w:val="both"/>
        <w:rPr>
          <w:sz w:val="16"/>
        </w:rPr>
      </w:pPr>
      <w:r>
        <w:rPr>
          <w:sz w:val="16"/>
        </w:rPr>
        <w:t>Grieder, F. B., N. L. Davis, J. F. Aronson, P. C. Charles, D. C. Sellon, K. Suzuki, and R. E. Johnston.Specific restrictions in the progression of Venezuelan equine encephalitis virus-induced disease resulting from single amino acid changes in the glycoproteins. Virology 206:994-1006,</w:t>
      </w:r>
      <w:r>
        <w:rPr>
          <w:spacing w:val="-13"/>
          <w:sz w:val="16"/>
        </w:rPr>
        <w:t> </w:t>
      </w:r>
      <w:r>
        <w:rPr>
          <w:sz w:val="16"/>
        </w:rPr>
        <w:t>1995.</w:t>
      </w:r>
    </w:p>
    <w:p>
      <w:pPr>
        <w:pStyle w:val="BodyText"/>
        <w:spacing w:before="2"/>
        <w:rPr>
          <w:sz w:val="14"/>
        </w:rPr>
      </w:pPr>
    </w:p>
    <w:p>
      <w:pPr>
        <w:spacing w:line="276" w:lineRule="auto" w:before="0"/>
        <w:ind w:left="102" w:right="117" w:firstLine="0"/>
        <w:jc w:val="both"/>
        <w:rPr>
          <w:sz w:val="16"/>
        </w:rPr>
      </w:pPr>
      <w:r>
        <w:rPr>
          <w:sz w:val="16"/>
        </w:rPr>
        <w:t>117. Mejía, F.: Epidemiología de la Encefalitis Equina Venezolana en Colombia. Universidad Nacional de Colombia. Bogotá D.C. 2002</w:t>
      </w:r>
    </w:p>
    <w:p>
      <w:pPr>
        <w:pStyle w:val="BodyText"/>
        <w:spacing w:before="4"/>
        <w:rPr>
          <w:sz w:val="18"/>
        </w:rPr>
      </w:pPr>
    </w:p>
    <w:p>
      <w:pPr>
        <w:spacing w:line="278" w:lineRule="auto" w:before="0"/>
        <w:ind w:left="102" w:right="118" w:firstLine="0"/>
        <w:jc w:val="both"/>
        <w:rPr>
          <w:sz w:val="16"/>
        </w:rPr>
      </w:pPr>
      <w:r>
        <w:rPr>
          <w:sz w:val="16"/>
        </w:rPr>
        <w:t>118 Bertone, J.: Togaviral Encephalitis. Equine Internal Medicine. W.B. Saunders Company.</w:t>
      </w:r>
    </w:p>
    <w:p>
      <w:pPr>
        <w:spacing w:line="276" w:lineRule="auto" w:before="0"/>
        <w:ind w:left="102" w:right="117" w:firstLine="0"/>
        <w:jc w:val="both"/>
        <w:rPr>
          <w:sz w:val="16"/>
        </w:rPr>
      </w:pPr>
      <w:r>
        <w:rPr>
          <w:sz w:val="16"/>
        </w:rPr>
        <w:t>501 – 505, 1998. 119 Rodríguez, G.; Boshell, J. Encefalitis Equina Venezolana. Biomédica, Vol 15, N° 3, 172 – 182, 1995.</w:t>
      </w:r>
    </w:p>
    <w:p>
      <w:pPr>
        <w:pStyle w:val="BodyText"/>
        <w:spacing w:before="4"/>
        <w:rPr>
          <w:sz w:val="18"/>
        </w:rPr>
      </w:pPr>
    </w:p>
    <w:p>
      <w:pPr>
        <w:pStyle w:val="ListParagraph"/>
        <w:numPr>
          <w:ilvl w:val="0"/>
          <w:numId w:val="25"/>
        </w:numPr>
        <w:tabs>
          <w:tab w:pos="496" w:val="left" w:leader="none"/>
        </w:tabs>
        <w:spacing w:line="276" w:lineRule="auto" w:before="0" w:after="0"/>
        <w:ind w:left="102" w:right="119" w:firstLine="0"/>
        <w:jc w:val="both"/>
        <w:rPr>
          <w:sz w:val="16"/>
        </w:rPr>
      </w:pPr>
      <w:r>
        <w:rPr>
          <w:sz w:val="16"/>
        </w:rPr>
        <w:t>Cárdenas, J.: Las Encefalitis Equinas causadas por virus transmitidos por artrópodos, Simposio Internacional Salud Pública Veterinaria, Protección Sanitaria y Desarrollo Agropecuario”. Bogotá, Colombia.</w:t>
      </w:r>
      <w:r>
        <w:rPr>
          <w:spacing w:val="-17"/>
          <w:sz w:val="16"/>
        </w:rPr>
        <w:t> </w:t>
      </w:r>
      <w:r>
        <w:rPr>
          <w:sz w:val="16"/>
        </w:rPr>
        <w:t>2002.</w:t>
      </w:r>
    </w:p>
    <w:p>
      <w:pPr>
        <w:spacing w:after="0" w:line="276" w:lineRule="auto"/>
        <w:jc w:val="both"/>
        <w:rPr>
          <w:sz w:val="16"/>
        </w:rPr>
        <w:sectPr>
          <w:pgSz w:w="12240" w:h="15840"/>
          <w:pgMar w:header="0" w:footer="573" w:top="1360" w:bottom="800" w:left="1600" w:right="1580"/>
          <w:cols w:num="2" w:equalWidth="0">
            <w:col w:w="4170" w:space="602"/>
            <w:col w:w="4288"/>
          </w:cols>
        </w:sectPr>
      </w:pPr>
    </w:p>
    <w:p>
      <w:pPr>
        <w:pStyle w:val="BodyText"/>
        <w:spacing w:before="4"/>
        <w:rPr>
          <w:sz w:val="23"/>
        </w:rPr>
      </w:pPr>
    </w:p>
    <w:p>
      <w:pPr>
        <w:pStyle w:val="ListParagraph"/>
        <w:numPr>
          <w:ilvl w:val="0"/>
          <w:numId w:val="25"/>
        </w:numPr>
        <w:tabs>
          <w:tab w:pos="458" w:val="left" w:leader="none"/>
        </w:tabs>
        <w:spacing w:line="240" w:lineRule="auto" w:before="0" w:after="0"/>
        <w:ind w:left="457" w:right="0" w:hanging="355"/>
        <w:jc w:val="both"/>
        <w:rPr>
          <w:sz w:val="16"/>
        </w:rPr>
      </w:pPr>
      <w:r>
        <w:rPr>
          <w:sz w:val="16"/>
        </w:rPr>
        <w:t>Gonzalez-Salazar, D., Estrada-Franco J.</w:t>
      </w:r>
      <w:r>
        <w:rPr>
          <w:spacing w:val="-32"/>
          <w:sz w:val="16"/>
        </w:rPr>
        <w:t> </w:t>
      </w:r>
      <w:r>
        <w:rPr>
          <w:sz w:val="16"/>
        </w:rPr>
        <w:t>G., Carrara</w:t>
      </w:r>
    </w:p>
    <w:p>
      <w:pPr>
        <w:spacing w:line="276" w:lineRule="auto" w:before="27"/>
        <w:ind w:left="102" w:right="0" w:firstLine="0"/>
        <w:jc w:val="both"/>
        <w:rPr>
          <w:sz w:val="16"/>
        </w:rPr>
      </w:pPr>
      <w:r>
        <w:rPr>
          <w:sz w:val="16"/>
        </w:rPr>
        <w:t>A.</w:t>
      </w:r>
      <w:r>
        <w:rPr>
          <w:spacing w:val="-5"/>
          <w:sz w:val="16"/>
        </w:rPr>
        <w:t> </w:t>
      </w:r>
      <w:r>
        <w:rPr>
          <w:sz w:val="16"/>
        </w:rPr>
        <w:t>S.,</w:t>
      </w:r>
      <w:r>
        <w:rPr>
          <w:spacing w:val="-5"/>
          <w:sz w:val="16"/>
        </w:rPr>
        <w:t> </w:t>
      </w:r>
      <w:r>
        <w:rPr>
          <w:sz w:val="16"/>
        </w:rPr>
        <w:t>Aronson,</w:t>
      </w:r>
      <w:r>
        <w:rPr>
          <w:spacing w:val="-5"/>
          <w:sz w:val="16"/>
        </w:rPr>
        <w:t> </w:t>
      </w:r>
      <w:r>
        <w:rPr>
          <w:sz w:val="16"/>
        </w:rPr>
        <w:t>J.F.</w:t>
      </w:r>
      <w:r>
        <w:rPr>
          <w:spacing w:val="-5"/>
          <w:sz w:val="16"/>
        </w:rPr>
        <w:t> </w:t>
      </w:r>
      <w:r>
        <w:rPr>
          <w:sz w:val="16"/>
        </w:rPr>
        <w:t>y</w:t>
      </w:r>
      <w:r>
        <w:rPr>
          <w:spacing w:val="-10"/>
          <w:sz w:val="16"/>
        </w:rPr>
        <w:t> </w:t>
      </w:r>
      <w:r>
        <w:rPr>
          <w:sz w:val="16"/>
        </w:rPr>
        <w:t>Weaver,</w:t>
      </w:r>
      <w:r>
        <w:rPr>
          <w:spacing w:val="-5"/>
          <w:sz w:val="16"/>
        </w:rPr>
        <w:t> </w:t>
      </w:r>
      <w:r>
        <w:rPr>
          <w:sz w:val="16"/>
        </w:rPr>
        <w:t>S.C.</w:t>
      </w:r>
      <w:r>
        <w:rPr>
          <w:spacing w:val="-5"/>
          <w:sz w:val="16"/>
        </w:rPr>
        <w:t> </w:t>
      </w:r>
      <w:r>
        <w:rPr>
          <w:sz w:val="16"/>
        </w:rPr>
        <w:t>:</w:t>
      </w:r>
      <w:r>
        <w:rPr>
          <w:spacing w:val="-5"/>
          <w:sz w:val="16"/>
        </w:rPr>
        <w:t> </w:t>
      </w:r>
      <w:r>
        <w:rPr>
          <w:sz w:val="16"/>
        </w:rPr>
        <w:t>Equine</w:t>
      </w:r>
      <w:r>
        <w:rPr>
          <w:spacing w:val="-7"/>
          <w:sz w:val="16"/>
        </w:rPr>
        <w:t> </w:t>
      </w:r>
      <w:r>
        <w:rPr>
          <w:sz w:val="16"/>
        </w:rPr>
        <w:t>Amplification and Virulence of Subtype IE Venezuelan Equine Encephalitis Viruses Isolated during the 1993 and 1996 Mexican Epizootics. Emerging Infectious Diseases. 9: 161-167,</w:t>
      </w:r>
      <w:r>
        <w:rPr>
          <w:spacing w:val="-5"/>
          <w:sz w:val="16"/>
        </w:rPr>
        <w:t> </w:t>
      </w:r>
      <w:r>
        <w:rPr>
          <w:sz w:val="16"/>
        </w:rPr>
        <w:t>2003.</w:t>
      </w:r>
    </w:p>
    <w:p>
      <w:pPr>
        <w:pStyle w:val="BodyText"/>
        <w:rPr>
          <w:sz w:val="16"/>
        </w:rPr>
      </w:pPr>
    </w:p>
    <w:p>
      <w:pPr>
        <w:pStyle w:val="BodyText"/>
        <w:spacing w:before="4"/>
        <w:rPr>
          <w:sz w:val="16"/>
        </w:rPr>
      </w:pPr>
    </w:p>
    <w:p>
      <w:pPr>
        <w:pStyle w:val="ListParagraph"/>
        <w:numPr>
          <w:ilvl w:val="0"/>
          <w:numId w:val="25"/>
        </w:numPr>
        <w:tabs>
          <w:tab w:pos="529" w:val="left" w:leader="none"/>
          <w:tab w:pos="819" w:val="left" w:leader="none"/>
          <w:tab w:pos="1881" w:val="left" w:leader="none"/>
          <w:tab w:pos="2275" w:val="left" w:leader="none"/>
          <w:tab w:pos="3150" w:val="left" w:leader="none"/>
          <w:tab w:pos="3546" w:val="left" w:leader="none"/>
        </w:tabs>
        <w:spacing w:line="276" w:lineRule="auto" w:before="0" w:after="0"/>
        <w:ind w:left="102" w:right="1" w:firstLine="0"/>
        <w:jc w:val="left"/>
        <w:rPr>
          <w:sz w:val="16"/>
        </w:rPr>
      </w:pPr>
      <w:r>
        <w:rPr>
          <w:sz w:val="16"/>
        </w:rPr>
        <w:t>Hidalgo, M; Aranguren, F; Medina, G; Pérez,N; de Siger, J.: Detección Temprana de Antígeno de Encefalitis Equina</w:t>
        <w:tab/>
        <w:t>Venezolana</w:t>
        <w:tab/>
        <w:t>en</w:t>
        <w:tab/>
        <w:t>Muestras</w:t>
        <w:tab/>
        <w:t>de</w:t>
        <w:tab/>
      </w:r>
      <w:r>
        <w:rPr>
          <w:spacing w:val="-1"/>
          <w:sz w:val="16"/>
        </w:rPr>
        <w:t>Cerebro. </w:t>
      </w:r>
      <w:hyperlink r:id="rId283">
        <w:r>
          <w:rPr>
            <w:sz w:val="16"/>
          </w:rPr>
          <w:t>www.ceniap.gov.ve/bdigital/congresos/jornadas/web/mhi</w:t>
        </w:r>
      </w:hyperlink>
      <w:r>
        <w:rPr>
          <w:sz w:val="16"/>
        </w:rPr>
        <w:t> dalgo.htm</w:t>
      </w:r>
    </w:p>
    <w:p>
      <w:pPr>
        <w:pStyle w:val="BodyText"/>
        <w:spacing w:before="2"/>
        <w:rPr>
          <w:sz w:val="14"/>
        </w:rPr>
      </w:pPr>
    </w:p>
    <w:p>
      <w:pPr>
        <w:spacing w:line="276" w:lineRule="auto" w:before="0"/>
        <w:ind w:left="102" w:right="0" w:firstLine="0"/>
        <w:jc w:val="both"/>
        <w:rPr>
          <w:sz w:val="16"/>
        </w:rPr>
      </w:pPr>
      <w:r>
        <w:rPr>
          <w:sz w:val="16"/>
        </w:rPr>
        <w:t>123 Mejía, F. Epidemiología de la Encefalitis Equina Venezolana en Colombia. Universidad Nacional de Colombia. Bogotá D.C. 2002</w:t>
      </w:r>
    </w:p>
    <w:p>
      <w:pPr>
        <w:pStyle w:val="BodyText"/>
        <w:spacing w:before="4"/>
        <w:rPr>
          <w:sz w:val="18"/>
        </w:rPr>
      </w:pPr>
    </w:p>
    <w:p>
      <w:pPr>
        <w:pStyle w:val="ListParagraph"/>
        <w:numPr>
          <w:ilvl w:val="0"/>
          <w:numId w:val="26"/>
        </w:numPr>
        <w:tabs>
          <w:tab w:pos="554" w:val="left" w:leader="none"/>
        </w:tabs>
        <w:spacing w:line="276" w:lineRule="auto" w:before="0" w:after="0"/>
        <w:ind w:left="102" w:right="1" w:firstLine="0"/>
        <w:jc w:val="both"/>
        <w:rPr>
          <w:sz w:val="16"/>
        </w:rPr>
      </w:pPr>
      <w:r>
        <w:rPr>
          <w:sz w:val="16"/>
        </w:rPr>
        <w:t>Olano, V; Brochero, H.: Evaluación Entomológica Sobre la Presencia de </w:t>
      </w:r>
      <w:r>
        <w:rPr>
          <w:i/>
          <w:sz w:val="16"/>
        </w:rPr>
        <w:t>Aedes albopictus </w:t>
      </w:r>
      <w:r>
        <w:rPr>
          <w:sz w:val="16"/>
        </w:rPr>
        <w:t>en Leticia, Amazonas. Informe Quincenal de Casos y Brotes de Enfermedades(IQCB). 12:165-168,</w:t>
      </w:r>
      <w:r>
        <w:rPr>
          <w:spacing w:val="-18"/>
          <w:sz w:val="16"/>
        </w:rPr>
        <w:t> </w:t>
      </w:r>
      <w:r>
        <w:rPr>
          <w:sz w:val="16"/>
        </w:rPr>
        <w:t>1998.</w:t>
      </w:r>
    </w:p>
    <w:p>
      <w:pPr>
        <w:pStyle w:val="BodyText"/>
        <w:spacing w:before="11"/>
        <w:rPr>
          <w:sz w:val="22"/>
        </w:rPr>
      </w:pPr>
    </w:p>
    <w:p>
      <w:pPr>
        <w:pStyle w:val="ListParagraph"/>
        <w:numPr>
          <w:ilvl w:val="0"/>
          <w:numId w:val="26"/>
        </w:numPr>
        <w:tabs>
          <w:tab w:pos="515" w:val="left" w:leader="none"/>
        </w:tabs>
        <w:spacing w:line="276" w:lineRule="auto" w:before="0" w:after="0"/>
        <w:ind w:left="102" w:right="0" w:firstLine="0"/>
        <w:jc w:val="both"/>
        <w:rPr>
          <w:sz w:val="16"/>
        </w:rPr>
      </w:pPr>
      <w:r>
        <w:rPr>
          <w:sz w:val="16"/>
        </w:rPr>
        <w:t>Ruiz, A.; Zúñiga, I.; Álvarez, E. Bases Para la Instrumentación de un Sistema de</w:t>
      </w:r>
      <w:r>
        <w:rPr>
          <w:spacing w:val="-19"/>
          <w:sz w:val="16"/>
        </w:rPr>
        <w:t> </w:t>
      </w:r>
      <w:r>
        <w:rPr>
          <w:sz w:val="16"/>
        </w:rPr>
        <w:t>Información</w:t>
      </w:r>
    </w:p>
    <w:p>
      <w:pPr>
        <w:spacing w:line="276" w:lineRule="auto" w:before="3"/>
        <w:ind w:left="102" w:right="0" w:firstLine="0"/>
        <w:jc w:val="both"/>
        <w:rPr>
          <w:sz w:val="16"/>
        </w:rPr>
      </w:pPr>
      <w:r>
        <w:rPr>
          <w:sz w:val="16"/>
        </w:rPr>
        <w:t>y Vigilancia Epidemiológica de la Encefalitis Equina Venezolana en la Región de las Américas. Rev Panam Salud Publica/Pan Am J Public Health. 6:128-138,1999.</w:t>
      </w:r>
    </w:p>
    <w:p>
      <w:pPr>
        <w:pStyle w:val="BodyText"/>
        <w:spacing w:before="4"/>
        <w:rPr>
          <w:sz w:val="18"/>
        </w:rPr>
      </w:pPr>
    </w:p>
    <w:p>
      <w:pPr>
        <w:pStyle w:val="ListParagraph"/>
        <w:numPr>
          <w:ilvl w:val="0"/>
          <w:numId w:val="27"/>
        </w:numPr>
        <w:tabs>
          <w:tab w:pos="530" w:val="left" w:leader="none"/>
        </w:tabs>
        <w:spacing w:line="276" w:lineRule="auto" w:before="0" w:after="0"/>
        <w:ind w:left="102" w:right="0" w:firstLine="0"/>
        <w:jc w:val="both"/>
        <w:rPr>
          <w:sz w:val="16"/>
        </w:rPr>
      </w:pPr>
      <w:r>
        <w:rPr>
          <w:sz w:val="16"/>
        </w:rPr>
        <w:t>Brito, E. Encefalitis Equina - Relatoría. Simposio Internacional “Salud Pública Veterinaria, Protección Sanitaria y Desarrollo Agropecuario”. Bogotá, Colombia. 2002.</w:t>
      </w:r>
    </w:p>
    <w:p>
      <w:pPr>
        <w:pStyle w:val="BodyText"/>
        <w:spacing w:before="4"/>
        <w:rPr>
          <w:sz w:val="18"/>
        </w:rPr>
      </w:pPr>
    </w:p>
    <w:p>
      <w:pPr>
        <w:pStyle w:val="ListParagraph"/>
        <w:numPr>
          <w:ilvl w:val="0"/>
          <w:numId w:val="27"/>
        </w:numPr>
        <w:tabs>
          <w:tab w:pos="470" w:val="left" w:leader="none"/>
        </w:tabs>
        <w:spacing w:line="276" w:lineRule="auto" w:before="0" w:after="0"/>
        <w:ind w:left="102" w:right="3" w:firstLine="0"/>
        <w:jc w:val="both"/>
        <w:rPr>
          <w:sz w:val="16"/>
        </w:rPr>
      </w:pPr>
      <w:r>
        <w:rPr>
          <w:sz w:val="16"/>
        </w:rPr>
        <w:t>Daza, E; Pertuz, A.: Tasa de Ataque Final por Encefalitis Equina Venezolana en</w:t>
      </w:r>
      <w:r>
        <w:rPr>
          <w:spacing w:val="-15"/>
          <w:sz w:val="16"/>
        </w:rPr>
        <w:t> </w:t>
      </w:r>
      <w:r>
        <w:rPr>
          <w:sz w:val="16"/>
        </w:rPr>
        <w:t>La</w:t>
      </w:r>
    </w:p>
    <w:p>
      <w:pPr>
        <w:spacing w:line="278" w:lineRule="auto" w:before="0"/>
        <w:ind w:left="102" w:right="2" w:firstLine="0"/>
        <w:jc w:val="both"/>
        <w:rPr>
          <w:sz w:val="16"/>
        </w:rPr>
      </w:pPr>
      <w:r>
        <w:rPr>
          <w:sz w:val="16"/>
        </w:rPr>
        <w:t>Guajira, 1995. Informe Quincenal de Casos y Brotes de Enfermedades (IQCB).5: 36-38, 1996.</w:t>
      </w:r>
    </w:p>
    <w:p>
      <w:pPr>
        <w:pStyle w:val="BodyText"/>
        <w:spacing w:before="2"/>
        <w:rPr>
          <w:sz w:val="18"/>
        </w:rPr>
      </w:pPr>
    </w:p>
    <w:p>
      <w:pPr>
        <w:pStyle w:val="ListParagraph"/>
        <w:numPr>
          <w:ilvl w:val="0"/>
          <w:numId w:val="27"/>
        </w:numPr>
        <w:tabs>
          <w:tab w:pos="546" w:val="left" w:leader="none"/>
        </w:tabs>
        <w:spacing w:line="276" w:lineRule="auto" w:before="1" w:after="0"/>
        <w:ind w:left="102" w:right="0" w:firstLine="0"/>
        <w:jc w:val="both"/>
        <w:rPr>
          <w:sz w:val="16"/>
        </w:rPr>
      </w:pPr>
      <w:r>
        <w:rPr>
          <w:sz w:val="16"/>
        </w:rPr>
        <w:t>Calisher, C. H., A. O. el-Kafrawi, M. I. Al-Deen Mahmud, A. P. Travassos da Rosa, C. R. Bartz, M. Brummer-Korvenkontio, S. Haksohusodo, and W. Suharyono. Complex-specific immunoglobulin M</w:t>
      </w:r>
      <w:r>
        <w:rPr>
          <w:spacing w:val="-25"/>
          <w:sz w:val="16"/>
        </w:rPr>
        <w:t> </w:t>
      </w:r>
      <w:r>
        <w:rPr>
          <w:sz w:val="16"/>
        </w:rPr>
        <w:t>antibody patterns in humans infected with alphaviruses. J Clin Microbiol 23:155-9,</w:t>
      </w:r>
      <w:r>
        <w:rPr>
          <w:spacing w:val="-8"/>
          <w:sz w:val="16"/>
        </w:rPr>
        <w:t> </w:t>
      </w:r>
      <w:r>
        <w:rPr>
          <w:sz w:val="16"/>
        </w:rPr>
        <w:t>1986.</w:t>
      </w:r>
    </w:p>
    <w:p>
      <w:pPr>
        <w:pStyle w:val="BodyText"/>
        <w:rPr>
          <w:sz w:val="16"/>
        </w:rPr>
      </w:pPr>
    </w:p>
    <w:p>
      <w:pPr>
        <w:pStyle w:val="BodyText"/>
        <w:spacing w:before="8"/>
        <w:rPr>
          <w:sz w:val="20"/>
        </w:rPr>
      </w:pPr>
    </w:p>
    <w:p>
      <w:pPr>
        <w:spacing w:line="276" w:lineRule="auto" w:before="1"/>
        <w:ind w:left="102" w:right="1" w:firstLine="0"/>
        <w:jc w:val="both"/>
        <w:rPr>
          <w:sz w:val="16"/>
        </w:rPr>
      </w:pPr>
      <w:r>
        <w:rPr>
          <w:sz w:val="16"/>
        </w:rPr>
        <w:t>129,</w:t>
      </w:r>
      <w:r>
        <w:rPr>
          <w:spacing w:val="-5"/>
          <w:sz w:val="16"/>
        </w:rPr>
        <w:t> </w:t>
      </w:r>
      <w:r>
        <w:rPr>
          <w:sz w:val="16"/>
        </w:rPr>
        <w:t>Martin,</w:t>
      </w:r>
      <w:r>
        <w:rPr>
          <w:spacing w:val="-8"/>
          <w:sz w:val="16"/>
        </w:rPr>
        <w:t> </w:t>
      </w:r>
      <w:r>
        <w:rPr>
          <w:sz w:val="16"/>
        </w:rPr>
        <w:t>D.</w:t>
      </w:r>
      <w:r>
        <w:rPr>
          <w:spacing w:val="-8"/>
          <w:sz w:val="16"/>
        </w:rPr>
        <w:t> </w:t>
      </w:r>
      <w:r>
        <w:rPr>
          <w:sz w:val="16"/>
        </w:rPr>
        <w:t>A.,</w:t>
      </w:r>
      <w:r>
        <w:rPr>
          <w:spacing w:val="-8"/>
          <w:sz w:val="16"/>
        </w:rPr>
        <w:t> </w:t>
      </w:r>
      <w:r>
        <w:rPr>
          <w:sz w:val="16"/>
        </w:rPr>
        <w:t>D.</w:t>
      </w:r>
      <w:r>
        <w:rPr>
          <w:spacing w:val="-8"/>
          <w:sz w:val="16"/>
        </w:rPr>
        <w:t> </w:t>
      </w:r>
      <w:r>
        <w:rPr>
          <w:sz w:val="16"/>
        </w:rPr>
        <w:t>A.</w:t>
      </w:r>
      <w:r>
        <w:rPr>
          <w:spacing w:val="-5"/>
          <w:sz w:val="16"/>
        </w:rPr>
        <w:t> </w:t>
      </w:r>
      <w:r>
        <w:rPr>
          <w:sz w:val="16"/>
        </w:rPr>
        <w:t>Muth,</w:t>
      </w:r>
      <w:r>
        <w:rPr>
          <w:spacing w:val="-8"/>
          <w:sz w:val="16"/>
        </w:rPr>
        <w:t> </w:t>
      </w:r>
      <w:r>
        <w:rPr>
          <w:sz w:val="16"/>
        </w:rPr>
        <w:t>T.</w:t>
      </w:r>
      <w:r>
        <w:rPr>
          <w:spacing w:val="-8"/>
          <w:sz w:val="16"/>
        </w:rPr>
        <w:t> </w:t>
      </w:r>
      <w:r>
        <w:rPr>
          <w:sz w:val="16"/>
        </w:rPr>
        <w:t>Brown,</w:t>
      </w:r>
      <w:r>
        <w:rPr>
          <w:spacing w:val="-5"/>
          <w:sz w:val="16"/>
        </w:rPr>
        <w:t> </w:t>
      </w:r>
      <w:r>
        <w:rPr>
          <w:sz w:val="16"/>
        </w:rPr>
        <w:t>A.</w:t>
      </w:r>
      <w:r>
        <w:rPr>
          <w:spacing w:val="-8"/>
          <w:sz w:val="16"/>
        </w:rPr>
        <w:t> </w:t>
      </w:r>
      <w:r>
        <w:rPr>
          <w:sz w:val="16"/>
        </w:rPr>
        <w:t>J.</w:t>
      </w:r>
      <w:r>
        <w:rPr>
          <w:spacing w:val="-10"/>
          <w:sz w:val="16"/>
        </w:rPr>
        <w:t> </w:t>
      </w:r>
      <w:r>
        <w:rPr>
          <w:sz w:val="16"/>
        </w:rPr>
        <w:t>Johnson,</w:t>
      </w:r>
      <w:r>
        <w:rPr>
          <w:spacing w:val="-8"/>
          <w:sz w:val="16"/>
        </w:rPr>
        <w:t> </w:t>
      </w:r>
      <w:r>
        <w:rPr>
          <w:sz w:val="16"/>
        </w:rPr>
        <w:t>N. Karabatsos, and J. T. Roehrig. Standardization of immunoglobulin</w:t>
      </w:r>
      <w:r>
        <w:rPr>
          <w:spacing w:val="-13"/>
          <w:sz w:val="16"/>
        </w:rPr>
        <w:t> </w:t>
      </w:r>
      <w:r>
        <w:rPr>
          <w:sz w:val="16"/>
        </w:rPr>
        <w:t>M</w:t>
      </w:r>
      <w:r>
        <w:rPr>
          <w:spacing w:val="-14"/>
          <w:sz w:val="16"/>
        </w:rPr>
        <w:t> </w:t>
      </w:r>
      <w:r>
        <w:rPr>
          <w:sz w:val="16"/>
        </w:rPr>
        <w:t>capture</w:t>
      </w:r>
      <w:r>
        <w:rPr>
          <w:spacing w:val="-13"/>
          <w:sz w:val="16"/>
        </w:rPr>
        <w:t> </w:t>
      </w:r>
      <w:r>
        <w:rPr>
          <w:sz w:val="16"/>
        </w:rPr>
        <w:t>enzyme-linked</w:t>
      </w:r>
      <w:r>
        <w:rPr>
          <w:spacing w:val="-13"/>
          <w:sz w:val="16"/>
        </w:rPr>
        <w:t> </w:t>
      </w:r>
      <w:r>
        <w:rPr>
          <w:sz w:val="16"/>
        </w:rPr>
        <w:t>immunosorbent assays for routine diagnosis of arboviral infections. J Clin Microbiol 38:1823-6,</w:t>
      </w:r>
      <w:r>
        <w:rPr>
          <w:spacing w:val="-9"/>
          <w:sz w:val="16"/>
        </w:rPr>
        <w:t> </w:t>
      </w:r>
      <w:r>
        <w:rPr>
          <w:sz w:val="16"/>
        </w:rPr>
        <w:t>2000.</w:t>
      </w:r>
    </w:p>
    <w:p>
      <w:pPr>
        <w:pStyle w:val="BodyText"/>
        <w:spacing w:before="4"/>
        <w:rPr>
          <w:sz w:val="18"/>
        </w:rPr>
      </w:pPr>
    </w:p>
    <w:p>
      <w:pPr>
        <w:pStyle w:val="ListParagraph"/>
        <w:numPr>
          <w:ilvl w:val="0"/>
          <w:numId w:val="28"/>
        </w:numPr>
        <w:tabs>
          <w:tab w:pos="470" w:val="left" w:leader="none"/>
        </w:tabs>
        <w:spacing w:line="276" w:lineRule="auto" w:before="0" w:after="0"/>
        <w:ind w:left="102" w:right="1" w:firstLine="0"/>
        <w:jc w:val="both"/>
        <w:rPr>
          <w:sz w:val="16"/>
        </w:rPr>
      </w:pPr>
      <w:r>
        <w:rPr>
          <w:sz w:val="16"/>
        </w:rPr>
        <w:t>Sahu, S. P., A. D. Alstad, D. D. Pedersen, and J. E. Pearson. Diagnosis of eastern equine encephalomyelitis virus infection in horses by immunoglobulin M and G capture enzyme-linked immunosorbent assay. J Vet Diagn Invest 6:34- 8,</w:t>
      </w:r>
      <w:r>
        <w:rPr>
          <w:spacing w:val="-7"/>
          <w:sz w:val="16"/>
        </w:rPr>
        <w:t> </w:t>
      </w:r>
      <w:r>
        <w:rPr>
          <w:sz w:val="16"/>
        </w:rPr>
        <w:t>1994.</w:t>
      </w:r>
    </w:p>
    <w:p>
      <w:pPr>
        <w:pStyle w:val="ListParagraph"/>
        <w:numPr>
          <w:ilvl w:val="0"/>
          <w:numId w:val="28"/>
        </w:numPr>
        <w:tabs>
          <w:tab w:pos="1090" w:val="left" w:leader="none"/>
          <w:tab w:pos="1091" w:val="left" w:leader="none"/>
        </w:tabs>
        <w:spacing w:line="278" w:lineRule="auto" w:before="54" w:after="0"/>
        <w:ind w:left="102" w:right="117" w:firstLine="0"/>
        <w:jc w:val="both"/>
        <w:rPr>
          <w:sz w:val="16"/>
        </w:rPr>
      </w:pPr>
      <w:r>
        <w:rPr>
          <w:spacing w:val="-1"/>
          <w:w w:val="100"/>
          <w:sz w:val="16"/>
        </w:rPr>
        <w:br w:type="column"/>
      </w:r>
      <w:r>
        <w:rPr>
          <w:sz w:val="16"/>
        </w:rPr>
        <w:t>Rico-Hesse, R.Venezuelan equine encephalomyelitis. Vet Clin North Am Equine Pract 16:553-63,</w:t>
      </w:r>
      <w:r>
        <w:rPr>
          <w:spacing w:val="-6"/>
          <w:sz w:val="16"/>
        </w:rPr>
        <w:t> </w:t>
      </w:r>
      <w:r>
        <w:rPr>
          <w:sz w:val="16"/>
        </w:rPr>
        <w:t>2000.</w:t>
      </w:r>
    </w:p>
    <w:p>
      <w:pPr>
        <w:pStyle w:val="BodyText"/>
        <w:spacing w:before="2"/>
        <w:rPr>
          <w:sz w:val="18"/>
        </w:rPr>
      </w:pPr>
    </w:p>
    <w:p>
      <w:pPr>
        <w:pStyle w:val="ListParagraph"/>
        <w:numPr>
          <w:ilvl w:val="0"/>
          <w:numId w:val="29"/>
        </w:numPr>
        <w:tabs>
          <w:tab w:pos="604" w:val="left" w:leader="none"/>
        </w:tabs>
        <w:spacing w:line="276" w:lineRule="auto" w:before="1" w:after="0"/>
        <w:ind w:left="102" w:right="117" w:firstLine="0"/>
        <w:jc w:val="both"/>
        <w:rPr>
          <w:sz w:val="16"/>
        </w:rPr>
      </w:pPr>
      <w:r>
        <w:rPr>
          <w:sz w:val="16"/>
        </w:rPr>
        <w:t>Ministerio de Salud de Colombia. Manual de Enfermedades Zoonóticas. Santa fe de</w:t>
      </w:r>
      <w:r>
        <w:rPr>
          <w:spacing w:val="-20"/>
          <w:sz w:val="16"/>
        </w:rPr>
        <w:t> </w:t>
      </w:r>
      <w:r>
        <w:rPr>
          <w:sz w:val="16"/>
        </w:rPr>
        <w:t>Bogotá</w:t>
      </w:r>
    </w:p>
    <w:p>
      <w:pPr>
        <w:spacing w:before="0"/>
        <w:ind w:left="102" w:right="0" w:firstLine="0"/>
        <w:jc w:val="both"/>
        <w:rPr>
          <w:sz w:val="16"/>
        </w:rPr>
      </w:pPr>
      <w:r>
        <w:rPr>
          <w:sz w:val="16"/>
        </w:rPr>
        <w:t>D.C; Colombia. 7 – 18, 1999.</w:t>
      </w:r>
    </w:p>
    <w:p>
      <w:pPr>
        <w:pStyle w:val="BodyText"/>
        <w:spacing w:before="10"/>
        <w:rPr>
          <w:sz w:val="20"/>
        </w:rPr>
      </w:pPr>
    </w:p>
    <w:p>
      <w:pPr>
        <w:pStyle w:val="ListParagraph"/>
        <w:numPr>
          <w:ilvl w:val="0"/>
          <w:numId w:val="29"/>
        </w:numPr>
        <w:tabs>
          <w:tab w:pos="460" w:val="left" w:leader="none"/>
        </w:tabs>
        <w:spacing w:line="276" w:lineRule="auto" w:before="1" w:after="0"/>
        <w:ind w:left="102" w:right="120" w:firstLine="0"/>
        <w:jc w:val="both"/>
        <w:rPr>
          <w:sz w:val="16"/>
        </w:rPr>
      </w:pPr>
      <w:r>
        <w:rPr>
          <w:sz w:val="16"/>
        </w:rPr>
        <w:t>Mukherjee, S.: El mecanismo y el significado de neutralización depende del tipo de célula de</w:t>
      </w:r>
      <w:r>
        <w:rPr>
          <w:spacing w:val="39"/>
          <w:sz w:val="16"/>
        </w:rPr>
        <w:t> </w:t>
      </w:r>
      <w:r>
        <w:rPr>
          <w:sz w:val="16"/>
        </w:rPr>
        <w:t>flaviviruses.</w:t>
      </w:r>
    </w:p>
    <w:p>
      <w:pPr>
        <w:spacing w:before="0"/>
        <w:ind w:left="102" w:right="0" w:firstLine="0"/>
        <w:jc w:val="both"/>
        <w:rPr>
          <w:sz w:val="16"/>
        </w:rPr>
      </w:pPr>
      <w:r>
        <w:rPr>
          <w:sz w:val="16"/>
        </w:rPr>
        <w:t>J. Virol. 2014.</w:t>
      </w:r>
    </w:p>
    <w:p>
      <w:pPr>
        <w:pStyle w:val="BodyText"/>
        <w:spacing w:before="8"/>
        <w:rPr>
          <w:sz w:val="20"/>
        </w:rPr>
      </w:pPr>
    </w:p>
    <w:p>
      <w:pPr>
        <w:pStyle w:val="ListParagraph"/>
        <w:numPr>
          <w:ilvl w:val="0"/>
          <w:numId w:val="29"/>
        </w:numPr>
        <w:tabs>
          <w:tab w:pos="410" w:val="left" w:leader="none"/>
        </w:tabs>
        <w:spacing w:line="276" w:lineRule="auto" w:before="0" w:after="0"/>
        <w:ind w:left="102" w:right="117" w:firstLine="0"/>
        <w:jc w:val="both"/>
        <w:rPr>
          <w:sz w:val="16"/>
        </w:rPr>
      </w:pPr>
      <w:r>
        <w:rPr>
          <w:sz w:val="16"/>
        </w:rPr>
        <w:t>Abisambra,</w:t>
      </w:r>
      <w:r>
        <w:rPr>
          <w:spacing w:val="-11"/>
          <w:sz w:val="16"/>
        </w:rPr>
        <w:t> </w:t>
      </w:r>
      <w:r>
        <w:rPr>
          <w:sz w:val="16"/>
        </w:rPr>
        <w:t>A.:</w:t>
      </w:r>
      <w:r>
        <w:rPr>
          <w:spacing w:val="-9"/>
          <w:sz w:val="16"/>
        </w:rPr>
        <w:t> </w:t>
      </w:r>
      <w:r>
        <w:rPr>
          <w:sz w:val="16"/>
        </w:rPr>
        <w:t>Simposio</w:t>
      </w:r>
      <w:r>
        <w:rPr>
          <w:spacing w:val="-10"/>
          <w:sz w:val="16"/>
        </w:rPr>
        <w:t> </w:t>
      </w:r>
      <w:r>
        <w:rPr>
          <w:sz w:val="16"/>
        </w:rPr>
        <w:t>Internacional</w:t>
      </w:r>
      <w:r>
        <w:rPr>
          <w:spacing w:val="-9"/>
          <w:sz w:val="16"/>
        </w:rPr>
        <w:t> </w:t>
      </w:r>
      <w:r>
        <w:rPr>
          <w:sz w:val="16"/>
        </w:rPr>
        <w:t>“Salud</w:t>
      </w:r>
      <w:r>
        <w:rPr>
          <w:spacing w:val="-10"/>
          <w:sz w:val="16"/>
        </w:rPr>
        <w:t> </w:t>
      </w:r>
      <w:r>
        <w:rPr>
          <w:sz w:val="16"/>
        </w:rPr>
        <w:t>Pública Veterinaria, Protección Sanitaria y Desarrollo Agropecuario”. Bogotá, Colombia.</w:t>
      </w:r>
      <w:r>
        <w:rPr>
          <w:spacing w:val="-14"/>
          <w:sz w:val="16"/>
        </w:rPr>
        <w:t> </w:t>
      </w:r>
      <w:r>
        <w:rPr>
          <w:sz w:val="16"/>
        </w:rPr>
        <w:t>2002</w:t>
      </w:r>
    </w:p>
    <w:p>
      <w:pPr>
        <w:pStyle w:val="BodyText"/>
        <w:spacing w:before="4"/>
        <w:rPr>
          <w:sz w:val="18"/>
        </w:rPr>
      </w:pPr>
    </w:p>
    <w:p>
      <w:pPr>
        <w:pStyle w:val="ListParagraph"/>
        <w:numPr>
          <w:ilvl w:val="0"/>
          <w:numId w:val="30"/>
        </w:numPr>
        <w:tabs>
          <w:tab w:pos="508" w:val="left" w:leader="none"/>
        </w:tabs>
        <w:spacing w:line="276" w:lineRule="auto" w:before="0" w:after="0"/>
        <w:ind w:left="102" w:right="114" w:firstLine="0"/>
        <w:jc w:val="both"/>
        <w:rPr>
          <w:sz w:val="16"/>
        </w:rPr>
      </w:pPr>
      <w:r>
        <w:rPr>
          <w:sz w:val="16"/>
        </w:rPr>
        <w:t>Calisher, C. H., A. O. el-Kafrawi, M. I. Al-Deen Mahmud, A. P. Travassos da Rosa, C. R. Bartz, M. Brummer-Korvenkontio, S. Haksohusodo, and W. Suharyono. Complex-specific immunoglobulin M</w:t>
      </w:r>
      <w:r>
        <w:rPr>
          <w:spacing w:val="-25"/>
          <w:sz w:val="16"/>
        </w:rPr>
        <w:t> </w:t>
      </w:r>
      <w:r>
        <w:rPr>
          <w:sz w:val="16"/>
        </w:rPr>
        <w:t>antibody patterns in humans infected with alphaviruses. J Clin Microbiol 23:155-9,</w:t>
      </w:r>
      <w:r>
        <w:rPr>
          <w:spacing w:val="-8"/>
          <w:sz w:val="16"/>
        </w:rPr>
        <w:t> </w:t>
      </w:r>
      <w:r>
        <w:rPr>
          <w:sz w:val="16"/>
        </w:rPr>
        <w:t>1986.</w:t>
      </w:r>
    </w:p>
    <w:p>
      <w:pPr>
        <w:pStyle w:val="BodyText"/>
        <w:spacing w:before="4"/>
        <w:rPr>
          <w:sz w:val="18"/>
        </w:rPr>
      </w:pPr>
    </w:p>
    <w:p>
      <w:pPr>
        <w:pStyle w:val="ListParagraph"/>
        <w:numPr>
          <w:ilvl w:val="0"/>
          <w:numId w:val="30"/>
        </w:numPr>
        <w:tabs>
          <w:tab w:pos="698" w:val="left" w:leader="none"/>
        </w:tabs>
        <w:spacing w:line="276" w:lineRule="auto" w:before="0" w:after="0"/>
        <w:ind w:left="102" w:right="118" w:firstLine="0"/>
        <w:jc w:val="both"/>
        <w:rPr>
          <w:sz w:val="16"/>
        </w:rPr>
      </w:pPr>
      <w:r>
        <w:rPr>
          <w:sz w:val="16"/>
        </w:rPr>
        <w:t>Tsai, T., Weaver, S.C., and T.P. Monath. Alphaviruses, D. D. Richman, Whitley, R.J., Hayden,</w:t>
      </w:r>
      <w:r>
        <w:rPr>
          <w:spacing w:val="-27"/>
          <w:sz w:val="16"/>
        </w:rPr>
        <w:t> </w:t>
      </w:r>
      <w:r>
        <w:rPr>
          <w:sz w:val="16"/>
        </w:rPr>
        <w:t>F.G. (ed.), Clinical Virology, 2a edición. ASM Press, Washington, D.C. 1177-1210,</w:t>
      </w:r>
      <w:r>
        <w:rPr>
          <w:spacing w:val="-14"/>
          <w:sz w:val="16"/>
        </w:rPr>
        <w:t> </w:t>
      </w:r>
      <w:r>
        <w:rPr>
          <w:sz w:val="16"/>
        </w:rPr>
        <w:t>2002.</w:t>
      </w:r>
    </w:p>
    <w:p>
      <w:pPr>
        <w:pStyle w:val="BodyText"/>
        <w:spacing w:before="4"/>
        <w:rPr>
          <w:sz w:val="18"/>
        </w:rPr>
      </w:pPr>
    </w:p>
    <w:p>
      <w:pPr>
        <w:pStyle w:val="ListParagraph"/>
        <w:numPr>
          <w:ilvl w:val="0"/>
          <w:numId w:val="30"/>
        </w:numPr>
        <w:tabs>
          <w:tab w:pos="498" w:val="left" w:leader="none"/>
        </w:tabs>
        <w:spacing w:line="276" w:lineRule="auto" w:before="0" w:after="0"/>
        <w:ind w:left="102" w:right="116" w:firstLine="0"/>
        <w:jc w:val="both"/>
        <w:rPr>
          <w:sz w:val="16"/>
        </w:rPr>
      </w:pPr>
      <w:r>
        <w:rPr>
          <w:sz w:val="16"/>
        </w:rPr>
        <w:t>Batalla-Campero Diodoro. Vacunas de Encefalitis Equina Venezolana. En Zarate Aquino M., Morrilla González A., Batalla Campero D. (eds.) en Encefalitis Equinas por Arbovirus. INIFAP. México, D.F. 206-218, 1999.</w:t>
      </w:r>
    </w:p>
    <w:p>
      <w:pPr>
        <w:pStyle w:val="BodyText"/>
        <w:spacing w:before="5"/>
        <w:rPr>
          <w:sz w:val="18"/>
        </w:rPr>
      </w:pPr>
    </w:p>
    <w:p>
      <w:pPr>
        <w:spacing w:line="276" w:lineRule="auto" w:before="0"/>
        <w:ind w:left="102" w:right="116" w:firstLine="0"/>
        <w:jc w:val="both"/>
        <w:rPr>
          <w:sz w:val="16"/>
        </w:rPr>
      </w:pPr>
      <w:r>
        <w:rPr>
          <w:sz w:val="16"/>
        </w:rPr>
        <w:t>137</w:t>
      </w:r>
      <w:r>
        <w:rPr>
          <w:spacing w:val="-10"/>
          <w:sz w:val="16"/>
        </w:rPr>
        <w:t> </w:t>
      </w:r>
      <w:r>
        <w:rPr>
          <w:sz w:val="16"/>
        </w:rPr>
        <w:t>Pedersen,</w:t>
      </w:r>
      <w:r>
        <w:rPr>
          <w:spacing w:val="-9"/>
          <w:sz w:val="16"/>
        </w:rPr>
        <w:t> </w:t>
      </w:r>
      <w:r>
        <w:rPr>
          <w:sz w:val="16"/>
        </w:rPr>
        <w:t>C.E.,</w:t>
      </w:r>
      <w:r>
        <w:rPr>
          <w:spacing w:val="-9"/>
          <w:sz w:val="16"/>
        </w:rPr>
        <w:t> </w:t>
      </w:r>
      <w:r>
        <w:rPr>
          <w:sz w:val="16"/>
        </w:rPr>
        <w:t>Robinson,</w:t>
      </w:r>
      <w:r>
        <w:rPr>
          <w:spacing w:val="-9"/>
          <w:sz w:val="16"/>
        </w:rPr>
        <w:t> </w:t>
      </w:r>
      <w:r>
        <w:rPr>
          <w:sz w:val="16"/>
        </w:rPr>
        <w:t>D.M.,</w:t>
      </w:r>
      <w:r>
        <w:rPr>
          <w:spacing w:val="-9"/>
          <w:sz w:val="16"/>
        </w:rPr>
        <w:t> </w:t>
      </w:r>
      <w:r>
        <w:rPr>
          <w:sz w:val="16"/>
        </w:rPr>
        <w:t>Cole,</w:t>
      </w:r>
      <w:r>
        <w:rPr>
          <w:spacing w:val="-9"/>
          <w:sz w:val="16"/>
        </w:rPr>
        <w:t> </w:t>
      </w:r>
      <w:r>
        <w:rPr>
          <w:sz w:val="16"/>
        </w:rPr>
        <w:t>F.</w:t>
      </w:r>
      <w:r>
        <w:rPr>
          <w:spacing w:val="-11"/>
          <w:sz w:val="16"/>
        </w:rPr>
        <w:t> </w:t>
      </w:r>
      <w:r>
        <w:rPr>
          <w:sz w:val="16"/>
        </w:rPr>
        <w:t>E.:</w:t>
      </w:r>
      <w:r>
        <w:rPr>
          <w:spacing w:val="-8"/>
          <w:sz w:val="16"/>
        </w:rPr>
        <w:t> </w:t>
      </w:r>
      <w:r>
        <w:rPr>
          <w:sz w:val="16"/>
        </w:rPr>
        <w:t>Isolation of the vaccine strain of Venezuelan equine encephalomyelitis</w:t>
      </w:r>
      <w:r>
        <w:rPr>
          <w:spacing w:val="-11"/>
          <w:sz w:val="16"/>
        </w:rPr>
        <w:t> </w:t>
      </w:r>
      <w:r>
        <w:rPr>
          <w:sz w:val="16"/>
        </w:rPr>
        <w:t>virus</w:t>
      </w:r>
      <w:r>
        <w:rPr>
          <w:spacing w:val="-11"/>
          <w:sz w:val="16"/>
        </w:rPr>
        <w:t> </w:t>
      </w:r>
      <w:r>
        <w:rPr>
          <w:sz w:val="16"/>
        </w:rPr>
        <w:t>from</w:t>
      </w:r>
      <w:r>
        <w:rPr>
          <w:spacing w:val="-10"/>
          <w:sz w:val="16"/>
        </w:rPr>
        <w:t> </w:t>
      </w:r>
      <w:r>
        <w:rPr>
          <w:sz w:val="16"/>
        </w:rPr>
        <w:t>mosquitoes</w:t>
      </w:r>
      <w:r>
        <w:rPr>
          <w:spacing w:val="-11"/>
          <w:sz w:val="16"/>
        </w:rPr>
        <w:t> </w:t>
      </w:r>
      <w:r>
        <w:rPr>
          <w:sz w:val="16"/>
        </w:rPr>
        <w:t>in</w:t>
      </w:r>
      <w:r>
        <w:rPr>
          <w:spacing w:val="-11"/>
          <w:sz w:val="16"/>
        </w:rPr>
        <w:t> </w:t>
      </w:r>
      <w:r>
        <w:rPr>
          <w:sz w:val="16"/>
        </w:rPr>
        <w:t>Louisiana.</w:t>
      </w:r>
      <w:r>
        <w:rPr>
          <w:spacing w:val="-13"/>
          <w:sz w:val="16"/>
        </w:rPr>
        <w:t> </w:t>
      </w:r>
      <w:r>
        <w:rPr>
          <w:sz w:val="16"/>
        </w:rPr>
        <w:t>Am J Epidemiol. 95(5):490-496,</w:t>
      </w:r>
      <w:r>
        <w:rPr>
          <w:spacing w:val="-12"/>
          <w:sz w:val="16"/>
        </w:rPr>
        <w:t> </w:t>
      </w:r>
      <w:r>
        <w:rPr>
          <w:sz w:val="16"/>
        </w:rPr>
        <w:t>1972.</w:t>
      </w:r>
    </w:p>
    <w:p>
      <w:pPr>
        <w:pStyle w:val="BodyText"/>
        <w:spacing w:before="7"/>
        <w:rPr>
          <w:sz w:val="18"/>
        </w:rPr>
      </w:pPr>
    </w:p>
    <w:p>
      <w:pPr>
        <w:pStyle w:val="ListParagraph"/>
        <w:numPr>
          <w:ilvl w:val="0"/>
          <w:numId w:val="31"/>
        </w:numPr>
        <w:tabs>
          <w:tab w:pos="484" w:val="left" w:leader="none"/>
        </w:tabs>
        <w:spacing w:line="276" w:lineRule="auto" w:before="0" w:after="0"/>
        <w:ind w:left="102" w:right="116" w:firstLine="0"/>
        <w:jc w:val="left"/>
        <w:rPr>
          <w:sz w:val="16"/>
        </w:rPr>
      </w:pPr>
      <w:r>
        <w:rPr>
          <w:sz w:val="16"/>
        </w:rPr>
        <w:t>Adams AP, Navarro-Lopez R, Ramirez-Aguilar FJ, Lopez-Gonzalez I, Leal G, et al. (2012) Venezuelan Equine Encephalitis Virus Activity in the Gulf Coast Region</w:t>
      </w:r>
      <w:r>
        <w:rPr>
          <w:spacing w:val="-6"/>
          <w:sz w:val="16"/>
        </w:rPr>
        <w:t> </w:t>
      </w:r>
      <w:r>
        <w:rPr>
          <w:sz w:val="16"/>
        </w:rPr>
        <w:t>of</w:t>
      </w:r>
      <w:r>
        <w:rPr>
          <w:spacing w:val="-6"/>
          <w:sz w:val="16"/>
        </w:rPr>
        <w:t> </w:t>
      </w:r>
      <w:r>
        <w:rPr>
          <w:sz w:val="16"/>
        </w:rPr>
        <w:t>Mexico,</w:t>
      </w:r>
      <w:r>
        <w:rPr>
          <w:spacing w:val="-4"/>
          <w:sz w:val="16"/>
        </w:rPr>
        <w:t> </w:t>
      </w:r>
      <w:r>
        <w:rPr>
          <w:sz w:val="16"/>
        </w:rPr>
        <w:t>2003–2010.</w:t>
      </w:r>
      <w:r>
        <w:rPr>
          <w:spacing w:val="-6"/>
          <w:sz w:val="16"/>
        </w:rPr>
        <w:t> </w:t>
      </w:r>
      <w:r>
        <w:rPr>
          <w:sz w:val="16"/>
        </w:rPr>
        <w:t>PLoS</w:t>
      </w:r>
      <w:r>
        <w:rPr>
          <w:spacing w:val="-4"/>
          <w:sz w:val="16"/>
        </w:rPr>
        <w:t> </w:t>
      </w:r>
      <w:r>
        <w:rPr>
          <w:sz w:val="16"/>
        </w:rPr>
        <w:t>Negl</w:t>
      </w:r>
      <w:r>
        <w:rPr>
          <w:spacing w:val="-7"/>
          <w:sz w:val="16"/>
        </w:rPr>
        <w:t> </w:t>
      </w:r>
      <w:r>
        <w:rPr>
          <w:sz w:val="16"/>
        </w:rPr>
        <w:t>Trop</w:t>
      </w:r>
      <w:r>
        <w:rPr>
          <w:spacing w:val="-7"/>
          <w:sz w:val="16"/>
        </w:rPr>
        <w:t> </w:t>
      </w:r>
      <w:r>
        <w:rPr>
          <w:sz w:val="16"/>
        </w:rPr>
        <w:t>Dis</w:t>
      </w:r>
      <w:r>
        <w:rPr>
          <w:spacing w:val="-6"/>
          <w:sz w:val="16"/>
        </w:rPr>
        <w:t> </w:t>
      </w:r>
      <w:r>
        <w:rPr>
          <w:sz w:val="16"/>
        </w:rPr>
        <w:t>6(11): </w:t>
      </w:r>
      <w:r>
        <w:rPr>
          <w:spacing w:val="-1"/>
          <w:sz w:val="16"/>
        </w:rPr>
        <w:t>e1875.</w:t>
      </w:r>
      <w:r>
        <w:rPr>
          <w:spacing w:val="-12"/>
          <w:sz w:val="16"/>
        </w:rPr>
        <w:t> </w:t>
      </w:r>
      <w:r>
        <w:rPr>
          <w:sz w:val="16"/>
        </w:rPr>
        <w:t>doi:10.1371/journal.pntd.0001875</w:t>
      </w:r>
    </w:p>
    <w:p>
      <w:pPr>
        <w:pStyle w:val="BodyText"/>
        <w:rPr>
          <w:sz w:val="16"/>
        </w:rPr>
      </w:pPr>
    </w:p>
    <w:p>
      <w:pPr>
        <w:pStyle w:val="BodyText"/>
        <w:spacing w:before="4"/>
        <w:rPr>
          <w:sz w:val="16"/>
        </w:rPr>
      </w:pPr>
    </w:p>
    <w:p>
      <w:pPr>
        <w:pStyle w:val="ListParagraph"/>
        <w:numPr>
          <w:ilvl w:val="0"/>
          <w:numId w:val="31"/>
        </w:numPr>
        <w:tabs>
          <w:tab w:pos="515" w:val="left" w:leader="none"/>
        </w:tabs>
        <w:spacing w:line="276" w:lineRule="auto" w:before="0" w:after="0"/>
        <w:ind w:left="102" w:right="116" w:firstLine="0"/>
        <w:jc w:val="both"/>
        <w:rPr>
          <w:sz w:val="16"/>
        </w:rPr>
      </w:pPr>
      <w:r>
        <w:rPr>
          <w:sz w:val="16"/>
        </w:rPr>
        <w:t>Estrada-Franco, J.G., Navarro-López, R., Freier, J.E.,</w:t>
      </w:r>
      <w:r>
        <w:rPr>
          <w:spacing w:val="-11"/>
          <w:sz w:val="16"/>
        </w:rPr>
        <w:t> </w:t>
      </w:r>
      <w:r>
        <w:rPr>
          <w:sz w:val="16"/>
        </w:rPr>
        <w:t>Cordova,</w:t>
      </w:r>
      <w:r>
        <w:rPr>
          <w:spacing w:val="-11"/>
          <w:sz w:val="16"/>
        </w:rPr>
        <w:t> </w:t>
      </w:r>
      <w:r>
        <w:rPr>
          <w:sz w:val="16"/>
        </w:rPr>
        <w:t>D.,</w:t>
      </w:r>
      <w:r>
        <w:rPr>
          <w:spacing w:val="-11"/>
          <w:sz w:val="16"/>
        </w:rPr>
        <w:t> </w:t>
      </w:r>
      <w:r>
        <w:rPr>
          <w:sz w:val="16"/>
        </w:rPr>
        <w:t>Clements,</w:t>
      </w:r>
      <w:r>
        <w:rPr>
          <w:spacing w:val="-14"/>
          <w:sz w:val="16"/>
        </w:rPr>
        <w:t> </w:t>
      </w:r>
      <w:r>
        <w:rPr>
          <w:sz w:val="16"/>
        </w:rPr>
        <w:t>T.,</w:t>
      </w:r>
      <w:r>
        <w:rPr>
          <w:spacing w:val="-13"/>
          <w:sz w:val="16"/>
        </w:rPr>
        <w:t> </w:t>
      </w:r>
      <w:r>
        <w:rPr>
          <w:sz w:val="16"/>
        </w:rPr>
        <w:t>Moncayo,</w:t>
      </w:r>
      <w:r>
        <w:rPr>
          <w:spacing w:val="-11"/>
          <w:sz w:val="16"/>
        </w:rPr>
        <w:t> </w:t>
      </w:r>
      <w:r>
        <w:rPr>
          <w:sz w:val="16"/>
        </w:rPr>
        <w:t>A.:</w:t>
      </w:r>
      <w:r>
        <w:rPr>
          <w:spacing w:val="-11"/>
          <w:sz w:val="16"/>
        </w:rPr>
        <w:t> </w:t>
      </w:r>
      <w:r>
        <w:rPr>
          <w:sz w:val="16"/>
        </w:rPr>
        <w:t>Venezuelan equine encephalitis virus, Southern Mexico. Emerging Infectious Diseases.10: 2113-2121,</w:t>
      </w:r>
      <w:r>
        <w:rPr>
          <w:spacing w:val="-17"/>
          <w:sz w:val="16"/>
        </w:rPr>
        <w:t> </w:t>
      </w:r>
      <w:r>
        <w:rPr>
          <w:sz w:val="16"/>
        </w:rPr>
        <w:t>2004.</w:t>
      </w:r>
    </w:p>
    <w:p>
      <w:pPr>
        <w:pStyle w:val="BodyText"/>
        <w:spacing w:before="4"/>
        <w:rPr>
          <w:sz w:val="18"/>
        </w:rPr>
      </w:pPr>
    </w:p>
    <w:p>
      <w:pPr>
        <w:pStyle w:val="ListParagraph"/>
        <w:numPr>
          <w:ilvl w:val="0"/>
          <w:numId w:val="31"/>
        </w:numPr>
        <w:tabs>
          <w:tab w:pos="508" w:val="left" w:leader="none"/>
        </w:tabs>
        <w:spacing w:line="276" w:lineRule="auto" w:before="0" w:after="0"/>
        <w:ind w:left="102" w:right="115" w:firstLine="0"/>
        <w:jc w:val="both"/>
        <w:rPr>
          <w:sz w:val="16"/>
        </w:rPr>
      </w:pPr>
      <w:r>
        <w:rPr>
          <w:sz w:val="16"/>
        </w:rPr>
        <w:t>Martin, D.H., Dietz, W.H., Alvarez, O., Johnson, K.M.:.Epidemiological significance of Venezuelan equine encephalomyelitis virus in vitro markers. </w:t>
      </w:r>
      <w:r>
        <w:rPr>
          <w:i/>
          <w:sz w:val="16"/>
        </w:rPr>
        <w:t>Am J Trop Med </w:t>
      </w:r>
      <w:r>
        <w:rPr>
          <w:i/>
          <w:sz w:val="16"/>
        </w:rPr>
        <w:t>Hyg 31:</w:t>
      </w:r>
      <w:r>
        <w:rPr>
          <w:sz w:val="16"/>
        </w:rPr>
        <w:t>561–568,</w:t>
      </w:r>
      <w:r>
        <w:rPr>
          <w:spacing w:val="-7"/>
          <w:sz w:val="16"/>
        </w:rPr>
        <w:t> </w:t>
      </w:r>
      <w:r>
        <w:rPr>
          <w:sz w:val="16"/>
        </w:rPr>
        <w:t>1982.</w:t>
      </w:r>
    </w:p>
    <w:p>
      <w:pPr>
        <w:pStyle w:val="BodyText"/>
        <w:spacing w:before="4"/>
        <w:rPr>
          <w:sz w:val="18"/>
        </w:rPr>
      </w:pPr>
    </w:p>
    <w:p>
      <w:pPr>
        <w:pStyle w:val="ListParagraph"/>
        <w:numPr>
          <w:ilvl w:val="0"/>
          <w:numId w:val="31"/>
        </w:numPr>
        <w:tabs>
          <w:tab w:pos="491" w:val="left" w:leader="none"/>
        </w:tabs>
        <w:spacing w:line="276" w:lineRule="auto" w:before="0" w:after="0"/>
        <w:ind w:left="102" w:right="118" w:firstLine="0"/>
        <w:jc w:val="both"/>
        <w:rPr>
          <w:sz w:val="16"/>
        </w:rPr>
      </w:pPr>
      <w:r>
        <w:rPr>
          <w:sz w:val="16"/>
        </w:rPr>
        <w:t>Garman, J.L., Scherer, W.F., Dickerman, R.W.: A study of equine virulence of naturally occurring Venezuelan</w:t>
      </w:r>
      <w:r>
        <w:rPr>
          <w:spacing w:val="-13"/>
          <w:sz w:val="16"/>
        </w:rPr>
        <w:t> </w:t>
      </w:r>
      <w:r>
        <w:rPr>
          <w:sz w:val="16"/>
        </w:rPr>
        <w:t>encephalitis</w:t>
      </w:r>
      <w:r>
        <w:rPr>
          <w:spacing w:val="-11"/>
          <w:sz w:val="16"/>
        </w:rPr>
        <w:t> </w:t>
      </w:r>
      <w:r>
        <w:rPr>
          <w:sz w:val="16"/>
        </w:rPr>
        <w:t>virus</w:t>
      </w:r>
      <w:r>
        <w:rPr>
          <w:spacing w:val="-13"/>
          <w:sz w:val="16"/>
        </w:rPr>
        <w:t> </w:t>
      </w:r>
      <w:r>
        <w:rPr>
          <w:sz w:val="16"/>
        </w:rPr>
        <w:t>in</w:t>
      </w:r>
      <w:r>
        <w:rPr>
          <w:spacing w:val="-12"/>
          <w:sz w:val="16"/>
        </w:rPr>
        <w:t> </w:t>
      </w:r>
      <w:r>
        <w:rPr>
          <w:sz w:val="16"/>
        </w:rPr>
        <w:t>Veracruz</w:t>
      </w:r>
      <w:r>
        <w:rPr>
          <w:spacing w:val="-13"/>
          <w:sz w:val="16"/>
        </w:rPr>
        <w:t> </w:t>
      </w:r>
      <w:r>
        <w:rPr>
          <w:sz w:val="16"/>
        </w:rPr>
        <w:t>with</w:t>
      </w:r>
      <w:r>
        <w:rPr>
          <w:spacing w:val="-13"/>
          <w:sz w:val="16"/>
        </w:rPr>
        <w:t> </w:t>
      </w:r>
      <w:r>
        <w:rPr>
          <w:sz w:val="16"/>
        </w:rPr>
        <w:t>description of antibody responses. </w:t>
      </w:r>
      <w:r>
        <w:rPr>
          <w:i/>
          <w:sz w:val="16"/>
        </w:rPr>
        <w:t>Bol Oficina Sanit Panam 65: </w:t>
      </w:r>
      <w:r>
        <w:rPr>
          <w:sz w:val="16"/>
        </w:rPr>
        <w:t>238– 252,</w:t>
      </w:r>
      <w:r>
        <w:rPr>
          <w:spacing w:val="-3"/>
          <w:sz w:val="16"/>
        </w:rPr>
        <w:t> </w:t>
      </w:r>
      <w:r>
        <w:rPr>
          <w:sz w:val="16"/>
        </w:rPr>
        <w:t>1968.</w:t>
      </w:r>
    </w:p>
    <w:p>
      <w:pPr>
        <w:spacing w:after="0" w:line="276" w:lineRule="auto"/>
        <w:jc w:val="both"/>
        <w:rPr>
          <w:sz w:val="16"/>
        </w:rPr>
        <w:sectPr>
          <w:pgSz w:w="12240" w:h="15840"/>
          <w:pgMar w:header="0" w:footer="573" w:top="1360" w:bottom="840" w:left="1600" w:right="1580"/>
          <w:cols w:num="2" w:equalWidth="0">
            <w:col w:w="4171" w:space="601"/>
            <w:col w:w="4288"/>
          </w:cols>
        </w:sectPr>
      </w:pPr>
    </w:p>
    <w:p>
      <w:pPr>
        <w:pStyle w:val="ListParagraph"/>
        <w:numPr>
          <w:ilvl w:val="0"/>
          <w:numId w:val="31"/>
        </w:numPr>
        <w:tabs>
          <w:tab w:pos="474" w:val="left" w:leader="none"/>
        </w:tabs>
        <w:spacing w:line="278" w:lineRule="auto" w:before="54" w:after="0"/>
        <w:ind w:left="102" w:right="0" w:firstLine="0"/>
        <w:jc w:val="both"/>
        <w:rPr>
          <w:sz w:val="16"/>
        </w:rPr>
      </w:pPr>
      <w:r>
        <w:rPr>
          <w:sz w:val="16"/>
        </w:rPr>
        <w:t>Mucha-Macias, J.: Encefalitis equina de Venezuela en Tamaulipas, Mex. Rev Invest Salud Publica.26: 277– 279,</w:t>
      </w:r>
      <w:r>
        <w:rPr>
          <w:spacing w:val="-3"/>
          <w:sz w:val="16"/>
        </w:rPr>
        <w:t> </w:t>
      </w:r>
      <w:r>
        <w:rPr>
          <w:sz w:val="16"/>
        </w:rPr>
        <w:t>1966.</w:t>
      </w:r>
    </w:p>
    <w:p>
      <w:pPr>
        <w:pStyle w:val="BodyText"/>
        <w:spacing w:before="2"/>
        <w:rPr>
          <w:sz w:val="18"/>
        </w:rPr>
      </w:pPr>
    </w:p>
    <w:p>
      <w:pPr>
        <w:spacing w:line="276" w:lineRule="auto" w:before="1"/>
        <w:ind w:left="102" w:right="0" w:firstLine="0"/>
        <w:jc w:val="both"/>
        <w:rPr>
          <w:sz w:val="16"/>
        </w:rPr>
      </w:pPr>
      <w:r>
        <w:rPr>
          <w:sz w:val="16"/>
        </w:rPr>
        <w:t>143.. Morilla-Gonzalez A, de Mucha Macias, J.: Estudio de una epizootia de encefalitis equina de Venezuela ocurrida en Tamaulipas, Mex. Rev Invest Salud Publica.29:3-20, 1969.</w:t>
      </w:r>
    </w:p>
    <w:p>
      <w:pPr>
        <w:pStyle w:val="BodyText"/>
        <w:spacing w:before="4"/>
        <w:rPr>
          <w:sz w:val="18"/>
        </w:rPr>
      </w:pPr>
    </w:p>
    <w:p>
      <w:pPr>
        <w:pStyle w:val="ListParagraph"/>
        <w:numPr>
          <w:ilvl w:val="0"/>
          <w:numId w:val="32"/>
        </w:numPr>
        <w:tabs>
          <w:tab w:pos="551" w:val="left" w:leader="none"/>
        </w:tabs>
        <w:spacing w:line="276" w:lineRule="auto" w:before="0" w:after="0"/>
        <w:ind w:left="102" w:right="0" w:firstLine="0"/>
        <w:jc w:val="both"/>
        <w:rPr>
          <w:sz w:val="16"/>
        </w:rPr>
      </w:pPr>
      <w:r>
        <w:rPr>
          <w:sz w:val="16"/>
        </w:rPr>
        <w:t>Morilla-Gonzalez, A.: Encefalits Equinas por Arbovirus.</w:t>
      </w:r>
      <w:r>
        <w:rPr>
          <w:spacing w:val="-13"/>
          <w:sz w:val="16"/>
        </w:rPr>
        <w:t> </w:t>
      </w:r>
      <w:r>
        <w:rPr>
          <w:sz w:val="16"/>
        </w:rPr>
        <w:t>Zarate-Aquino</w:t>
      </w:r>
      <w:r>
        <w:rPr>
          <w:spacing w:val="-15"/>
          <w:sz w:val="16"/>
        </w:rPr>
        <w:t> </w:t>
      </w:r>
      <w:r>
        <w:rPr>
          <w:sz w:val="16"/>
        </w:rPr>
        <w:t>ML,</w:t>
      </w:r>
      <w:r>
        <w:rPr>
          <w:spacing w:val="-13"/>
          <w:sz w:val="16"/>
        </w:rPr>
        <w:t> </w:t>
      </w:r>
      <w:r>
        <w:rPr>
          <w:sz w:val="16"/>
        </w:rPr>
        <w:t>Morilla-González</w:t>
      </w:r>
      <w:r>
        <w:rPr>
          <w:spacing w:val="-13"/>
          <w:sz w:val="16"/>
        </w:rPr>
        <w:t> </w:t>
      </w:r>
      <w:r>
        <w:rPr>
          <w:sz w:val="16"/>
        </w:rPr>
        <w:t>A,</w:t>
      </w:r>
      <w:r>
        <w:rPr>
          <w:spacing w:val="-13"/>
          <w:sz w:val="16"/>
        </w:rPr>
        <w:t> </w:t>
      </w:r>
      <w:r>
        <w:rPr>
          <w:sz w:val="16"/>
        </w:rPr>
        <w:t>Batalla- Campero D, eds. La situación de la encefalitis equina Venezolana en Mexico hasta 1980, INIFAP, IICA, OPS.108–160,</w:t>
      </w:r>
      <w:r>
        <w:rPr>
          <w:spacing w:val="-5"/>
          <w:sz w:val="16"/>
        </w:rPr>
        <w:t> </w:t>
      </w:r>
      <w:r>
        <w:rPr>
          <w:sz w:val="16"/>
        </w:rPr>
        <w:t>1999.</w:t>
      </w:r>
    </w:p>
    <w:p>
      <w:pPr>
        <w:pStyle w:val="BodyText"/>
        <w:spacing w:before="7"/>
        <w:rPr>
          <w:sz w:val="18"/>
        </w:rPr>
      </w:pPr>
    </w:p>
    <w:p>
      <w:pPr>
        <w:pStyle w:val="ListParagraph"/>
        <w:numPr>
          <w:ilvl w:val="0"/>
          <w:numId w:val="32"/>
        </w:numPr>
        <w:tabs>
          <w:tab w:pos="537" w:val="left" w:leader="none"/>
        </w:tabs>
        <w:spacing w:line="276" w:lineRule="auto" w:before="0" w:after="0"/>
        <w:ind w:left="102" w:right="1" w:firstLine="0"/>
        <w:jc w:val="both"/>
        <w:rPr>
          <w:sz w:val="16"/>
        </w:rPr>
      </w:pPr>
      <w:r>
        <w:rPr>
          <w:sz w:val="16"/>
        </w:rPr>
        <w:t>Zarate, M.; Morilla-Gonzalez, D. Circulation of Venezuelan equine encephalitis virus after 20 years of silence in Tabasco, Mexico 1991. In: Zarate-Aquino, M.; Morilla-Gonzalez, A.; Batalla-Campero, D., editors. Encefalitis Equinas por Arbovirus. Instituto Nacional de Investigaciones Forestales Agricolas y Pecuarias, Instituto Interamericano de Cooperacion para la Agricultura</w:t>
      </w:r>
      <w:r>
        <w:rPr>
          <w:spacing w:val="-4"/>
          <w:sz w:val="16"/>
        </w:rPr>
        <w:t> </w:t>
      </w:r>
      <w:r>
        <w:rPr>
          <w:sz w:val="16"/>
        </w:rPr>
        <w:t>and</w:t>
      </w:r>
    </w:p>
    <w:p>
      <w:pPr>
        <w:spacing w:line="276" w:lineRule="auto" w:before="0"/>
        <w:ind w:left="102" w:right="4" w:firstLine="0"/>
        <w:jc w:val="both"/>
        <w:rPr>
          <w:sz w:val="16"/>
        </w:rPr>
      </w:pPr>
      <w:r>
        <w:rPr>
          <w:sz w:val="16"/>
        </w:rPr>
        <w:t>the Pan American Health Organization; Mexico: 1999. p. 175-187, 1991.</w:t>
      </w:r>
    </w:p>
    <w:p>
      <w:pPr>
        <w:pStyle w:val="BodyText"/>
        <w:spacing w:before="7"/>
        <w:rPr>
          <w:sz w:val="18"/>
        </w:rPr>
      </w:pPr>
    </w:p>
    <w:p>
      <w:pPr>
        <w:pStyle w:val="ListParagraph"/>
        <w:numPr>
          <w:ilvl w:val="0"/>
          <w:numId w:val="32"/>
        </w:numPr>
        <w:tabs>
          <w:tab w:pos="415" w:val="left" w:leader="none"/>
        </w:tabs>
        <w:spacing w:line="276" w:lineRule="auto" w:before="0" w:after="0"/>
        <w:ind w:left="102" w:right="0" w:firstLine="0"/>
        <w:jc w:val="both"/>
        <w:rPr>
          <w:sz w:val="16"/>
        </w:rPr>
      </w:pPr>
      <w:r>
        <w:rPr>
          <w:sz w:val="16"/>
        </w:rPr>
        <w:t>Zárate Aquino, M.L., Valdespino Gómez, J.L., Rivero Leal V., Madrigal Ayala G.: Circulación del virus de la encefalitis equina venezolana después de 20 años de silencio en Tabasco, México, 1921. In Zárate Aquino ML, Morilla González A, Batalla Campero D. Encefalitis Equinas por Arbovirus. México:</w:t>
      </w:r>
      <w:r>
        <w:rPr>
          <w:spacing w:val="-17"/>
          <w:sz w:val="16"/>
        </w:rPr>
        <w:t> </w:t>
      </w:r>
      <w:r>
        <w:rPr>
          <w:sz w:val="16"/>
        </w:rPr>
        <w:t>INIFAP.175-187.1999.)</w:t>
      </w:r>
    </w:p>
    <w:p>
      <w:pPr>
        <w:pStyle w:val="BodyText"/>
        <w:spacing w:before="7"/>
        <w:rPr>
          <w:sz w:val="18"/>
        </w:rPr>
      </w:pPr>
    </w:p>
    <w:p>
      <w:pPr>
        <w:pStyle w:val="ListParagraph"/>
        <w:numPr>
          <w:ilvl w:val="0"/>
          <w:numId w:val="32"/>
        </w:numPr>
        <w:tabs>
          <w:tab w:pos="472" w:val="left" w:leader="none"/>
        </w:tabs>
        <w:spacing w:line="271" w:lineRule="auto" w:before="0" w:after="0"/>
        <w:ind w:left="102" w:right="2" w:firstLine="0"/>
        <w:jc w:val="both"/>
        <w:rPr>
          <w:sz w:val="16"/>
        </w:rPr>
      </w:pPr>
      <w:r>
        <w:rPr>
          <w:sz w:val="16"/>
        </w:rPr>
        <w:t>Diario Oficial de la Federación. Declaratoria del dia 30 de junio de</w:t>
      </w:r>
      <w:r>
        <w:rPr>
          <w:spacing w:val="-4"/>
          <w:sz w:val="16"/>
        </w:rPr>
        <w:t> </w:t>
      </w:r>
      <w:r>
        <w:rPr>
          <w:sz w:val="16"/>
        </w:rPr>
        <w:t>1992.</w:t>
      </w:r>
    </w:p>
    <w:p>
      <w:pPr>
        <w:pStyle w:val="BodyText"/>
        <w:rPr>
          <w:sz w:val="16"/>
        </w:rPr>
      </w:pPr>
    </w:p>
    <w:p>
      <w:pPr>
        <w:pStyle w:val="BodyText"/>
        <w:spacing w:before="10"/>
        <w:rPr>
          <w:sz w:val="16"/>
        </w:rPr>
      </w:pPr>
    </w:p>
    <w:p>
      <w:pPr>
        <w:pStyle w:val="ListParagraph"/>
        <w:numPr>
          <w:ilvl w:val="0"/>
          <w:numId w:val="32"/>
        </w:numPr>
        <w:tabs>
          <w:tab w:pos="503" w:val="left" w:leader="none"/>
        </w:tabs>
        <w:spacing w:line="276" w:lineRule="auto" w:before="0" w:after="0"/>
        <w:ind w:left="102" w:right="2" w:firstLine="0"/>
        <w:jc w:val="both"/>
        <w:rPr>
          <w:sz w:val="16"/>
        </w:rPr>
      </w:pPr>
      <w:r>
        <w:rPr>
          <w:sz w:val="16"/>
        </w:rPr>
        <w:t>Encefalitis Equinas por Arbovirus. Instituto Nacional de</w:t>
      </w:r>
      <w:r>
        <w:rPr>
          <w:spacing w:val="-7"/>
          <w:sz w:val="16"/>
        </w:rPr>
        <w:t> </w:t>
      </w:r>
      <w:r>
        <w:rPr>
          <w:sz w:val="16"/>
        </w:rPr>
        <w:t>Investigaciones</w:t>
      </w:r>
    </w:p>
    <w:p>
      <w:pPr>
        <w:spacing w:line="278" w:lineRule="auto" w:before="54"/>
        <w:ind w:left="102" w:right="115" w:firstLine="0"/>
        <w:jc w:val="both"/>
        <w:rPr>
          <w:sz w:val="16"/>
        </w:rPr>
      </w:pPr>
      <w:r>
        <w:rPr/>
        <w:br w:type="column"/>
      </w:r>
      <w:r>
        <w:rPr>
          <w:sz w:val="16"/>
        </w:rPr>
        <w:t>Forestales</w:t>
      </w:r>
      <w:r>
        <w:rPr>
          <w:spacing w:val="-10"/>
          <w:sz w:val="16"/>
        </w:rPr>
        <w:t> </w:t>
      </w:r>
      <w:r>
        <w:rPr>
          <w:sz w:val="16"/>
        </w:rPr>
        <w:t>Agricolas</w:t>
      </w:r>
      <w:r>
        <w:rPr>
          <w:spacing w:val="-10"/>
          <w:sz w:val="16"/>
        </w:rPr>
        <w:t> </w:t>
      </w:r>
      <w:r>
        <w:rPr>
          <w:sz w:val="16"/>
        </w:rPr>
        <w:t>y</w:t>
      </w:r>
      <w:r>
        <w:rPr>
          <w:spacing w:val="-11"/>
          <w:sz w:val="16"/>
        </w:rPr>
        <w:t> </w:t>
      </w:r>
      <w:r>
        <w:rPr>
          <w:sz w:val="16"/>
        </w:rPr>
        <w:t>Pecuarias,</w:t>
      </w:r>
      <w:r>
        <w:rPr>
          <w:spacing w:val="-10"/>
          <w:sz w:val="16"/>
        </w:rPr>
        <w:t> </w:t>
      </w:r>
      <w:r>
        <w:rPr>
          <w:sz w:val="16"/>
        </w:rPr>
        <w:t>Instituto</w:t>
      </w:r>
      <w:r>
        <w:rPr>
          <w:spacing w:val="-9"/>
          <w:sz w:val="16"/>
        </w:rPr>
        <w:t> </w:t>
      </w:r>
      <w:r>
        <w:rPr>
          <w:sz w:val="16"/>
        </w:rPr>
        <w:t>Interamericano de</w:t>
      </w:r>
      <w:r>
        <w:rPr>
          <w:spacing w:val="-6"/>
          <w:sz w:val="16"/>
        </w:rPr>
        <w:t> </w:t>
      </w:r>
      <w:r>
        <w:rPr>
          <w:sz w:val="16"/>
        </w:rPr>
        <w:t>Cooperación</w:t>
      </w:r>
      <w:r>
        <w:rPr>
          <w:spacing w:val="-6"/>
          <w:sz w:val="16"/>
        </w:rPr>
        <w:t> </w:t>
      </w:r>
      <w:r>
        <w:rPr>
          <w:sz w:val="16"/>
        </w:rPr>
        <w:t>para</w:t>
      </w:r>
      <w:r>
        <w:rPr>
          <w:spacing w:val="-6"/>
          <w:sz w:val="16"/>
        </w:rPr>
        <w:t> </w:t>
      </w:r>
      <w:r>
        <w:rPr>
          <w:sz w:val="16"/>
        </w:rPr>
        <w:t>la</w:t>
      </w:r>
      <w:r>
        <w:rPr>
          <w:spacing w:val="-5"/>
          <w:sz w:val="16"/>
        </w:rPr>
        <w:t> </w:t>
      </w:r>
      <w:r>
        <w:rPr>
          <w:sz w:val="16"/>
        </w:rPr>
        <w:t>Agricultura</w:t>
      </w:r>
      <w:r>
        <w:rPr>
          <w:spacing w:val="-8"/>
          <w:sz w:val="16"/>
        </w:rPr>
        <w:t> </w:t>
      </w:r>
      <w:r>
        <w:rPr>
          <w:sz w:val="16"/>
        </w:rPr>
        <w:t>and</w:t>
      </w:r>
      <w:r>
        <w:rPr>
          <w:spacing w:val="-6"/>
          <w:sz w:val="16"/>
        </w:rPr>
        <w:t> </w:t>
      </w:r>
      <w:r>
        <w:rPr>
          <w:sz w:val="16"/>
        </w:rPr>
        <w:t>the</w:t>
      </w:r>
      <w:r>
        <w:rPr>
          <w:spacing w:val="-8"/>
          <w:sz w:val="16"/>
        </w:rPr>
        <w:t> </w:t>
      </w:r>
      <w:r>
        <w:rPr>
          <w:sz w:val="16"/>
        </w:rPr>
        <w:t>Pan</w:t>
      </w:r>
      <w:r>
        <w:rPr>
          <w:spacing w:val="-6"/>
          <w:sz w:val="16"/>
        </w:rPr>
        <w:t> </w:t>
      </w:r>
      <w:r>
        <w:rPr>
          <w:sz w:val="16"/>
        </w:rPr>
        <w:t>American Health Organization; Mexico:189-193,</w:t>
      </w:r>
      <w:r>
        <w:rPr>
          <w:spacing w:val="-14"/>
          <w:sz w:val="16"/>
        </w:rPr>
        <w:t> </w:t>
      </w:r>
      <w:r>
        <w:rPr>
          <w:sz w:val="16"/>
        </w:rPr>
        <w:t>1999.</w:t>
      </w:r>
    </w:p>
    <w:p>
      <w:pPr>
        <w:pStyle w:val="BodyText"/>
        <w:spacing w:before="2"/>
        <w:rPr>
          <w:sz w:val="18"/>
        </w:rPr>
      </w:pPr>
    </w:p>
    <w:p>
      <w:pPr>
        <w:pStyle w:val="ListParagraph"/>
        <w:numPr>
          <w:ilvl w:val="0"/>
          <w:numId w:val="32"/>
        </w:numPr>
        <w:tabs>
          <w:tab w:pos="515" w:val="left" w:leader="none"/>
        </w:tabs>
        <w:spacing w:line="276" w:lineRule="auto" w:before="1" w:after="0"/>
        <w:ind w:left="102" w:right="116" w:firstLine="0"/>
        <w:jc w:val="both"/>
        <w:rPr>
          <w:sz w:val="16"/>
        </w:rPr>
      </w:pPr>
      <w:r>
        <w:rPr>
          <w:sz w:val="16"/>
        </w:rPr>
        <w:t>Estrada-Franco, J.G., Navarro-López, R., Freier, J.E.,</w:t>
      </w:r>
      <w:r>
        <w:rPr>
          <w:spacing w:val="-11"/>
          <w:sz w:val="16"/>
        </w:rPr>
        <w:t> </w:t>
      </w:r>
      <w:r>
        <w:rPr>
          <w:sz w:val="16"/>
        </w:rPr>
        <w:t>Cordova,</w:t>
      </w:r>
      <w:r>
        <w:rPr>
          <w:spacing w:val="-11"/>
          <w:sz w:val="16"/>
        </w:rPr>
        <w:t> </w:t>
      </w:r>
      <w:r>
        <w:rPr>
          <w:sz w:val="16"/>
        </w:rPr>
        <w:t>D.,</w:t>
      </w:r>
      <w:r>
        <w:rPr>
          <w:spacing w:val="-11"/>
          <w:sz w:val="16"/>
        </w:rPr>
        <w:t> </w:t>
      </w:r>
      <w:r>
        <w:rPr>
          <w:sz w:val="16"/>
        </w:rPr>
        <w:t>Clements,</w:t>
      </w:r>
      <w:r>
        <w:rPr>
          <w:spacing w:val="-14"/>
          <w:sz w:val="16"/>
        </w:rPr>
        <w:t> </w:t>
      </w:r>
      <w:r>
        <w:rPr>
          <w:sz w:val="16"/>
        </w:rPr>
        <w:t>T.,</w:t>
      </w:r>
      <w:r>
        <w:rPr>
          <w:spacing w:val="-13"/>
          <w:sz w:val="16"/>
        </w:rPr>
        <w:t> </w:t>
      </w:r>
      <w:r>
        <w:rPr>
          <w:sz w:val="16"/>
        </w:rPr>
        <w:t>Moncayo,</w:t>
      </w:r>
      <w:r>
        <w:rPr>
          <w:spacing w:val="-11"/>
          <w:sz w:val="16"/>
        </w:rPr>
        <w:t> </w:t>
      </w:r>
      <w:r>
        <w:rPr>
          <w:sz w:val="16"/>
        </w:rPr>
        <w:t>A.:</w:t>
      </w:r>
      <w:r>
        <w:rPr>
          <w:spacing w:val="-11"/>
          <w:sz w:val="16"/>
        </w:rPr>
        <w:t> </w:t>
      </w:r>
      <w:r>
        <w:rPr>
          <w:sz w:val="16"/>
        </w:rPr>
        <w:t>Venezuelan equine encephalitis virus, Southern Mexico. Emerging Infectious Diseases.10: 2113-2121,</w:t>
      </w:r>
      <w:r>
        <w:rPr>
          <w:spacing w:val="-17"/>
          <w:sz w:val="16"/>
        </w:rPr>
        <w:t> </w:t>
      </w:r>
      <w:r>
        <w:rPr>
          <w:sz w:val="16"/>
        </w:rPr>
        <w:t>2004.</w:t>
      </w:r>
    </w:p>
    <w:p>
      <w:pPr>
        <w:pStyle w:val="BodyText"/>
        <w:spacing w:before="4"/>
        <w:rPr>
          <w:sz w:val="18"/>
        </w:rPr>
      </w:pPr>
    </w:p>
    <w:p>
      <w:pPr>
        <w:pStyle w:val="ListParagraph"/>
        <w:numPr>
          <w:ilvl w:val="0"/>
          <w:numId w:val="32"/>
        </w:numPr>
        <w:tabs>
          <w:tab w:pos="529" w:val="left" w:leader="none"/>
        </w:tabs>
        <w:spacing w:line="276" w:lineRule="auto" w:before="0" w:after="0"/>
        <w:ind w:left="102" w:right="116" w:firstLine="0"/>
        <w:jc w:val="both"/>
        <w:rPr>
          <w:sz w:val="16"/>
        </w:rPr>
      </w:pPr>
      <w:r>
        <w:rPr>
          <w:sz w:val="16"/>
        </w:rPr>
        <w:t>Deardorff, E.R., Weaver, S.C.: Vector competence of </w:t>
      </w:r>
      <w:r>
        <w:rPr>
          <w:i/>
          <w:sz w:val="16"/>
        </w:rPr>
        <w:t>Culex (Melanoconion) taeniopus </w:t>
      </w:r>
      <w:r>
        <w:rPr>
          <w:sz w:val="16"/>
        </w:rPr>
        <w:t>for equinevirulent subtype IE strains of Venezuelan equine encephalitis virus. Am J Trop Med Hyg.82:1047–1052,</w:t>
      </w:r>
      <w:r>
        <w:rPr>
          <w:spacing w:val="-16"/>
          <w:sz w:val="16"/>
        </w:rPr>
        <w:t> </w:t>
      </w:r>
      <w:r>
        <w:rPr>
          <w:sz w:val="16"/>
        </w:rPr>
        <w:t>2010.</w:t>
      </w:r>
    </w:p>
    <w:p>
      <w:pPr>
        <w:pStyle w:val="BodyText"/>
        <w:spacing w:before="7"/>
        <w:rPr>
          <w:sz w:val="18"/>
        </w:rPr>
      </w:pPr>
    </w:p>
    <w:p>
      <w:pPr>
        <w:pStyle w:val="ListParagraph"/>
        <w:numPr>
          <w:ilvl w:val="0"/>
          <w:numId w:val="32"/>
        </w:numPr>
        <w:tabs>
          <w:tab w:pos="546" w:val="left" w:leader="none"/>
        </w:tabs>
        <w:spacing w:line="276" w:lineRule="auto" w:before="0" w:after="0"/>
        <w:ind w:left="102" w:right="115" w:firstLine="0"/>
        <w:jc w:val="both"/>
        <w:rPr>
          <w:sz w:val="16"/>
        </w:rPr>
      </w:pPr>
      <w:r>
        <w:rPr>
          <w:sz w:val="16"/>
        </w:rPr>
        <w:t>Scherer, W.F., Dickerman, R.W., Chia, C.W., Ventura, A., Moorhouse, A., Geiger, R.: Venezuelan equine</w:t>
      </w:r>
      <w:r>
        <w:rPr>
          <w:spacing w:val="-10"/>
          <w:sz w:val="16"/>
        </w:rPr>
        <w:t> </w:t>
      </w:r>
      <w:r>
        <w:rPr>
          <w:sz w:val="16"/>
        </w:rPr>
        <w:t>encephalitis</w:t>
      </w:r>
      <w:r>
        <w:rPr>
          <w:spacing w:val="-10"/>
          <w:sz w:val="16"/>
        </w:rPr>
        <w:t> </w:t>
      </w:r>
      <w:r>
        <w:rPr>
          <w:sz w:val="16"/>
        </w:rPr>
        <w:t>virus</w:t>
      </w:r>
      <w:r>
        <w:rPr>
          <w:spacing w:val="-11"/>
          <w:sz w:val="16"/>
        </w:rPr>
        <w:t> </w:t>
      </w:r>
      <w:r>
        <w:rPr>
          <w:sz w:val="16"/>
        </w:rPr>
        <w:t>in</w:t>
      </w:r>
      <w:r>
        <w:rPr>
          <w:spacing w:val="-12"/>
          <w:sz w:val="16"/>
        </w:rPr>
        <w:t> </w:t>
      </w:r>
      <w:r>
        <w:rPr>
          <w:sz w:val="16"/>
        </w:rPr>
        <w:t>Veracruz,</w:t>
      </w:r>
      <w:r>
        <w:rPr>
          <w:spacing w:val="-9"/>
          <w:sz w:val="16"/>
        </w:rPr>
        <w:t> </w:t>
      </w:r>
      <w:r>
        <w:rPr>
          <w:sz w:val="16"/>
        </w:rPr>
        <w:t>Mexico,</w:t>
      </w:r>
      <w:r>
        <w:rPr>
          <w:spacing w:val="-9"/>
          <w:sz w:val="16"/>
        </w:rPr>
        <w:t> </w:t>
      </w:r>
      <w:r>
        <w:rPr>
          <w:sz w:val="16"/>
        </w:rPr>
        <w:t>and</w:t>
      </w:r>
      <w:r>
        <w:rPr>
          <w:spacing w:val="-12"/>
          <w:sz w:val="16"/>
        </w:rPr>
        <w:t> </w:t>
      </w:r>
      <w:r>
        <w:rPr>
          <w:sz w:val="16"/>
        </w:rPr>
        <w:t>the</w:t>
      </w:r>
      <w:r>
        <w:rPr>
          <w:spacing w:val="-10"/>
          <w:sz w:val="16"/>
        </w:rPr>
        <w:t> </w:t>
      </w:r>
      <w:r>
        <w:rPr>
          <w:sz w:val="16"/>
        </w:rPr>
        <w:t>use of hamsters as sentinels. Science.145:274–275. Landmark study that first detected VEEV circulation in Mexico</w:t>
      </w:r>
      <w:r>
        <w:rPr>
          <w:spacing w:val="-7"/>
          <w:sz w:val="16"/>
        </w:rPr>
        <w:t> </w:t>
      </w:r>
      <w:r>
        <w:rPr>
          <w:sz w:val="16"/>
        </w:rPr>
        <w:t>and</w:t>
      </w:r>
      <w:r>
        <w:rPr>
          <w:spacing w:val="-7"/>
          <w:sz w:val="16"/>
        </w:rPr>
        <w:t> </w:t>
      </w:r>
      <w:r>
        <w:rPr>
          <w:sz w:val="16"/>
        </w:rPr>
        <w:t>described</w:t>
      </w:r>
      <w:r>
        <w:rPr>
          <w:spacing w:val="-9"/>
          <w:sz w:val="16"/>
        </w:rPr>
        <w:t> </w:t>
      </w:r>
      <w:r>
        <w:rPr>
          <w:sz w:val="16"/>
        </w:rPr>
        <w:t>the</w:t>
      </w:r>
      <w:r>
        <w:rPr>
          <w:spacing w:val="-7"/>
          <w:sz w:val="16"/>
        </w:rPr>
        <w:t> </w:t>
      </w:r>
      <w:r>
        <w:rPr>
          <w:sz w:val="16"/>
        </w:rPr>
        <w:t>use</w:t>
      </w:r>
      <w:r>
        <w:rPr>
          <w:spacing w:val="-7"/>
          <w:sz w:val="16"/>
        </w:rPr>
        <w:t> </w:t>
      </w:r>
      <w:r>
        <w:rPr>
          <w:sz w:val="16"/>
        </w:rPr>
        <w:t>of</w:t>
      </w:r>
      <w:r>
        <w:rPr>
          <w:spacing w:val="-8"/>
          <w:sz w:val="16"/>
        </w:rPr>
        <w:t> </w:t>
      </w:r>
      <w:r>
        <w:rPr>
          <w:sz w:val="16"/>
        </w:rPr>
        <w:t>sentinel</w:t>
      </w:r>
      <w:r>
        <w:rPr>
          <w:spacing w:val="-6"/>
          <w:sz w:val="16"/>
        </w:rPr>
        <w:t> </w:t>
      </w:r>
      <w:r>
        <w:rPr>
          <w:sz w:val="16"/>
        </w:rPr>
        <w:t>hamsters,</w:t>
      </w:r>
      <w:r>
        <w:rPr>
          <w:spacing w:val="-5"/>
          <w:sz w:val="16"/>
        </w:rPr>
        <w:t> </w:t>
      </w:r>
      <w:r>
        <w:rPr>
          <w:sz w:val="16"/>
        </w:rPr>
        <w:t>which is still the most sensitive method to detect enzootic circulation,</w:t>
      </w:r>
      <w:r>
        <w:rPr>
          <w:spacing w:val="-5"/>
          <w:sz w:val="16"/>
        </w:rPr>
        <w:t> </w:t>
      </w:r>
      <w:r>
        <w:rPr>
          <w:sz w:val="16"/>
        </w:rPr>
        <w:t>1964.</w:t>
      </w:r>
    </w:p>
    <w:p>
      <w:pPr>
        <w:pStyle w:val="BodyText"/>
        <w:spacing w:before="4"/>
        <w:rPr>
          <w:sz w:val="18"/>
        </w:rPr>
      </w:pPr>
    </w:p>
    <w:p>
      <w:pPr>
        <w:pStyle w:val="ListParagraph"/>
        <w:numPr>
          <w:ilvl w:val="0"/>
          <w:numId w:val="32"/>
        </w:numPr>
        <w:tabs>
          <w:tab w:pos="453" w:val="left" w:leader="none"/>
        </w:tabs>
        <w:spacing w:line="276" w:lineRule="auto" w:before="0" w:after="0"/>
        <w:ind w:left="102" w:right="117" w:firstLine="0"/>
        <w:jc w:val="both"/>
        <w:rPr>
          <w:sz w:val="16"/>
        </w:rPr>
      </w:pPr>
      <w:r>
        <w:rPr>
          <w:sz w:val="16"/>
        </w:rPr>
        <w:t>Scherer,</w:t>
      </w:r>
      <w:r>
        <w:rPr>
          <w:spacing w:val="-13"/>
          <w:sz w:val="16"/>
        </w:rPr>
        <w:t> </w:t>
      </w:r>
      <w:r>
        <w:rPr>
          <w:sz w:val="16"/>
        </w:rPr>
        <w:t>W.F.,</w:t>
      </w:r>
      <w:r>
        <w:rPr>
          <w:spacing w:val="-9"/>
          <w:sz w:val="16"/>
        </w:rPr>
        <w:t> </w:t>
      </w:r>
      <w:r>
        <w:rPr>
          <w:sz w:val="16"/>
        </w:rPr>
        <w:t>Campillo-Sainz,</w:t>
      </w:r>
      <w:r>
        <w:rPr>
          <w:spacing w:val="-6"/>
          <w:sz w:val="16"/>
        </w:rPr>
        <w:t> </w:t>
      </w:r>
      <w:r>
        <w:rPr>
          <w:sz w:val="16"/>
        </w:rPr>
        <w:t>C.,</w:t>
      </w:r>
      <w:r>
        <w:rPr>
          <w:spacing w:val="-9"/>
          <w:sz w:val="16"/>
        </w:rPr>
        <w:t> </w:t>
      </w:r>
      <w:r>
        <w:rPr>
          <w:sz w:val="16"/>
        </w:rPr>
        <w:t>Dickerman,</w:t>
      </w:r>
      <w:r>
        <w:rPr>
          <w:spacing w:val="-9"/>
          <w:sz w:val="16"/>
        </w:rPr>
        <w:t> </w:t>
      </w:r>
      <w:r>
        <w:rPr>
          <w:sz w:val="16"/>
        </w:rPr>
        <w:t>R.W., Diaz-Najera, A. Madalengoitia, J.: Isolation of</w:t>
      </w:r>
      <w:r>
        <w:rPr>
          <w:spacing w:val="-25"/>
          <w:sz w:val="16"/>
        </w:rPr>
        <w:t> </w:t>
      </w:r>
      <w:r>
        <w:rPr>
          <w:sz w:val="16"/>
        </w:rPr>
        <w:t>Tlacotalpan virus, a new Bunyamwera-group virus from Mexican mosquitoes. Am J Trop Med Hyg.16:79–91,</w:t>
      </w:r>
      <w:r>
        <w:rPr>
          <w:spacing w:val="-17"/>
          <w:sz w:val="16"/>
        </w:rPr>
        <w:t> </w:t>
      </w:r>
      <w:r>
        <w:rPr>
          <w:sz w:val="16"/>
        </w:rPr>
        <w:t>1967.</w:t>
      </w:r>
    </w:p>
    <w:p>
      <w:pPr>
        <w:pStyle w:val="BodyText"/>
        <w:spacing w:before="4"/>
        <w:rPr>
          <w:sz w:val="18"/>
        </w:rPr>
      </w:pPr>
    </w:p>
    <w:p>
      <w:pPr>
        <w:spacing w:line="276" w:lineRule="auto" w:before="0"/>
        <w:ind w:left="102" w:right="117" w:firstLine="0"/>
        <w:jc w:val="both"/>
        <w:rPr>
          <w:sz w:val="16"/>
        </w:rPr>
      </w:pPr>
      <w:r>
        <w:rPr>
          <w:sz w:val="16"/>
        </w:rPr>
        <w:t>153.. Scherer WF, Zarate ML, Dickerman RW. Discovery and</w:t>
      </w:r>
      <w:r>
        <w:rPr>
          <w:spacing w:val="-8"/>
          <w:sz w:val="16"/>
        </w:rPr>
        <w:t> </w:t>
      </w:r>
      <w:r>
        <w:rPr>
          <w:sz w:val="16"/>
        </w:rPr>
        <w:t>identification</w:t>
      </w:r>
      <w:r>
        <w:rPr>
          <w:spacing w:val="-8"/>
          <w:sz w:val="16"/>
        </w:rPr>
        <w:t> </w:t>
      </w:r>
      <w:r>
        <w:rPr>
          <w:sz w:val="16"/>
        </w:rPr>
        <w:t>of</w:t>
      </w:r>
      <w:r>
        <w:rPr>
          <w:spacing w:val="-6"/>
          <w:sz w:val="16"/>
        </w:rPr>
        <w:t> </w:t>
      </w:r>
      <w:r>
        <w:rPr>
          <w:sz w:val="16"/>
        </w:rPr>
        <w:t>group</w:t>
      </w:r>
      <w:r>
        <w:rPr>
          <w:spacing w:val="-8"/>
          <w:sz w:val="16"/>
        </w:rPr>
        <w:t> </w:t>
      </w:r>
      <w:r>
        <w:rPr>
          <w:sz w:val="16"/>
        </w:rPr>
        <w:t>C,</w:t>
      </w:r>
      <w:r>
        <w:rPr>
          <w:spacing w:val="-6"/>
          <w:sz w:val="16"/>
        </w:rPr>
        <w:t> </w:t>
      </w:r>
      <w:r>
        <w:rPr>
          <w:sz w:val="16"/>
        </w:rPr>
        <w:t>Nepuyo</w:t>
      </w:r>
      <w:r>
        <w:rPr>
          <w:spacing w:val="-8"/>
          <w:sz w:val="16"/>
        </w:rPr>
        <w:t> </w:t>
      </w:r>
      <w:r>
        <w:rPr>
          <w:sz w:val="16"/>
        </w:rPr>
        <w:t>arbovirus</w:t>
      </w:r>
      <w:r>
        <w:rPr>
          <w:spacing w:val="-6"/>
          <w:sz w:val="16"/>
        </w:rPr>
        <w:t> </w:t>
      </w:r>
      <w:r>
        <w:rPr>
          <w:sz w:val="16"/>
        </w:rPr>
        <w:t>in</w:t>
      </w:r>
      <w:r>
        <w:rPr>
          <w:spacing w:val="-7"/>
          <w:sz w:val="16"/>
        </w:rPr>
        <w:t> </w:t>
      </w:r>
      <w:r>
        <w:rPr>
          <w:sz w:val="16"/>
        </w:rPr>
        <w:t>Mexico. Bol Oficina Sanit Panam.66:325–338,</w:t>
      </w:r>
      <w:r>
        <w:rPr>
          <w:spacing w:val="-16"/>
          <w:sz w:val="16"/>
        </w:rPr>
        <w:t> </w:t>
      </w:r>
      <w:r>
        <w:rPr>
          <w:sz w:val="16"/>
        </w:rPr>
        <w:t>1969.</w:t>
      </w:r>
    </w:p>
    <w:p>
      <w:pPr>
        <w:pStyle w:val="BodyText"/>
        <w:spacing w:before="7"/>
        <w:rPr>
          <w:sz w:val="18"/>
        </w:rPr>
      </w:pPr>
    </w:p>
    <w:p>
      <w:pPr>
        <w:spacing w:line="273" w:lineRule="auto" w:before="0"/>
        <w:ind w:left="102" w:right="119" w:firstLine="0"/>
        <w:jc w:val="both"/>
        <w:rPr>
          <w:sz w:val="16"/>
        </w:rPr>
      </w:pPr>
      <w:r>
        <w:rPr>
          <w:sz w:val="16"/>
        </w:rPr>
        <w:t>154. The Merck Veterinary Manual © Merck Sharp &amp; Dohme Corp., a subsidiary of Merck &amp; Co., Inc., Kenilworth, N.J., U.S.A, 2009-20015.</w:t>
      </w:r>
    </w:p>
    <w:p>
      <w:pPr>
        <w:spacing w:after="0" w:line="273" w:lineRule="auto"/>
        <w:jc w:val="both"/>
        <w:rPr>
          <w:sz w:val="16"/>
        </w:rPr>
        <w:sectPr>
          <w:footerReference w:type="default" r:id="rId284"/>
          <w:pgSz w:w="12240" w:h="15840"/>
          <w:pgMar w:footer="782" w:header="0" w:top="1360" w:bottom="980" w:left="1600" w:right="1580"/>
          <w:cols w:num="2" w:equalWidth="0">
            <w:col w:w="4172" w:space="600"/>
            <w:col w:w="4288"/>
          </w:cols>
        </w:sectPr>
      </w:pPr>
    </w:p>
    <w:p>
      <w:pPr>
        <w:pStyle w:val="Heading4"/>
        <w:numPr>
          <w:ilvl w:val="0"/>
          <w:numId w:val="13"/>
        </w:numPr>
        <w:tabs>
          <w:tab w:pos="4200" w:val="left" w:leader="none"/>
        </w:tabs>
        <w:spacing w:line="240" w:lineRule="auto" w:before="51" w:after="0"/>
        <w:ind w:left="4199" w:right="0" w:hanging="365"/>
        <w:jc w:val="left"/>
      </w:pPr>
      <w:r>
        <w:rPr/>
        <w:t>ANEXOS</w:t>
      </w:r>
    </w:p>
    <w:p>
      <w:pPr>
        <w:pStyle w:val="BodyText"/>
        <w:rPr>
          <w:b/>
        </w:rPr>
      </w:pPr>
    </w:p>
    <w:p>
      <w:pPr>
        <w:pStyle w:val="BodyText"/>
        <w:spacing w:before="11"/>
        <w:rPr>
          <w:b/>
          <w:sz w:val="31"/>
        </w:rPr>
      </w:pPr>
    </w:p>
    <w:p>
      <w:pPr>
        <w:spacing w:line="256" w:lineRule="auto" w:before="0"/>
        <w:ind w:left="102" w:right="1183" w:firstLine="0"/>
        <w:jc w:val="left"/>
        <w:rPr>
          <w:b/>
          <w:sz w:val="24"/>
        </w:rPr>
      </w:pPr>
      <w:r>
        <w:rPr/>
        <w:drawing>
          <wp:anchor distT="0" distB="0" distL="0" distR="0" allowOverlap="1" layoutInCell="1" locked="0" behindDoc="0" simplePos="0" relativeHeight="3328">
            <wp:simplePos x="0" y="0"/>
            <wp:positionH relativeFrom="page">
              <wp:posOffset>1080516</wp:posOffset>
            </wp:positionH>
            <wp:positionV relativeFrom="paragraph">
              <wp:posOffset>481023</wp:posOffset>
            </wp:positionV>
            <wp:extent cx="2509215" cy="2552319"/>
            <wp:effectExtent l="0" t="0" r="0" b="0"/>
            <wp:wrapTopAndBottom/>
            <wp:docPr id="39" name="image240.jpeg" descr=""/>
            <wp:cNvGraphicFramePr>
              <a:graphicFrameLocks noChangeAspect="1"/>
            </wp:cNvGraphicFramePr>
            <a:graphic>
              <a:graphicData uri="http://schemas.openxmlformats.org/drawingml/2006/picture">
                <pic:pic>
                  <pic:nvPicPr>
                    <pic:cNvPr id="40" name="image240.jpeg"/>
                    <pic:cNvPicPr/>
                  </pic:nvPicPr>
                  <pic:blipFill>
                    <a:blip r:embed="rId286" cstate="print"/>
                    <a:stretch>
                      <a:fillRect/>
                    </a:stretch>
                  </pic:blipFill>
                  <pic:spPr>
                    <a:xfrm>
                      <a:off x="0" y="0"/>
                      <a:ext cx="2509215" cy="2552319"/>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4358640</wp:posOffset>
            </wp:positionH>
            <wp:positionV relativeFrom="paragraph">
              <wp:posOffset>427683</wp:posOffset>
            </wp:positionV>
            <wp:extent cx="2653022" cy="2590038"/>
            <wp:effectExtent l="0" t="0" r="0" b="0"/>
            <wp:wrapTopAndBottom/>
            <wp:docPr id="41" name="image241.jpeg" descr=""/>
            <wp:cNvGraphicFramePr>
              <a:graphicFrameLocks noChangeAspect="1"/>
            </wp:cNvGraphicFramePr>
            <a:graphic>
              <a:graphicData uri="http://schemas.openxmlformats.org/drawingml/2006/picture">
                <pic:pic>
                  <pic:nvPicPr>
                    <pic:cNvPr id="42" name="image241.jpeg"/>
                    <pic:cNvPicPr/>
                  </pic:nvPicPr>
                  <pic:blipFill>
                    <a:blip r:embed="rId287" cstate="print"/>
                    <a:stretch>
                      <a:fillRect/>
                    </a:stretch>
                  </pic:blipFill>
                  <pic:spPr>
                    <a:xfrm>
                      <a:off x="0" y="0"/>
                      <a:ext cx="2653022" cy="2590038"/>
                    </a:xfrm>
                    <a:prstGeom prst="rect">
                      <a:avLst/>
                    </a:prstGeom>
                  </pic:spPr>
                </pic:pic>
              </a:graphicData>
            </a:graphic>
          </wp:anchor>
        </w:drawing>
      </w:r>
      <w:r>
        <w:rPr>
          <w:b/>
          <w:sz w:val="24"/>
        </w:rPr>
        <w:t>ANEXO 1. Colocación quirúrgica de dispositivo medidor de temperatura (iButton Thermochron)</w:t>
      </w:r>
    </w:p>
    <w:p>
      <w:pPr>
        <w:pStyle w:val="BodyText"/>
        <w:rPr>
          <w:b/>
          <w:sz w:val="20"/>
        </w:rPr>
      </w:pPr>
    </w:p>
    <w:p>
      <w:pPr>
        <w:pStyle w:val="BodyText"/>
        <w:spacing w:before="9"/>
        <w:rPr>
          <w:b/>
          <w:sz w:val="28"/>
        </w:rPr>
      </w:pPr>
      <w:r>
        <w:rPr/>
        <w:drawing>
          <wp:anchor distT="0" distB="0" distL="0" distR="0" allowOverlap="1" layoutInCell="1" locked="0" behindDoc="0" simplePos="0" relativeHeight="3376">
            <wp:simplePos x="0" y="0"/>
            <wp:positionH relativeFrom="page">
              <wp:posOffset>3177539</wp:posOffset>
            </wp:positionH>
            <wp:positionV relativeFrom="paragraph">
              <wp:posOffset>235216</wp:posOffset>
            </wp:positionV>
            <wp:extent cx="1710705" cy="1143000"/>
            <wp:effectExtent l="0" t="0" r="0" b="0"/>
            <wp:wrapTopAndBottom/>
            <wp:docPr id="43" name="image242.jpeg" descr=""/>
            <wp:cNvGraphicFramePr>
              <a:graphicFrameLocks noChangeAspect="1"/>
            </wp:cNvGraphicFramePr>
            <a:graphic>
              <a:graphicData uri="http://schemas.openxmlformats.org/drawingml/2006/picture">
                <pic:pic>
                  <pic:nvPicPr>
                    <pic:cNvPr id="44" name="image242.jpeg"/>
                    <pic:cNvPicPr/>
                  </pic:nvPicPr>
                  <pic:blipFill>
                    <a:blip r:embed="rId288" cstate="print"/>
                    <a:stretch>
                      <a:fillRect/>
                    </a:stretch>
                  </pic:blipFill>
                  <pic:spPr>
                    <a:xfrm>
                      <a:off x="0" y="0"/>
                      <a:ext cx="1710705" cy="1143000"/>
                    </a:xfrm>
                    <a:prstGeom prst="rect">
                      <a:avLst/>
                    </a:prstGeom>
                  </pic:spPr>
                </pic:pic>
              </a:graphicData>
            </a:graphic>
          </wp:anchor>
        </w:drawing>
      </w:r>
    </w:p>
    <w:p>
      <w:pPr>
        <w:pStyle w:val="BodyText"/>
        <w:rPr>
          <w:b/>
        </w:rPr>
      </w:pPr>
    </w:p>
    <w:p>
      <w:pPr>
        <w:spacing w:before="162"/>
        <w:ind w:left="102" w:right="1183" w:firstLine="0"/>
        <w:jc w:val="left"/>
        <w:rPr>
          <w:b/>
          <w:sz w:val="24"/>
        </w:rPr>
      </w:pPr>
      <w:r>
        <w:rPr>
          <w:b/>
          <w:sz w:val="24"/>
        </w:rPr>
        <w:t>ANEXO 2. Evaluación neurológica en equinos</w:t>
      </w:r>
    </w:p>
    <w:p>
      <w:pPr>
        <w:pStyle w:val="BodyText"/>
        <w:spacing w:before="8"/>
        <w:rPr>
          <w:b/>
          <w:sz w:val="13"/>
        </w:rPr>
      </w:pPr>
      <w:r>
        <w:rPr/>
        <w:drawing>
          <wp:anchor distT="0" distB="0" distL="0" distR="0" allowOverlap="1" layoutInCell="1" locked="0" behindDoc="0" simplePos="0" relativeHeight="3400">
            <wp:simplePos x="0" y="0"/>
            <wp:positionH relativeFrom="page">
              <wp:posOffset>2167127</wp:posOffset>
            </wp:positionH>
            <wp:positionV relativeFrom="paragraph">
              <wp:posOffset>125311</wp:posOffset>
            </wp:positionV>
            <wp:extent cx="3490023" cy="2482500"/>
            <wp:effectExtent l="0" t="0" r="0" b="0"/>
            <wp:wrapTopAndBottom/>
            <wp:docPr id="45" name="image243.jpeg" descr=""/>
            <wp:cNvGraphicFramePr>
              <a:graphicFrameLocks noChangeAspect="1"/>
            </wp:cNvGraphicFramePr>
            <a:graphic>
              <a:graphicData uri="http://schemas.openxmlformats.org/drawingml/2006/picture">
                <pic:pic>
                  <pic:nvPicPr>
                    <pic:cNvPr id="46" name="image243.jpeg"/>
                    <pic:cNvPicPr/>
                  </pic:nvPicPr>
                  <pic:blipFill>
                    <a:blip r:embed="rId289" cstate="print"/>
                    <a:stretch>
                      <a:fillRect/>
                    </a:stretch>
                  </pic:blipFill>
                  <pic:spPr>
                    <a:xfrm>
                      <a:off x="0" y="0"/>
                      <a:ext cx="3490023" cy="2482500"/>
                    </a:xfrm>
                    <a:prstGeom prst="rect">
                      <a:avLst/>
                    </a:prstGeom>
                  </pic:spPr>
                </pic:pic>
              </a:graphicData>
            </a:graphic>
          </wp:anchor>
        </w:drawing>
      </w:r>
    </w:p>
    <w:p>
      <w:pPr>
        <w:spacing w:after="0"/>
        <w:rPr>
          <w:sz w:val="13"/>
        </w:rPr>
        <w:sectPr>
          <w:footerReference w:type="default" r:id="rId285"/>
          <w:pgSz w:w="12240" w:h="15840"/>
          <w:pgMar w:footer="592" w:header="0" w:top="1360" w:bottom="780" w:left="1600" w:right="1120"/>
          <w:pgNumType w:start="81"/>
        </w:sectPr>
      </w:pPr>
    </w:p>
    <w:p>
      <w:pPr>
        <w:tabs>
          <w:tab w:pos="6156" w:val="left" w:leader="none"/>
        </w:tabs>
        <w:spacing w:line="240" w:lineRule="auto"/>
        <w:ind w:left="110" w:right="0" w:firstLine="0"/>
        <w:rPr>
          <w:sz w:val="20"/>
        </w:rPr>
      </w:pPr>
      <w:r>
        <w:rPr>
          <w:sz w:val="20"/>
        </w:rPr>
        <w:drawing>
          <wp:inline distT="0" distB="0" distL="0" distR="0">
            <wp:extent cx="3539163" cy="3886200"/>
            <wp:effectExtent l="0" t="0" r="0" b="0"/>
            <wp:docPr id="47" name="image244.jpeg" descr=""/>
            <wp:cNvGraphicFramePr>
              <a:graphicFrameLocks noChangeAspect="1"/>
            </wp:cNvGraphicFramePr>
            <a:graphic>
              <a:graphicData uri="http://schemas.openxmlformats.org/drawingml/2006/picture">
                <pic:pic>
                  <pic:nvPicPr>
                    <pic:cNvPr id="48" name="image244.jpeg"/>
                    <pic:cNvPicPr/>
                  </pic:nvPicPr>
                  <pic:blipFill>
                    <a:blip r:embed="rId290" cstate="print"/>
                    <a:stretch>
                      <a:fillRect/>
                    </a:stretch>
                  </pic:blipFill>
                  <pic:spPr>
                    <a:xfrm>
                      <a:off x="0" y="0"/>
                      <a:ext cx="3539163" cy="3886200"/>
                    </a:xfrm>
                    <a:prstGeom prst="rect">
                      <a:avLst/>
                    </a:prstGeom>
                  </pic:spPr>
                </pic:pic>
              </a:graphicData>
            </a:graphic>
          </wp:inline>
        </w:drawing>
      </w:r>
      <w:r>
        <w:rPr>
          <w:sz w:val="20"/>
        </w:rPr>
      </w:r>
      <w:r>
        <w:rPr>
          <w:sz w:val="20"/>
        </w:rPr>
        <w:tab/>
      </w:r>
      <w:r>
        <w:rPr>
          <w:position w:val="28"/>
          <w:sz w:val="20"/>
        </w:rPr>
        <w:drawing>
          <wp:inline distT="0" distB="0" distL="0" distR="0">
            <wp:extent cx="3282759" cy="3615880"/>
            <wp:effectExtent l="0" t="0" r="0" b="0"/>
            <wp:docPr id="49" name="image245.jpeg" descr=""/>
            <wp:cNvGraphicFramePr>
              <a:graphicFrameLocks noChangeAspect="1"/>
            </wp:cNvGraphicFramePr>
            <a:graphic>
              <a:graphicData uri="http://schemas.openxmlformats.org/drawingml/2006/picture">
                <pic:pic>
                  <pic:nvPicPr>
                    <pic:cNvPr id="50" name="image245.jpeg"/>
                    <pic:cNvPicPr/>
                  </pic:nvPicPr>
                  <pic:blipFill>
                    <a:blip r:embed="rId291" cstate="print"/>
                    <a:stretch>
                      <a:fillRect/>
                    </a:stretch>
                  </pic:blipFill>
                  <pic:spPr>
                    <a:xfrm>
                      <a:off x="0" y="0"/>
                      <a:ext cx="3282759" cy="3615880"/>
                    </a:xfrm>
                    <a:prstGeom prst="rect">
                      <a:avLst/>
                    </a:prstGeom>
                  </pic:spPr>
                </pic:pic>
              </a:graphicData>
            </a:graphic>
          </wp:inline>
        </w:drawing>
      </w:r>
      <w:r>
        <w:rPr>
          <w:position w:val="28"/>
          <w:sz w:val="20"/>
        </w:rPr>
      </w:r>
    </w:p>
    <w:p>
      <w:pPr>
        <w:pStyle w:val="BodyText"/>
        <w:rPr>
          <w:b/>
          <w:sz w:val="20"/>
        </w:rPr>
      </w:pPr>
      <w:r>
        <w:rPr/>
        <w:drawing>
          <wp:anchor distT="0" distB="0" distL="0" distR="0" allowOverlap="1" layoutInCell="1" locked="0" behindDoc="0" simplePos="0" relativeHeight="3424">
            <wp:simplePos x="0" y="0"/>
            <wp:positionH relativeFrom="page">
              <wp:posOffset>2574035</wp:posOffset>
            </wp:positionH>
            <wp:positionV relativeFrom="paragraph">
              <wp:posOffset>171195</wp:posOffset>
            </wp:positionV>
            <wp:extent cx="3305031" cy="3559968"/>
            <wp:effectExtent l="0" t="0" r="0" b="0"/>
            <wp:wrapTopAndBottom/>
            <wp:docPr id="51" name="image246.jpeg" descr=""/>
            <wp:cNvGraphicFramePr>
              <a:graphicFrameLocks noChangeAspect="1"/>
            </wp:cNvGraphicFramePr>
            <a:graphic>
              <a:graphicData uri="http://schemas.openxmlformats.org/drawingml/2006/picture">
                <pic:pic>
                  <pic:nvPicPr>
                    <pic:cNvPr id="52" name="image246.jpeg"/>
                    <pic:cNvPicPr/>
                  </pic:nvPicPr>
                  <pic:blipFill>
                    <a:blip r:embed="rId292" cstate="print"/>
                    <a:stretch>
                      <a:fillRect/>
                    </a:stretch>
                  </pic:blipFill>
                  <pic:spPr>
                    <a:xfrm>
                      <a:off x="0" y="0"/>
                      <a:ext cx="3305031" cy="3559968"/>
                    </a:xfrm>
                    <a:prstGeom prst="rect">
                      <a:avLst/>
                    </a:prstGeom>
                  </pic:spPr>
                </pic:pic>
              </a:graphicData>
            </a:graphic>
          </wp:anchor>
        </w:drawing>
      </w:r>
    </w:p>
    <w:p>
      <w:pPr>
        <w:pStyle w:val="BodyText"/>
        <w:rPr>
          <w:b/>
          <w:sz w:val="20"/>
        </w:rPr>
      </w:pPr>
    </w:p>
    <w:p>
      <w:pPr>
        <w:pStyle w:val="Heading2"/>
        <w:spacing w:line="240" w:lineRule="auto" w:before="212"/>
        <w:ind w:left="7134"/>
        <w:rPr>
          <w:rFonts w:ascii="Arial"/>
        </w:rPr>
      </w:pPr>
      <w:r>
        <w:rPr>
          <w:rFonts w:ascii="Arial"/>
        </w:rPr>
        <w:t>Bosco, E., Green, J., 2009</w:t>
      </w:r>
    </w:p>
    <w:p>
      <w:pPr>
        <w:spacing w:after="0" w:line="240" w:lineRule="auto"/>
        <w:rPr>
          <w:rFonts w:ascii="Arial"/>
        </w:rPr>
        <w:sectPr>
          <w:pgSz w:w="12240" w:h="15840"/>
          <w:pgMar w:header="0" w:footer="592" w:top="1420" w:bottom="840" w:left="120" w:right="660"/>
        </w:sectPr>
      </w:pPr>
    </w:p>
    <w:p>
      <w:pPr>
        <w:pStyle w:val="Heading4"/>
        <w:spacing w:before="51"/>
      </w:pPr>
      <w:r>
        <w:rPr/>
        <w:t>ANEXO 3. Hematología</w:t>
      </w:r>
    </w:p>
    <w:p>
      <w:pPr>
        <w:pStyle w:val="BodyText"/>
        <w:spacing w:before="9"/>
        <w:rPr>
          <w:b/>
          <w:sz w:val="12"/>
        </w:rPr>
      </w:pPr>
      <w:r>
        <w:rPr/>
        <w:drawing>
          <wp:anchor distT="0" distB="0" distL="0" distR="0" allowOverlap="1" layoutInCell="1" locked="0" behindDoc="0" simplePos="0" relativeHeight="3448">
            <wp:simplePos x="0" y="0"/>
            <wp:positionH relativeFrom="page">
              <wp:posOffset>1824227</wp:posOffset>
            </wp:positionH>
            <wp:positionV relativeFrom="paragraph">
              <wp:posOffset>118579</wp:posOffset>
            </wp:positionV>
            <wp:extent cx="4120847" cy="5576697"/>
            <wp:effectExtent l="0" t="0" r="0" b="0"/>
            <wp:wrapTopAndBottom/>
            <wp:docPr id="53" name="image247.jpeg" descr=""/>
            <wp:cNvGraphicFramePr>
              <a:graphicFrameLocks noChangeAspect="1"/>
            </wp:cNvGraphicFramePr>
            <a:graphic>
              <a:graphicData uri="http://schemas.openxmlformats.org/drawingml/2006/picture">
                <pic:pic>
                  <pic:nvPicPr>
                    <pic:cNvPr id="54" name="image247.jpeg"/>
                    <pic:cNvPicPr/>
                  </pic:nvPicPr>
                  <pic:blipFill>
                    <a:blip r:embed="rId294" cstate="print"/>
                    <a:stretch>
                      <a:fillRect/>
                    </a:stretch>
                  </pic:blipFill>
                  <pic:spPr>
                    <a:xfrm>
                      <a:off x="0" y="0"/>
                      <a:ext cx="4120847" cy="5576697"/>
                    </a:xfrm>
                    <a:prstGeom prst="rect">
                      <a:avLst/>
                    </a:prstGeom>
                  </pic:spPr>
                </pic:pic>
              </a:graphicData>
            </a:graphic>
          </wp:anchor>
        </w:drawing>
      </w:r>
    </w:p>
    <w:p>
      <w:pPr>
        <w:spacing w:after="0"/>
        <w:rPr>
          <w:sz w:val="12"/>
        </w:rPr>
        <w:sectPr>
          <w:footerReference w:type="default" r:id="rId293"/>
          <w:pgSz w:w="12240" w:h="15840"/>
          <w:pgMar w:footer="948" w:header="0" w:top="1360" w:bottom="1140" w:left="1600" w:right="1720"/>
          <w:pgNumType w:start="83"/>
        </w:sectPr>
      </w:pPr>
    </w:p>
    <w:p>
      <w:pPr>
        <w:spacing w:before="51"/>
        <w:ind w:left="122" w:right="106" w:firstLine="0"/>
        <w:jc w:val="left"/>
        <w:rPr>
          <w:b/>
          <w:sz w:val="24"/>
        </w:rPr>
      </w:pPr>
      <w:r>
        <w:rPr/>
        <w:drawing>
          <wp:anchor distT="0" distB="0" distL="0" distR="0" allowOverlap="1" layoutInCell="1" locked="0" behindDoc="0" simplePos="0" relativeHeight="3472">
            <wp:simplePos x="0" y="0"/>
            <wp:positionH relativeFrom="page">
              <wp:posOffset>1072896</wp:posOffset>
            </wp:positionH>
            <wp:positionV relativeFrom="paragraph">
              <wp:posOffset>243914</wp:posOffset>
            </wp:positionV>
            <wp:extent cx="5585511" cy="4197477"/>
            <wp:effectExtent l="0" t="0" r="0" b="0"/>
            <wp:wrapTopAndBottom/>
            <wp:docPr id="55" name="image248.jpeg" descr=""/>
            <wp:cNvGraphicFramePr>
              <a:graphicFrameLocks noChangeAspect="1"/>
            </wp:cNvGraphicFramePr>
            <a:graphic>
              <a:graphicData uri="http://schemas.openxmlformats.org/drawingml/2006/picture">
                <pic:pic>
                  <pic:nvPicPr>
                    <pic:cNvPr id="56" name="image248.jpeg"/>
                    <pic:cNvPicPr/>
                  </pic:nvPicPr>
                  <pic:blipFill>
                    <a:blip r:embed="rId295" cstate="print"/>
                    <a:stretch>
                      <a:fillRect/>
                    </a:stretch>
                  </pic:blipFill>
                  <pic:spPr>
                    <a:xfrm>
                      <a:off x="0" y="0"/>
                      <a:ext cx="5585511" cy="4197477"/>
                    </a:xfrm>
                    <a:prstGeom prst="rect">
                      <a:avLst/>
                    </a:prstGeom>
                  </pic:spPr>
                </pic:pic>
              </a:graphicData>
            </a:graphic>
          </wp:anchor>
        </w:drawing>
      </w:r>
      <w:r>
        <w:rPr>
          <w:b/>
          <w:sz w:val="24"/>
        </w:rPr>
        <w:t>ANEXO 4. Bioseguridad necropsia.</w:t>
      </w:r>
    </w:p>
    <w:p>
      <w:pPr>
        <w:spacing w:after="0"/>
        <w:jc w:val="left"/>
        <w:rPr>
          <w:sz w:val="24"/>
        </w:rPr>
        <w:sectPr>
          <w:pgSz w:w="12240" w:h="15840"/>
          <w:pgMar w:header="0" w:footer="948" w:top="1360" w:bottom="1320" w:left="1580" w:right="1600"/>
        </w:sectPr>
      </w:pPr>
    </w:p>
    <w:p>
      <w:pPr>
        <w:pStyle w:val="BodyText"/>
        <w:spacing w:before="2"/>
        <w:rPr>
          <w:b/>
          <w:sz w:val="26"/>
        </w:rPr>
      </w:pPr>
    </w:p>
    <w:p>
      <w:pPr>
        <w:spacing w:before="69"/>
        <w:ind w:left="102" w:right="0" w:firstLine="0"/>
        <w:jc w:val="left"/>
        <w:rPr>
          <w:b/>
          <w:sz w:val="24"/>
        </w:rPr>
      </w:pPr>
      <w:r>
        <w:rPr>
          <w:b/>
          <w:sz w:val="24"/>
        </w:rPr>
        <w:t>ANEXO 5. Procesamiento de tejidos histopatología.</w:t>
      </w:r>
    </w:p>
    <w:p>
      <w:pPr>
        <w:pStyle w:val="BodyText"/>
        <w:rPr>
          <w:b/>
          <w:sz w:val="20"/>
        </w:rPr>
      </w:pPr>
    </w:p>
    <w:p>
      <w:pPr>
        <w:pStyle w:val="BodyText"/>
        <w:rPr>
          <w:b/>
          <w:sz w:val="20"/>
        </w:rPr>
      </w:pPr>
    </w:p>
    <w:p>
      <w:pPr>
        <w:pStyle w:val="BodyText"/>
        <w:spacing w:before="3"/>
        <w:rPr>
          <w:b/>
          <w:sz w:val="13"/>
        </w:rPr>
      </w:pPr>
      <w:r>
        <w:rPr/>
        <w:drawing>
          <wp:anchor distT="0" distB="0" distL="0" distR="0" allowOverlap="1" layoutInCell="1" locked="0" behindDoc="0" simplePos="0" relativeHeight="3496">
            <wp:simplePos x="0" y="0"/>
            <wp:positionH relativeFrom="page">
              <wp:posOffset>1467611</wp:posOffset>
            </wp:positionH>
            <wp:positionV relativeFrom="paragraph">
              <wp:posOffset>121906</wp:posOffset>
            </wp:positionV>
            <wp:extent cx="5591202" cy="4517898"/>
            <wp:effectExtent l="0" t="0" r="0" b="0"/>
            <wp:wrapTopAndBottom/>
            <wp:docPr id="57" name="image249.jpeg" descr=""/>
            <wp:cNvGraphicFramePr>
              <a:graphicFrameLocks noChangeAspect="1"/>
            </wp:cNvGraphicFramePr>
            <a:graphic>
              <a:graphicData uri="http://schemas.openxmlformats.org/drawingml/2006/picture">
                <pic:pic>
                  <pic:nvPicPr>
                    <pic:cNvPr id="58" name="image249.jpeg"/>
                    <pic:cNvPicPr/>
                  </pic:nvPicPr>
                  <pic:blipFill>
                    <a:blip r:embed="rId297" cstate="print"/>
                    <a:stretch>
                      <a:fillRect/>
                    </a:stretch>
                  </pic:blipFill>
                  <pic:spPr>
                    <a:xfrm>
                      <a:off x="0" y="0"/>
                      <a:ext cx="5591202" cy="4517898"/>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2"/>
        </w:rPr>
      </w:pPr>
    </w:p>
    <w:p>
      <w:pPr>
        <w:spacing w:before="57"/>
        <w:ind w:left="4390" w:right="5006" w:firstLine="0"/>
        <w:jc w:val="center"/>
        <w:rPr>
          <w:rFonts w:ascii="Calibri"/>
          <w:b/>
          <w:sz w:val="22"/>
        </w:rPr>
      </w:pPr>
      <w:r>
        <w:rPr>
          <w:rFonts w:ascii="Calibri"/>
          <w:b/>
          <w:sz w:val="22"/>
        </w:rPr>
        <w:t>85</w:t>
      </w:r>
    </w:p>
    <w:p>
      <w:pPr>
        <w:spacing w:after="0"/>
        <w:jc w:val="center"/>
        <w:rPr>
          <w:rFonts w:ascii="Calibri"/>
          <w:sz w:val="22"/>
        </w:rPr>
        <w:sectPr>
          <w:footerReference w:type="default" r:id="rId296"/>
          <w:pgSz w:w="12240" w:h="15840"/>
          <w:pgMar w:footer="0" w:header="0" w:top="1500" w:bottom="280" w:left="1600" w:right="980"/>
        </w:sectPr>
      </w:pPr>
    </w:p>
    <w:p>
      <w:pPr>
        <w:pStyle w:val="BodyText"/>
        <w:spacing w:before="12"/>
        <w:rPr>
          <w:rFonts w:ascii="Calibri"/>
          <w:b/>
        </w:rPr>
      </w:pPr>
    </w:p>
    <w:p>
      <w:pPr>
        <w:pStyle w:val="Heading1"/>
        <w:spacing w:line="259" w:lineRule="auto" w:before="70"/>
        <w:ind w:right="114" w:hanging="10"/>
        <w:jc w:val="center"/>
      </w:pPr>
      <w:r>
        <w:rPr/>
        <w:t>CLINICAL AND PATHOLOGICAL CHARACTERIZATION OF VENEZUELAN EQUINE ENCEPHALITIS VIRUS SUBTYPE IE, IN AN ENDEMIC REGION OF SOUTHERN VERACRUZ STATE, IN EQUINE MODELS.</w:t>
      </w:r>
    </w:p>
    <w:p>
      <w:pPr>
        <w:spacing w:line="259" w:lineRule="auto" w:before="162"/>
        <w:ind w:left="330" w:right="345" w:firstLine="0"/>
        <w:jc w:val="center"/>
        <w:rPr>
          <w:rFonts w:ascii="Georgia"/>
          <w:sz w:val="22"/>
        </w:rPr>
      </w:pPr>
      <w:r>
        <w:rPr>
          <w:rFonts w:ascii="Georgia"/>
          <w:sz w:val="22"/>
        </w:rPr>
        <w:t>Fabela- Becerril, V. A.</w:t>
      </w:r>
      <w:r>
        <w:rPr>
          <w:rFonts w:ascii="Georgia"/>
          <w:position w:val="6"/>
          <w:sz w:val="14"/>
        </w:rPr>
        <w:t>1 *</w:t>
      </w:r>
      <w:r>
        <w:rPr>
          <w:rFonts w:ascii="Georgia"/>
          <w:sz w:val="22"/>
        </w:rPr>
        <w:t>, Estrada-Franco, J.G.</w:t>
      </w:r>
      <w:r>
        <w:rPr>
          <w:rFonts w:ascii="Georgia"/>
          <w:position w:val="6"/>
          <w:sz w:val="14"/>
        </w:rPr>
        <w:t>1</w:t>
      </w:r>
      <w:r>
        <w:rPr>
          <w:rFonts w:ascii="Georgia"/>
          <w:sz w:val="22"/>
        </w:rPr>
        <w:t>, Vazquez-Chagoyan, J.C.</w:t>
      </w:r>
      <w:r>
        <w:rPr>
          <w:rFonts w:ascii="Georgia"/>
          <w:position w:val="6"/>
          <w:sz w:val="14"/>
        </w:rPr>
        <w:t>1</w:t>
      </w:r>
      <w:r>
        <w:rPr>
          <w:rFonts w:ascii="Georgia"/>
          <w:sz w:val="22"/>
        </w:rPr>
        <w:t>, Barbabosa- Pliego, A</w:t>
      </w:r>
      <w:r>
        <w:rPr>
          <w:rFonts w:ascii="Georgia"/>
          <w:position w:val="6"/>
          <w:sz w:val="14"/>
        </w:rPr>
        <w:t>1</w:t>
      </w:r>
      <w:r>
        <w:rPr>
          <w:rFonts w:ascii="Georgia"/>
          <w:sz w:val="22"/>
        </w:rPr>
        <w:t>.</w:t>
      </w:r>
    </w:p>
    <w:p>
      <w:pPr>
        <w:spacing w:line="259" w:lineRule="auto" w:before="1"/>
        <w:ind w:left="330" w:right="345" w:firstLine="0"/>
        <w:jc w:val="center"/>
        <w:rPr>
          <w:rFonts w:ascii="Georgia" w:hAnsi="Georgia"/>
          <w:sz w:val="22"/>
        </w:rPr>
      </w:pPr>
      <w:r>
        <w:rPr>
          <w:rFonts w:ascii="Georgia" w:hAnsi="Georgia"/>
          <w:position w:val="6"/>
          <w:sz w:val="14"/>
        </w:rPr>
        <w:t>1</w:t>
      </w:r>
      <w:r>
        <w:rPr>
          <w:rFonts w:ascii="Georgia" w:hAnsi="Georgia"/>
          <w:sz w:val="22"/>
        </w:rPr>
        <w:t>Centro de Investigación y Estudios Avanzados en Salud Animal, Facultad de Medicina Veterinaria y Zootecnia, Universidad Autónoma del Estado de México</w:t>
      </w:r>
    </w:p>
    <w:p>
      <w:pPr>
        <w:pStyle w:val="BodyText"/>
        <w:rPr>
          <w:rFonts w:ascii="Georgia"/>
          <w:sz w:val="22"/>
        </w:rPr>
      </w:pPr>
    </w:p>
    <w:p>
      <w:pPr>
        <w:pStyle w:val="BodyText"/>
        <w:spacing w:line="259" w:lineRule="auto" w:before="163"/>
        <w:ind w:left="102" w:right="118"/>
        <w:jc w:val="both"/>
        <w:rPr>
          <w:rFonts w:ascii="Georgia"/>
        </w:rPr>
      </w:pPr>
      <w:r>
        <w:rPr>
          <w:rFonts w:ascii="Georgia"/>
        </w:rPr>
        <w:t>Abstract. Venezuelan Equine Encephalitis is a viral arthropod- borne reemerging disease that affects humans and horses, the enzootic strains are circulating continously in selvatic cycles among small rodents and mosquitos and they are not consider pathogenic to horses, we wanted to assess the ability of the enzootic strain IE circulating in the coastal region of the Gulf of Mexico to infect horses and cause clinical disease, as well as development of neutralizing antibodies and pathological lesions.</w:t>
      </w:r>
    </w:p>
    <w:p>
      <w:pPr>
        <w:pStyle w:val="BodyText"/>
        <w:rPr>
          <w:rFonts w:ascii="Georgia"/>
        </w:rPr>
      </w:pPr>
    </w:p>
    <w:p>
      <w:pPr>
        <w:pStyle w:val="BodyText"/>
        <w:spacing w:before="8"/>
        <w:rPr>
          <w:rFonts w:ascii="Georgia"/>
          <w:sz w:val="25"/>
        </w:rPr>
      </w:pPr>
    </w:p>
    <w:p>
      <w:pPr>
        <w:spacing w:before="0"/>
        <w:ind w:left="102" w:right="0" w:firstLine="0"/>
        <w:jc w:val="both"/>
        <w:rPr>
          <w:rFonts w:ascii="Georgia"/>
          <w:sz w:val="26"/>
        </w:rPr>
      </w:pPr>
      <w:r>
        <w:rPr>
          <w:rFonts w:ascii="Georgia"/>
          <w:sz w:val="26"/>
        </w:rPr>
        <w:t>INTRODUCTION</w:t>
      </w:r>
    </w:p>
    <w:p>
      <w:pPr>
        <w:pStyle w:val="BodyText"/>
        <w:rPr>
          <w:rFonts w:ascii="Georgia"/>
          <w:sz w:val="30"/>
        </w:rPr>
      </w:pPr>
    </w:p>
    <w:p>
      <w:pPr>
        <w:spacing w:line="259" w:lineRule="auto" w:before="0"/>
        <w:ind w:left="102" w:right="130" w:firstLine="0"/>
        <w:jc w:val="both"/>
        <w:rPr>
          <w:rFonts w:ascii="Georgia"/>
          <w:sz w:val="26"/>
        </w:rPr>
      </w:pPr>
      <w:r>
        <w:rPr>
          <w:rFonts w:ascii="Georgia"/>
          <w:sz w:val="26"/>
        </w:rPr>
        <w:t>Venezuelan Equine Encephalitis (EEV) is an important reemerging disease, that affected hundred of thousands equines and humans in the Americas.</w:t>
      </w:r>
    </w:p>
    <w:p>
      <w:pPr>
        <w:spacing w:line="259" w:lineRule="auto" w:before="0"/>
        <w:ind w:left="102" w:right="117" w:firstLine="0"/>
        <w:jc w:val="both"/>
        <w:rPr>
          <w:rFonts w:ascii="Georgia"/>
          <w:sz w:val="26"/>
        </w:rPr>
      </w:pPr>
      <w:r>
        <w:rPr>
          <w:rFonts w:ascii="Georgia"/>
          <w:sz w:val="26"/>
        </w:rPr>
        <w:t>Venezuelan</w:t>
      </w:r>
      <w:r>
        <w:rPr>
          <w:rFonts w:ascii="Georgia"/>
          <w:spacing w:val="-7"/>
          <w:sz w:val="26"/>
        </w:rPr>
        <w:t> </w:t>
      </w:r>
      <w:r>
        <w:rPr>
          <w:rFonts w:ascii="Georgia"/>
          <w:sz w:val="26"/>
        </w:rPr>
        <w:t>equine</w:t>
      </w:r>
      <w:r>
        <w:rPr>
          <w:rFonts w:ascii="Georgia"/>
          <w:spacing w:val="-10"/>
          <w:sz w:val="26"/>
        </w:rPr>
        <w:t> </w:t>
      </w:r>
      <w:r>
        <w:rPr>
          <w:rFonts w:ascii="Georgia"/>
          <w:sz w:val="26"/>
        </w:rPr>
        <w:t>encephalitis</w:t>
      </w:r>
      <w:r>
        <w:rPr>
          <w:rFonts w:ascii="Georgia"/>
          <w:spacing w:val="-9"/>
          <w:sz w:val="26"/>
        </w:rPr>
        <w:t> </w:t>
      </w:r>
      <w:r>
        <w:rPr>
          <w:rFonts w:ascii="Georgia"/>
          <w:sz w:val="26"/>
        </w:rPr>
        <w:t>virus,</w:t>
      </w:r>
      <w:r>
        <w:rPr>
          <w:rFonts w:ascii="Georgia"/>
          <w:spacing w:val="-7"/>
          <w:sz w:val="26"/>
        </w:rPr>
        <w:t> </w:t>
      </w:r>
      <w:r>
        <w:rPr>
          <w:rFonts w:ascii="Georgia"/>
          <w:sz w:val="26"/>
        </w:rPr>
        <w:t>a</w:t>
      </w:r>
      <w:r>
        <w:rPr>
          <w:rFonts w:ascii="Georgia"/>
          <w:spacing w:val="-11"/>
          <w:sz w:val="26"/>
        </w:rPr>
        <w:t> </w:t>
      </w:r>
      <w:r>
        <w:rPr>
          <w:rFonts w:ascii="Georgia"/>
          <w:sz w:val="26"/>
        </w:rPr>
        <w:t>mosquito-borne</w:t>
      </w:r>
      <w:r>
        <w:rPr>
          <w:rFonts w:ascii="Georgia"/>
          <w:spacing w:val="-10"/>
          <w:sz w:val="26"/>
        </w:rPr>
        <w:t> </w:t>
      </w:r>
      <w:r>
        <w:rPr>
          <w:rFonts w:ascii="Georgia"/>
          <w:sz w:val="26"/>
        </w:rPr>
        <w:t>RNA</w:t>
      </w:r>
      <w:r>
        <w:rPr>
          <w:rFonts w:ascii="Georgia"/>
          <w:spacing w:val="-11"/>
          <w:sz w:val="26"/>
        </w:rPr>
        <w:t> </w:t>
      </w:r>
      <w:r>
        <w:rPr>
          <w:rFonts w:ascii="Georgia"/>
          <w:sz w:val="26"/>
        </w:rPr>
        <w:t>virus</w:t>
      </w:r>
      <w:r>
        <w:rPr>
          <w:rFonts w:ascii="Georgia"/>
          <w:spacing w:val="-9"/>
          <w:sz w:val="26"/>
        </w:rPr>
        <w:t> </w:t>
      </w:r>
      <w:r>
        <w:rPr>
          <w:rFonts w:ascii="Georgia"/>
          <w:sz w:val="26"/>
        </w:rPr>
        <w:t>belonging to family </w:t>
      </w:r>
      <w:r>
        <w:rPr>
          <w:rFonts w:ascii="Georgia"/>
          <w:i/>
          <w:sz w:val="26"/>
        </w:rPr>
        <w:t>Togaviridae </w:t>
      </w:r>
      <w:r>
        <w:rPr>
          <w:rFonts w:ascii="Georgia"/>
          <w:sz w:val="26"/>
        </w:rPr>
        <w:t>and genus </w:t>
      </w:r>
      <w:r>
        <w:rPr>
          <w:rFonts w:ascii="Georgia"/>
          <w:i/>
          <w:sz w:val="26"/>
        </w:rPr>
        <w:t>Alphavirus </w:t>
      </w:r>
      <w:r>
        <w:rPr>
          <w:rFonts w:ascii="Georgia"/>
          <w:sz w:val="26"/>
        </w:rPr>
        <w:t>causes VEE. Venezuelan equine encephalitis</w:t>
      </w:r>
      <w:r>
        <w:rPr>
          <w:rFonts w:ascii="Georgia"/>
          <w:spacing w:val="-13"/>
          <w:sz w:val="26"/>
        </w:rPr>
        <w:t> </w:t>
      </w:r>
      <w:r>
        <w:rPr>
          <w:rFonts w:ascii="Georgia"/>
          <w:sz w:val="26"/>
        </w:rPr>
        <w:t>virus</w:t>
      </w:r>
      <w:r>
        <w:rPr>
          <w:rFonts w:ascii="Georgia"/>
          <w:spacing w:val="-14"/>
          <w:sz w:val="26"/>
        </w:rPr>
        <w:t> </w:t>
      </w:r>
      <w:r>
        <w:rPr>
          <w:rFonts w:ascii="Georgia"/>
          <w:sz w:val="26"/>
        </w:rPr>
        <w:t>strains</w:t>
      </w:r>
      <w:r>
        <w:rPr>
          <w:rFonts w:ascii="Georgia"/>
          <w:spacing w:val="-13"/>
          <w:sz w:val="26"/>
        </w:rPr>
        <w:t> </w:t>
      </w:r>
      <w:r>
        <w:rPr>
          <w:rFonts w:ascii="Georgia"/>
          <w:sz w:val="26"/>
        </w:rPr>
        <w:t>can</w:t>
      </w:r>
      <w:r>
        <w:rPr>
          <w:rFonts w:ascii="Georgia"/>
          <w:spacing w:val="-11"/>
          <w:sz w:val="26"/>
        </w:rPr>
        <w:t> </w:t>
      </w:r>
      <w:r>
        <w:rPr>
          <w:rFonts w:ascii="Georgia"/>
          <w:sz w:val="26"/>
        </w:rPr>
        <w:t>be</w:t>
      </w:r>
      <w:r>
        <w:rPr>
          <w:rFonts w:ascii="Georgia"/>
          <w:spacing w:val="-12"/>
          <w:sz w:val="26"/>
        </w:rPr>
        <w:t> </w:t>
      </w:r>
      <w:r>
        <w:rPr>
          <w:rFonts w:ascii="Georgia"/>
          <w:sz w:val="26"/>
        </w:rPr>
        <w:t>classified</w:t>
      </w:r>
      <w:r>
        <w:rPr>
          <w:rFonts w:ascii="Georgia"/>
          <w:spacing w:val="-9"/>
          <w:sz w:val="26"/>
        </w:rPr>
        <w:t> </w:t>
      </w:r>
      <w:r>
        <w:rPr>
          <w:rFonts w:ascii="Georgia"/>
          <w:sz w:val="26"/>
        </w:rPr>
        <w:t>into</w:t>
      </w:r>
      <w:r>
        <w:rPr>
          <w:rFonts w:ascii="Georgia"/>
          <w:spacing w:val="-15"/>
          <w:sz w:val="26"/>
        </w:rPr>
        <w:t> </w:t>
      </w:r>
      <w:r>
        <w:rPr>
          <w:rFonts w:ascii="Georgia"/>
          <w:sz w:val="26"/>
        </w:rPr>
        <w:t>epizootic,</w:t>
      </w:r>
      <w:r>
        <w:rPr>
          <w:rFonts w:ascii="Georgia"/>
          <w:spacing w:val="-12"/>
          <w:sz w:val="26"/>
        </w:rPr>
        <w:t> </w:t>
      </w:r>
      <w:r>
        <w:rPr>
          <w:rFonts w:ascii="Georgia"/>
          <w:sz w:val="26"/>
        </w:rPr>
        <w:t>comprising</w:t>
      </w:r>
      <w:r>
        <w:rPr>
          <w:rFonts w:ascii="Georgia"/>
          <w:spacing w:val="-14"/>
          <w:sz w:val="26"/>
        </w:rPr>
        <w:t> </w:t>
      </w:r>
      <w:r>
        <w:rPr>
          <w:rFonts w:ascii="Georgia"/>
          <w:sz w:val="26"/>
        </w:rPr>
        <w:t>subtypes IAB</w:t>
      </w:r>
      <w:r>
        <w:rPr>
          <w:rFonts w:ascii="Georgia"/>
          <w:spacing w:val="-4"/>
          <w:sz w:val="26"/>
        </w:rPr>
        <w:t> </w:t>
      </w:r>
      <w:r>
        <w:rPr>
          <w:rFonts w:ascii="Georgia"/>
          <w:sz w:val="26"/>
        </w:rPr>
        <w:t>and</w:t>
      </w:r>
      <w:r>
        <w:rPr>
          <w:rFonts w:ascii="Georgia"/>
          <w:spacing w:val="-5"/>
          <w:sz w:val="26"/>
        </w:rPr>
        <w:t> </w:t>
      </w:r>
      <w:r>
        <w:rPr>
          <w:rFonts w:ascii="Georgia"/>
          <w:sz w:val="26"/>
        </w:rPr>
        <w:t>IC</w:t>
      </w:r>
      <w:r>
        <w:rPr>
          <w:rFonts w:ascii="Georgia"/>
          <w:spacing w:val="-6"/>
          <w:sz w:val="26"/>
        </w:rPr>
        <w:t> </w:t>
      </w:r>
      <w:r>
        <w:rPr>
          <w:rFonts w:ascii="Georgia"/>
          <w:sz w:val="26"/>
        </w:rPr>
        <w:t>that</w:t>
      </w:r>
      <w:r>
        <w:rPr>
          <w:rFonts w:ascii="Georgia"/>
          <w:spacing w:val="-5"/>
          <w:sz w:val="26"/>
        </w:rPr>
        <w:t> </w:t>
      </w:r>
      <w:r>
        <w:rPr>
          <w:rFonts w:ascii="Georgia"/>
          <w:sz w:val="26"/>
        </w:rPr>
        <w:t>are</w:t>
      </w:r>
      <w:r>
        <w:rPr>
          <w:rFonts w:ascii="Georgia"/>
          <w:spacing w:val="-5"/>
          <w:sz w:val="26"/>
        </w:rPr>
        <w:t> </w:t>
      </w:r>
      <w:r>
        <w:rPr>
          <w:rFonts w:ascii="Georgia"/>
          <w:sz w:val="26"/>
        </w:rPr>
        <w:t>pathogenic</w:t>
      </w:r>
      <w:r>
        <w:rPr>
          <w:rFonts w:ascii="Georgia"/>
          <w:spacing w:val="-5"/>
          <w:sz w:val="26"/>
        </w:rPr>
        <w:t> </w:t>
      </w:r>
      <w:r>
        <w:rPr>
          <w:rFonts w:ascii="Georgia"/>
          <w:sz w:val="26"/>
        </w:rPr>
        <w:t>for</w:t>
      </w:r>
      <w:r>
        <w:rPr>
          <w:rFonts w:ascii="Georgia"/>
          <w:spacing w:val="-5"/>
          <w:sz w:val="26"/>
        </w:rPr>
        <w:t> </w:t>
      </w:r>
      <w:r>
        <w:rPr>
          <w:rFonts w:ascii="Georgia"/>
          <w:sz w:val="26"/>
        </w:rPr>
        <w:t>equines,</w:t>
      </w:r>
      <w:r>
        <w:rPr>
          <w:rFonts w:ascii="Georgia"/>
          <w:spacing w:val="-5"/>
          <w:sz w:val="26"/>
        </w:rPr>
        <w:t> </w:t>
      </w:r>
      <w:r>
        <w:rPr>
          <w:rFonts w:ascii="Georgia"/>
          <w:sz w:val="26"/>
        </w:rPr>
        <w:t>and</w:t>
      </w:r>
      <w:r>
        <w:rPr>
          <w:rFonts w:ascii="Georgia"/>
          <w:spacing w:val="-5"/>
          <w:sz w:val="26"/>
        </w:rPr>
        <w:t> </w:t>
      </w:r>
      <w:r>
        <w:rPr>
          <w:rFonts w:ascii="Georgia"/>
          <w:sz w:val="26"/>
        </w:rPr>
        <w:t>enzootic,</w:t>
      </w:r>
      <w:r>
        <w:rPr>
          <w:rFonts w:ascii="Georgia"/>
          <w:spacing w:val="-5"/>
          <w:sz w:val="26"/>
        </w:rPr>
        <w:t> </w:t>
      </w:r>
      <w:r>
        <w:rPr>
          <w:rFonts w:ascii="Georgia"/>
          <w:sz w:val="26"/>
        </w:rPr>
        <w:t>which</w:t>
      </w:r>
      <w:r>
        <w:rPr>
          <w:rFonts w:ascii="Georgia"/>
          <w:spacing w:val="-5"/>
          <w:sz w:val="26"/>
        </w:rPr>
        <w:t> </w:t>
      </w:r>
      <w:r>
        <w:rPr>
          <w:rFonts w:ascii="Georgia"/>
          <w:sz w:val="26"/>
        </w:rPr>
        <w:t>are</w:t>
      </w:r>
      <w:r>
        <w:rPr>
          <w:rFonts w:ascii="Georgia"/>
          <w:spacing w:val="-5"/>
          <w:sz w:val="26"/>
        </w:rPr>
        <w:t> </w:t>
      </w:r>
      <w:r>
        <w:rPr>
          <w:rFonts w:ascii="Georgia"/>
          <w:sz w:val="26"/>
        </w:rPr>
        <w:t>generally avirulent for equines (subtype I, varieties D through F, subtypes II through VI).</w:t>
      </w:r>
      <w:r>
        <w:rPr>
          <w:rFonts w:ascii="Georgia"/>
          <w:spacing w:val="-12"/>
          <w:sz w:val="26"/>
        </w:rPr>
        <w:t> </w:t>
      </w:r>
      <w:r>
        <w:rPr>
          <w:rFonts w:ascii="Georgia"/>
          <w:sz w:val="26"/>
        </w:rPr>
        <w:t>Equines</w:t>
      </w:r>
      <w:r>
        <w:rPr>
          <w:rFonts w:ascii="Georgia"/>
          <w:spacing w:val="-11"/>
          <w:sz w:val="26"/>
        </w:rPr>
        <w:t> </w:t>
      </w:r>
      <w:r>
        <w:rPr>
          <w:rFonts w:ascii="Georgia"/>
          <w:sz w:val="26"/>
        </w:rPr>
        <w:t>serve</w:t>
      </w:r>
      <w:r>
        <w:rPr>
          <w:rFonts w:ascii="Georgia"/>
          <w:spacing w:val="-10"/>
          <w:sz w:val="26"/>
        </w:rPr>
        <w:t> </w:t>
      </w:r>
      <w:r>
        <w:rPr>
          <w:rFonts w:ascii="Georgia"/>
          <w:sz w:val="26"/>
        </w:rPr>
        <w:t>as</w:t>
      </w:r>
      <w:r>
        <w:rPr>
          <w:rFonts w:ascii="Georgia"/>
          <w:spacing w:val="-9"/>
          <w:sz w:val="26"/>
        </w:rPr>
        <w:t> </w:t>
      </w:r>
      <w:r>
        <w:rPr>
          <w:rFonts w:ascii="Georgia"/>
          <w:sz w:val="26"/>
        </w:rPr>
        <w:t>amplifiers</w:t>
      </w:r>
      <w:r>
        <w:rPr>
          <w:rFonts w:ascii="Georgia"/>
          <w:spacing w:val="-9"/>
          <w:sz w:val="26"/>
        </w:rPr>
        <w:t> </w:t>
      </w:r>
      <w:r>
        <w:rPr>
          <w:rFonts w:ascii="Georgia"/>
          <w:sz w:val="26"/>
        </w:rPr>
        <w:t>of</w:t>
      </w:r>
      <w:r>
        <w:rPr>
          <w:rFonts w:ascii="Georgia"/>
          <w:spacing w:val="-10"/>
          <w:sz w:val="26"/>
        </w:rPr>
        <w:t> </w:t>
      </w:r>
      <w:r>
        <w:rPr>
          <w:rFonts w:ascii="Georgia"/>
          <w:sz w:val="26"/>
        </w:rPr>
        <w:t>the</w:t>
      </w:r>
      <w:r>
        <w:rPr>
          <w:rFonts w:ascii="Georgia"/>
          <w:spacing w:val="-13"/>
          <w:sz w:val="26"/>
        </w:rPr>
        <w:t> </w:t>
      </w:r>
      <w:r>
        <w:rPr>
          <w:rFonts w:ascii="Georgia"/>
          <w:sz w:val="26"/>
        </w:rPr>
        <w:t>epizootic</w:t>
      </w:r>
      <w:r>
        <w:rPr>
          <w:rFonts w:ascii="Georgia"/>
          <w:spacing w:val="-9"/>
          <w:sz w:val="26"/>
        </w:rPr>
        <w:t> </w:t>
      </w:r>
      <w:r>
        <w:rPr>
          <w:rFonts w:ascii="Georgia"/>
          <w:sz w:val="26"/>
        </w:rPr>
        <w:t>form</w:t>
      </w:r>
      <w:r>
        <w:rPr>
          <w:rFonts w:ascii="Georgia"/>
          <w:spacing w:val="-12"/>
          <w:sz w:val="26"/>
        </w:rPr>
        <w:t> </w:t>
      </w:r>
      <w:r>
        <w:rPr>
          <w:rFonts w:ascii="Georgia"/>
          <w:sz w:val="26"/>
        </w:rPr>
        <w:t>of</w:t>
      </w:r>
      <w:r>
        <w:rPr>
          <w:rFonts w:ascii="Georgia"/>
          <w:spacing w:val="-12"/>
          <w:sz w:val="26"/>
        </w:rPr>
        <w:t> </w:t>
      </w:r>
      <w:r>
        <w:rPr>
          <w:rFonts w:ascii="Georgia"/>
          <w:sz w:val="26"/>
        </w:rPr>
        <w:t>the</w:t>
      </w:r>
      <w:r>
        <w:rPr>
          <w:rFonts w:ascii="Georgia"/>
          <w:spacing w:val="-10"/>
          <w:sz w:val="26"/>
        </w:rPr>
        <w:t> </w:t>
      </w:r>
      <w:r>
        <w:rPr>
          <w:rFonts w:ascii="Georgia"/>
          <w:sz w:val="26"/>
        </w:rPr>
        <w:t>viruses;</w:t>
      </w:r>
      <w:r>
        <w:rPr>
          <w:rFonts w:ascii="Georgia"/>
          <w:spacing w:val="-11"/>
          <w:sz w:val="26"/>
        </w:rPr>
        <w:t> </w:t>
      </w:r>
      <w:r>
        <w:rPr>
          <w:rFonts w:ascii="Georgia"/>
          <w:sz w:val="26"/>
        </w:rPr>
        <w:t>thus,</w:t>
      </w:r>
      <w:r>
        <w:rPr>
          <w:rFonts w:ascii="Georgia"/>
          <w:spacing w:val="-12"/>
          <w:sz w:val="26"/>
        </w:rPr>
        <w:t> </w:t>
      </w:r>
      <w:r>
        <w:rPr>
          <w:rFonts w:ascii="Georgia"/>
          <w:sz w:val="26"/>
        </w:rPr>
        <w:t>they become the source of infection of thousands of mosquitoes during the febrile period. The epizootic viruses affectvarious tissues of viscera and the central nervous</w:t>
      </w:r>
      <w:r>
        <w:rPr>
          <w:rFonts w:ascii="Georgia"/>
          <w:spacing w:val="-20"/>
          <w:sz w:val="26"/>
        </w:rPr>
        <w:t> </w:t>
      </w:r>
      <w:r>
        <w:rPr>
          <w:rFonts w:ascii="Georgia"/>
          <w:sz w:val="26"/>
        </w:rPr>
        <w:t>system</w:t>
      </w:r>
      <w:r>
        <w:rPr>
          <w:rFonts w:ascii="Georgia"/>
          <w:spacing w:val="-19"/>
          <w:sz w:val="26"/>
        </w:rPr>
        <w:t> </w:t>
      </w:r>
      <w:r>
        <w:rPr>
          <w:rFonts w:ascii="Georgia"/>
          <w:sz w:val="26"/>
        </w:rPr>
        <w:t>(CNS).</w:t>
      </w:r>
      <w:r>
        <w:rPr>
          <w:rFonts w:ascii="Georgia"/>
          <w:spacing w:val="-19"/>
          <w:sz w:val="26"/>
        </w:rPr>
        <w:t> </w:t>
      </w:r>
      <w:r>
        <w:rPr>
          <w:rFonts w:ascii="Georgia"/>
          <w:sz w:val="26"/>
        </w:rPr>
        <w:t>Pathologic</w:t>
      </w:r>
      <w:r>
        <w:rPr>
          <w:rFonts w:ascii="Georgia"/>
          <w:spacing w:val="-19"/>
          <w:sz w:val="26"/>
        </w:rPr>
        <w:t> </w:t>
      </w:r>
      <w:r>
        <w:rPr>
          <w:rFonts w:ascii="Georgia"/>
          <w:sz w:val="26"/>
        </w:rPr>
        <w:t>lesions</w:t>
      </w:r>
      <w:r>
        <w:rPr>
          <w:rFonts w:ascii="Georgia"/>
          <w:spacing w:val="-16"/>
          <w:sz w:val="26"/>
        </w:rPr>
        <w:t> </w:t>
      </w:r>
      <w:r>
        <w:rPr>
          <w:rFonts w:ascii="Georgia"/>
          <w:sz w:val="26"/>
        </w:rPr>
        <w:t>of</w:t>
      </w:r>
      <w:r>
        <w:rPr>
          <w:rFonts w:ascii="Georgia"/>
          <w:spacing w:val="-20"/>
          <w:sz w:val="26"/>
        </w:rPr>
        <w:t> </w:t>
      </w:r>
      <w:r>
        <w:rPr>
          <w:rFonts w:ascii="Georgia"/>
          <w:sz w:val="26"/>
        </w:rPr>
        <w:t>naturally</w:t>
      </w:r>
      <w:r>
        <w:rPr>
          <w:rFonts w:ascii="Georgia"/>
          <w:spacing w:val="-17"/>
          <w:sz w:val="26"/>
        </w:rPr>
        <w:t> </w:t>
      </w:r>
      <w:r>
        <w:rPr>
          <w:rFonts w:ascii="Georgia"/>
          <w:sz w:val="26"/>
        </w:rPr>
        <w:t>occurring</w:t>
      </w:r>
      <w:r>
        <w:rPr>
          <w:rFonts w:ascii="Georgia"/>
          <w:spacing w:val="-19"/>
          <w:sz w:val="26"/>
        </w:rPr>
        <w:t> </w:t>
      </w:r>
      <w:r>
        <w:rPr>
          <w:rFonts w:ascii="Georgia"/>
          <w:sz w:val="26"/>
        </w:rPr>
        <w:t>epizootic</w:t>
      </w:r>
      <w:r>
        <w:rPr>
          <w:rFonts w:ascii="Georgia"/>
          <w:spacing w:val="-19"/>
          <w:sz w:val="26"/>
        </w:rPr>
        <w:t> </w:t>
      </w:r>
      <w:r>
        <w:rPr>
          <w:rFonts w:ascii="Georgia"/>
          <w:sz w:val="26"/>
        </w:rPr>
        <w:t>VEE IAB virus infections in horses and humans have been reported, as have experimental</w:t>
      </w:r>
    </w:p>
    <w:p>
      <w:pPr>
        <w:spacing w:after="0" w:line="259" w:lineRule="auto"/>
        <w:jc w:val="both"/>
        <w:rPr>
          <w:rFonts w:ascii="Georgia"/>
          <w:sz w:val="26"/>
        </w:rPr>
        <w:sectPr>
          <w:footerReference w:type="default" r:id="rId298"/>
          <w:pgSz w:w="12240" w:h="15840"/>
          <w:pgMar w:footer="0" w:header="0" w:top="1500" w:bottom="280" w:left="1600" w:right="1580"/>
        </w:sectPr>
      </w:pPr>
    </w:p>
    <w:p>
      <w:pPr>
        <w:spacing w:line="259" w:lineRule="auto" w:before="50"/>
        <w:ind w:left="102" w:right="118" w:firstLine="0"/>
        <w:jc w:val="both"/>
        <w:rPr>
          <w:rFonts w:ascii="Georgia"/>
          <w:sz w:val="26"/>
        </w:rPr>
      </w:pPr>
      <w:r>
        <w:rPr>
          <w:rFonts w:ascii="Georgia"/>
          <w:sz w:val="26"/>
        </w:rPr>
        <w:t>infections of horses, donkeys, Monkeys, rodents, and bats with virulent VEE IAB virus. The enzootic or endemic forms (ID, IE, IF, and II-VI) of VEE virus are</w:t>
      </w:r>
      <w:r>
        <w:rPr>
          <w:rFonts w:ascii="Georgia"/>
          <w:spacing w:val="-10"/>
          <w:sz w:val="26"/>
        </w:rPr>
        <w:t> </w:t>
      </w:r>
      <w:r>
        <w:rPr>
          <w:rFonts w:ascii="Georgia"/>
          <w:sz w:val="26"/>
        </w:rPr>
        <w:t>considered</w:t>
      </w:r>
      <w:r>
        <w:rPr>
          <w:rFonts w:ascii="Georgia"/>
          <w:spacing w:val="-9"/>
          <w:sz w:val="26"/>
        </w:rPr>
        <w:t> </w:t>
      </w:r>
      <w:r>
        <w:rPr>
          <w:rFonts w:ascii="Georgia"/>
          <w:sz w:val="26"/>
        </w:rPr>
        <w:t>avirulent</w:t>
      </w:r>
      <w:r>
        <w:rPr>
          <w:rFonts w:ascii="Georgia"/>
          <w:spacing w:val="-9"/>
          <w:sz w:val="26"/>
        </w:rPr>
        <w:t> </w:t>
      </w:r>
      <w:r>
        <w:rPr>
          <w:rFonts w:ascii="Georgia"/>
          <w:sz w:val="26"/>
        </w:rPr>
        <w:t>for</w:t>
      </w:r>
      <w:r>
        <w:rPr>
          <w:rFonts w:ascii="Georgia"/>
          <w:spacing w:val="-10"/>
          <w:sz w:val="26"/>
        </w:rPr>
        <w:t> </w:t>
      </w:r>
      <w:r>
        <w:rPr>
          <w:rFonts w:ascii="Georgia"/>
          <w:sz w:val="26"/>
        </w:rPr>
        <w:t>horses</w:t>
      </w:r>
      <w:r>
        <w:rPr>
          <w:rFonts w:ascii="Georgia"/>
          <w:spacing w:val="-9"/>
          <w:sz w:val="26"/>
        </w:rPr>
        <w:t> </w:t>
      </w:r>
      <w:r>
        <w:rPr>
          <w:rFonts w:ascii="Georgia"/>
          <w:sz w:val="26"/>
        </w:rPr>
        <w:t>and</w:t>
      </w:r>
      <w:r>
        <w:rPr>
          <w:rFonts w:ascii="Georgia"/>
          <w:spacing w:val="-8"/>
          <w:sz w:val="26"/>
        </w:rPr>
        <w:t> </w:t>
      </w:r>
      <w:r>
        <w:rPr>
          <w:rFonts w:ascii="Georgia"/>
          <w:sz w:val="26"/>
        </w:rPr>
        <w:t>seldom</w:t>
      </w:r>
      <w:r>
        <w:rPr>
          <w:rFonts w:ascii="Georgia"/>
          <w:spacing w:val="-6"/>
          <w:sz w:val="26"/>
        </w:rPr>
        <w:t> </w:t>
      </w:r>
      <w:r>
        <w:rPr>
          <w:rFonts w:ascii="Georgia"/>
          <w:sz w:val="26"/>
        </w:rPr>
        <w:t>cause</w:t>
      </w:r>
      <w:r>
        <w:rPr>
          <w:rFonts w:ascii="Georgia"/>
          <w:spacing w:val="-8"/>
          <w:sz w:val="26"/>
        </w:rPr>
        <w:t> </w:t>
      </w:r>
      <w:r>
        <w:rPr>
          <w:rFonts w:ascii="Georgia"/>
          <w:sz w:val="26"/>
        </w:rPr>
        <w:t>overt</w:t>
      </w:r>
      <w:r>
        <w:rPr>
          <w:rFonts w:ascii="Georgia"/>
          <w:spacing w:val="-12"/>
          <w:sz w:val="26"/>
        </w:rPr>
        <w:t> </w:t>
      </w:r>
      <w:r>
        <w:rPr>
          <w:rFonts w:ascii="Georgia"/>
          <w:sz w:val="26"/>
        </w:rPr>
        <w:t>disease</w:t>
      </w:r>
      <w:r>
        <w:rPr>
          <w:rFonts w:ascii="Georgia"/>
          <w:spacing w:val="-12"/>
          <w:sz w:val="26"/>
        </w:rPr>
        <w:t> </w:t>
      </w:r>
      <w:r>
        <w:rPr>
          <w:rFonts w:ascii="Georgia"/>
          <w:sz w:val="26"/>
        </w:rPr>
        <w:t>in</w:t>
      </w:r>
      <w:r>
        <w:rPr>
          <w:rFonts w:ascii="Georgia"/>
          <w:spacing w:val="-8"/>
          <w:sz w:val="26"/>
        </w:rPr>
        <w:t> </w:t>
      </w:r>
      <w:r>
        <w:rPr>
          <w:rFonts w:ascii="Georgia"/>
          <w:sz w:val="26"/>
        </w:rPr>
        <w:t>humans and</w:t>
      </w:r>
      <w:r>
        <w:rPr>
          <w:rFonts w:ascii="Georgia"/>
          <w:spacing w:val="-7"/>
          <w:sz w:val="26"/>
        </w:rPr>
        <w:t> </w:t>
      </w:r>
      <w:r>
        <w:rPr>
          <w:rFonts w:ascii="Georgia"/>
          <w:sz w:val="26"/>
        </w:rPr>
        <w:t>animals.</w:t>
      </w:r>
    </w:p>
    <w:p>
      <w:pPr>
        <w:spacing w:line="259" w:lineRule="auto" w:before="0"/>
        <w:ind w:left="102" w:right="118" w:firstLine="0"/>
        <w:jc w:val="both"/>
        <w:rPr>
          <w:rFonts w:ascii="Georgia"/>
          <w:sz w:val="26"/>
        </w:rPr>
      </w:pPr>
      <w:r>
        <w:rPr>
          <w:rFonts w:ascii="Georgia"/>
          <w:sz w:val="26"/>
        </w:rPr>
        <w:t>However in the early 1990s, two epizootics in the southern states from Mexico, Chiapas y Oaxaca, caused hundreds of deaths and disease animals. Enzootic subtype IE, was isolated during both outbreaks, suggesting that, nevertheless it was considered avirulent for equids, it has caused disease in horses.</w:t>
      </w:r>
      <w:r>
        <w:rPr>
          <w:rFonts w:ascii="Georgia"/>
          <w:spacing w:val="-16"/>
          <w:sz w:val="26"/>
        </w:rPr>
        <w:t> </w:t>
      </w:r>
      <w:r>
        <w:rPr>
          <w:rFonts w:ascii="Georgia"/>
          <w:sz w:val="26"/>
        </w:rPr>
        <w:t>These</w:t>
      </w:r>
      <w:r>
        <w:rPr>
          <w:rFonts w:ascii="Georgia"/>
          <w:spacing w:val="-16"/>
          <w:sz w:val="26"/>
        </w:rPr>
        <w:t> </w:t>
      </w:r>
      <w:r>
        <w:rPr>
          <w:rFonts w:ascii="Georgia"/>
          <w:sz w:val="26"/>
        </w:rPr>
        <w:t>Mexican</w:t>
      </w:r>
      <w:r>
        <w:rPr>
          <w:rFonts w:ascii="Georgia"/>
          <w:spacing w:val="-17"/>
          <w:sz w:val="26"/>
        </w:rPr>
        <w:t> </w:t>
      </w:r>
      <w:r>
        <w:rPr>
          <w:rFonts w:ascii="Georgia"/>
          <w:sz w:val="26"/>
        </w:rPr>
        <w:t>outbreaks</w:t>
      </w:r>
      <w:r>
        <w:rPr>
          <w:rFonts w:ascii="Georgia"/>
          <w:spacing w:val="-17"/>
          <w:sz w:val="26"/>
        </w:rPr>
        <w:t> </w:t>
      </w:r>
      <w:r>
        <w:rPr>
          <w:rFonts w:ascii="Georgia"/>
          <w:sz w:val="26"/>
        </w:rPr>
        <w:t>represented</w:t>
      </w:r>
      <w:r>
        <w:rPr>
          <w:rFonts w:ascii="Georgia"/>
          <w:spacing w:val="-16"/>
          <w:sz w:val="26"/>
        </w:rPr>
        <w:t> </w:t>
      </w:r>
      <w:r>
        <w:rPr>
          <w:rFonts w:ascii="Georgia"/>
          <w:sz w:val="26"/>
        </w:rPr>
        <w:t>the</w:t>
      </w:r>
      <w:r>
        <w:rPr>
          <w:rFonts w:ascii="Georgia"/>
          <w:spacing w:val="-16"/>
          <w:sz w:val="26"/>
        </w:rPr>
        <w:t> </w:t>
      </w:r>
      <w:r>
        <w:rPr>
          <w:rFonts w:ascii="Georgia"/>
          <w:sz w:val="26"/>
        </w:rPr>
        <w:t>first</w:t>
      </w:r>
      <w:r>
        <w:rPr>
          <w:rFonts w:ascii="Georgia"/>
          <w:spacing w:val="-16"/>
          <w:sz w:val="26"/>
        </w:rPr>
        <w:t> </w:t>
      </w:r>
      <w:r>
        <w:rPr>
          <w:rFonts w:ascii="Georgia"/>
          <w:sz w:val="26"/>
        </w:rPr>
        <w:t>confirmed</w:t>
      </w:r>
      <w:r>
        <w:rPr>
          <w:rFonts w:ascii="Georgia"/>
          <w:spacing w:val="-18"/>
          <w:sz w:val="26"/>
        </w:rPr>
        <w:t> </w:t>
      </w:r>
      <w:r>
        <w:rPr>
          <w:rFonts w:ascii="Georgia"/>
          <w:sz w:val="26"/>
        </w:rPr>
        <w:t>equine</w:t>
      </w:r>
      <w:r>
        <w:rPr>
          <w:rFonts w:ascii="Georgia"/>
          <w:spacing w:val="-16"/>
          <w:sz w:val="26"/>
        </w:rPr>
        <w:t> </w:t>
      </w:r>
      <w:r>
        <w:rPr>
          <w:rFonts w:ascii="Georgia"/>
          <w:sz w:val="26"/>
        </w:rPr>
        <w:t>cases attributed to VEEV subtype IE infection. Although the 1966 Tamaulipas epizootic</w:t>
      </w:r>
      <w:r>
        <w:rPr>
          <w:rFonts w:ascii="Georgia"/>
          <w:spacing w:val="-12"/>
          <w:sz w:val="26"/>
        </w:rPr>
        <w:t> </w:t>
      </w:r>
      <w:r>
        <w:rPr>
          <w:rFonts w:ascii="Georgia"/>
          <w:sz w:val="26"/>
        </w:rPr>
        <w:t>may</w:t>
      </w:r>
      <w:r>
        <w:rPr>
          <w:rFonts w:ascii="Georgia"/>
          <w:spacing w:val="-12"/>
          <w:sz w:val="26"/>
        </w:rPr>
        <w:t> </w:t>
      </w:r>
      <w:r>
        <w:rPr>
          <w:rFonts w:ascii="Georgia"/>
          <w:sz w:val="26"/>
        </w:rPr>
        <w:t>have</w:t>
      </w:r>
      <w:r>
        <w:rPr>
          <w:rFonts w:ascii="Georgia"/>
          <w:spacing w:val="-12"/>
          <w:sz w:val="26"/>
        </w:rPr>
        <w:t> </w:t>
      </w:r>
      <w:r>
        <w:rPr>
          <w:rFonts w:ascii="Georgia"/>
          <w:sz w:val="26"/>
        </w:rPr>
        <w:t>been</w:t>
      </w:r>
      <w:r>
        <w:rPr>
          <w:rFonts w:ascii="Georgia"/>
          <w:spacing w:val="-11"/>
          <w:sz w:val="26"/>
        </w:rPr>
        <w:t> </w:t>
      </w:r>
      <w:r>
        <w:rPr>
          <w:rFonts w:ascii="Georgia"/>
          <w:sz w:val="26"/>
        </w:rPr>
        <w:t>caused</w:t>
      </w:r>
      <w:r>
        <w:rPr>
          <w:rFonts w:ascii="Georgia"/>
          <w:spacing w:val="-12"/>
          <w:sz w:val="26"/>
        </w:rPr>
        <w:t> </w:t>
      </w:r>
      <w:r>
        <w:rPr>
          <w:rFonts w:ascii="Georgia"/>
          <w:sz w:val="26"/>
        </w:rPr>
        <w:t>by</w:t>
      </w:r>
      <w:r>
        <w:rPr>
          <w:rFonts w:ascii="Georgia"/>
          <w:spacing w:val="-12"/>
          <w:sz w:val="26"/>
        </w:rPr>
        <w:t> </w:t>
      </w:r>
      <w:r>
        <w:rPr>
          <w:rFonts w:ascii="Georgia"/>
          <w:sz w:val="26"/>
        </w:rPr>
        <w:t>subtype</w:t>
      </w:r>
      <w:r>
        <w:rPr>
          <w:rFonts w:ascii="Georgia"/>
          <w:spacing w:val="-13"/>
          <w:sz w:val="26"/>
        </w:rPr>
        <w:t> </w:t>
      </w:r>
      <w:r>
        <w:rPr>
          <w:rFonts w:ascii="Georgia"/>
          <w:sz w:val="26"/>
        </w:rPr>
        <w:t>IE</w:t>
      </w:r>
      <w:r>
        <w:rPr>
          <w:rFonts w:ascii="Georgia"/>
          <w:spacing w:val="-12"/>
          <w:sz w:val="26"/>
        </w:rPr>
        <w:t> </w:t>
      </w:r>
      <w:r>
        <w:rPr>
          <w:rFonts w:ascii="Georgia"/>
          <w:sz w:val="26"/>
        </w:rPr>
        <w:t>viruses</w:t>
      </w:r>
      <w:r>
        <w:rPr>
          <w:rFonts w:ascii="Georgia"/>
          <w:spacing w:val="-11"/>
          <w:sz w:val="26"/>
        </w:rPr>
        <w:t> </w:t>
      </w:r>
      <w:r>
        <w:rPr>
          <w:rFonts w:ascii="Georgia"/>
          <w:sz w:val="26"/>
        </w:rPr>
        <w:t>that</w:t>
      </w:r>
      <w:r>
        <w:rPr>
          <w:rFonts w:ascii="Georgia"/>
          <w:spacing w:val="-13"/>
          <w:sz w:val="26"/>
        </w:rPr>
        <w:t> </w:t>
      </w:r>
      <w:r>
        <w:rPr>
          <w:rFonts w:ascii="Georgia"/>
          <w:sz w:val="26"/>
        </w:rPr>
        <w:t>circulate</w:t>
      </w:r>
      <w:r>
        <w:rPr>
          <w:rFonts w:ascii="Georgia"/>
          <w:spacing w:val="-13"/>
          <w:sz w:val="26"/>
        </w:rPr>
        <w:t> </w:t>
      </w:r>
      <w:r>
        <w:rPr>
          <w:rFonts w:ascii="Georgia"/>
          <w:sz w:val="26"/>
        </w:rPr>
        <w:t>nearby</w:t>
      </w:r>
      <w:r>
        <w:rPr>
          <w:rFonts w:ascii="Georgia"/>
          <w:spacing w:val="-12"/>
          <w:sz w:val="26"/>
        </w:rPr>
        <w:t> </w:t>
      </w:r>
      <w:r>
        <w:rPr>
          <w:rFonts w:ascii="Georgia"/>
          <w:sz w:val="26"/>
        </w:rPr>
        <w:t>on the Gulf Coast of Mexico, isolation were not performed. </w:t>
      </w:r>
      <w:r>
        <w:rPr>
          <w:rFonts w:ascii="Georgia"/>
          <w:color w:val="202020"/>
          <w:sz w:val="26"/>
        </w:rPr>
        <w:t>Derived from these outbreaks,</w:t>
      </w:r>
      <w:r>
        <w:rPr>
          <w:rFonts w:ascii="Georgia"/>
          <w:color w:val="202020"/>
          <w:spacing w:val="-16"/>
          <w:sz w:val="26"/>
        </w:rPr>
        <w:t> </w:t>
      </w:r>
      <w:r>
        <w:rPr>
          <w:rFonts w:ascii="Georgia"/>
          <w:color w:val="202020"/>
          <w:sz w:val="26"/>
        </w:rPr>
        <w:t>several</w:t>
      </w:r>
      <w:r>
        <w:rPr>
          <w:rFonts w:ascii="Georgia"/>
          <w:color w:val="202020"/>
          <w:spacing w:val="-18"/>
          <w:sz w:val="26"/>
        </w:rPr>
        <w:t> </w:t>
      </w:r>
      <w:r>
        <w:rPr>
          <w:rFonts w:ascii="Georgia"/>
          <w:color w:val="202020"/>
          <w:sz w:val="26"/>
        </w:rPr>
        <w:t>studies</w:t>
      </w:r>
      <w:r>
        <w:rPr>
          <w:rFonts w:ascii="Georgia"/>
          <w:color w:val="202020"/>
          <w:spacing w:val="-17"/>
          <w:sz w:val="26"/>
        </w:rPr>
        <w:t> </w:t>
      </w:r>
      <w:r>
        <w:rPr>
          <w:rFonts w:ascii="Georgia"/>
          <w:color w:val="202020"/>
          <w:sz w:val="26"/>
        </w:rPr>
        <w:t>were</w:t>
      </w:r>
      <w:r>
        <w:rPr>
          <w:rFonts w:ascii="Georgia"/>
          <w:color w:val="202020"/>
          <w:spacing w:val="-19"/>
          <w:sz w:val="26"/>
        </w:rPr>
        <w:t> </w:t>
      </w:r>
      <w:r>
        <w:rPr>
          <w:rFonts w:ascii="Georgia"/>
          <w:color w:val="202020"/>
          <w:sz w:val="26"/>
        </w:rPr>
        <w:t>conducted</w:t>
      </w:r>
      <w:r>
        <w:rPr>
          <w:rFonts w:ascii="Georgia"/>
          <w:sz w:val="26"/>
        </w:rPr>
        <w:t>,</w:t>
      </w:r>
      <w:r>
        <w:rPr>
          <w:rFonts w:ascii="Georgia"/>
          <w:spacing w:val="-18"/>
          <w:sz w:val="26"/>
        </w:rPr>
        <w:t> </w:t>
      </w:r>
      <w:r>
        <w:rPr>
          <w:rFonts w:ascii="Georgia"/>
          <w:sz w:val="26"/>
        </w:rPr>
        <w:t>to</w:t>
      </w:r>
      <w:r>
        <w:rPr>
          <w:rFonts w:ascii="Georgia"/>
          <w:spacing w:val="-17"/>
          <w:sz w:val="26"/>
        </w:rPr>
        <w:t> </w:t>
      </w:r>
      <w:r>
        <w:rPr>
          <w:rFonts w:ascii="Georgia"/>
          <w:sz w:val="26"/>
        </w:rPr>
        <w:t>evaluate</w:t>
      </w:r>
      <w:r>
        <w:rPr>
          <w:rFonts w:ascii="Georgia"/>
          <w:spacing w:val="-17"/>
          <w:sz w:val="26"/>
        </w:rPr>
        <w:t> </w:t>
      </w:r>
      <w:r>
        <w:rPr>
          <w:rFonts w:ascii="Georgia"/>
          <w:sz w:val="26"/>
        </w:rPr>
        <w:t>the</w:t>
      </w:r>
      <w:r>
        <w:rPr>
          <w:rFonts w:ascii="Georgia"/>
          <w:spacing w:val="-19"/>
          <w:sz w:val="26"/>
        </w:rPr>
        <w:t> </w:t>
      </w:r>
      <w:r>
        <w:rPr>
          <w:rFonts w:ascii="Georgia"/>
          <w:sz w:val="26"/>
        </w:rPr>
        <w:t>pathogenicity</w:t>
      </w:r>
      <w:r>
        <w:rPr>
          <w:rFonts w:ascii="Georgia"/>
          <w:spacing w:val="-16"/>
          <w:sz w:val="26"/>
        </w:rPr>
        <w:t> </w:t>
      </w:r>
      <w:r>
        <w:rPr>
          <w:rFonts w:ascii="Georgia"/>
          <w:sz w:val="26"/>
        </w:rPr>
        <w:t>of</w:t>
      </w:r>
      <w:r>
        <w:rPr>
          <w:rFonts w:ascii="Georgia"/>
          <w:spacing w:val="-17"/>
          <w:sz w:val="26"/>
        </w:rPr>
        <w:t> </w:t>
      </w:r>
      <w:r>
        <w:rPr>
          <w:rFonts w:ascii="Georgia"/>
          <w:sz w:val="26"/>
        </w:rPr>
        <w:t>the circulating strains in the Mexican Pacific. However the strains circulating in the Gulf of Mexico have not been studied extensively. The clinical disease in horses, caused by the strains circulating in the Gulf of Mexico, is not fully documented. In the present study, we used alphavirus seronegative horses as sentinels in a previously reported enzootic foci, in the southern state of Veracruz, during 21 days, to assess the clinical disease in horses, we achieved that</w:t>
      </w:r>
      <w:r>
        <w:rPr>
          <w:rFonts w:ascii="Georgia"/>
          <w:spacing w:val="-18"/>
          <w:sz w:val="26"/>
        </w:rPr>
        <w:t> </w:t>
      </w:r>
      <w:r>
        <w:rPr>
          <w:rFonts w:ascii="Georgia"/>
          <w:sz w:val="26"/>
        </w:rPr>
        <w:t>by</w:t>
      </w:r>
      <w:r>
        <w:rPr>
          <w:rFonts w:ascii="Georgia"/>
          <w:spacing w:val="-18"/>
          <w:sz w:val="26"/>
        </w:rPr>
        <w:t> </w:t>
      </w:r>
      <w:r>
        <w:rPr>
          <w:rFonts w:ascii="Georgia"/>
          <w:sz w:val="26"/>
        </w:rPr>
        <w:t>recording</w:t>
      </w:r>
      <w:r>
        <w:rPr>
          <w:rFonts w:ascii="Georgia"/>
          <w:spacing w:val="-20"/>
          <w:sz w:val="26"/>
        </w:rPr>
        <w:t> </w:t>
      </w:r>
      <w:r>
        <w:rPr>
          <w:rFonts w:ascii="Georgia"/>
          <w:sz w:val="26"/>
        </w:rPr>
        <w:t>clinical</w:t>
      </w:r>
      <w:r>
        <w:rPr>
          <w:rFonts w:ascii="Georgia"/>
          <w:spacing w:val="-20"/>
          <w:sz w:val="26"/>
        </w:rPr>
        <w:t> </w:t>
      </w:r>
      <w:r>
        <w:rPr>
          <w:rFonts w:ascii="Georgia"/>
          <w:sz w:val="26"/>
        </w:rPr>
        <w:t>signs</w:t>
      </w:r>
      <w:r>
        <w:rPr>
          <w:rFonts w:ascii="Georgia"/>
          <w:spacing w:val="-19"/>
          <w:sz w:val="26"/>
        </w:rPr>
        <w:t> </w:t>
      </w:r>
      <w:r>
        <w:rPr>
          <w:rFonts w:ascii="Georgia"/>
          <w:sz w:val="26"/>
        </w:rPr>
        <w:t>and</w:t>
      </w:r>
      <w:r>
        <w:rPr>
          <w:rFonts w:ascii="Georgia"/>
          <w:spacing w:val="-20"/>
          <w:sz w:val="26"/>
        </w:rPr>
        <w:t> </w:t>
      </w:r>
      <w:r>
        <w:rPr>
          <w:rFonts w:ascii="Georgia"/>
          <w:sz w:val="26"/>
        </w:rPr>
        <w:t>hematological</w:t>
      </w:r>
      <w:r>
        <w:rPr>
          <w:rFonts w:ascii="Georgia"/>
          <w:spacing w:val="-20"/>
          <w:sz w:val="26"/>
        </w:rPr>
        <w:t> </w:t>
      </w:r>
      <w:r>
        <w:rPr>
          <w:rFonts w:ascii="Georgia"/>
          <w:sz w:val="26"/>
        </w:rPr>
        <w:t>values,</w:t>
      </w:r>
      <w:r>
        <w:rPr>
          <w:rFonts w:ascii="Georgia"/>
          <w:spacing w:val="-18"/>
          <w:sz w:val="26"/>
        </w:rPr>
        <w:t> </w:t>
      </w:r>
      <w:r>
        <w:rPr>
          <w:rFonts w:ascii="Georgia"/>
          <w:sz w:val="26"/>
        </w:rPr>
        <w:t>blood</w:t>
      </w:r>
      <w:r>
        <w:rPr>
          <w:rFonts w:ascii="Georgia"/>
          <w:spacing w:val="-21"/>
          <w:sz w:val="26"/>
        </w:rPr>
        <w:t> </w:t>
      </w:r>
      <w:r>
        <w:rPr>
          <w:rFonts w:ascii="Georgia"/>
          <w:sz w:val="26"/>
        </w:rPr>
        <w:t>sampling</w:t>
      </w:r>
      <w:r>
        <w:rPr>
          <w:rFonts w:ascii="Georgia"/>
          <w:spacing w:val="-20"/>
          <w:sz w:val="26"/>
        </w:rPr>
        <w:t> </w:t>
      </w:r>
      <w:r>
        <w:rPr>
          <w:rFonts w:ascii="Georgia"/>
          <w:sz w:val="26"/>
        </w:rPr>
        <w:t>daily to</w:t>
      </w:r>
      <w:r>
        <w:rPr>
          <w:rFonts w:ascii="Georgia"/>
          <w:spacing w:val="-13"/>
          <w:sz w:val="26"/>
        </w:rPr>
        <w:t> </w:t>
      </w:r>
      <w:r>
        <w:rPr>
          <w:rFonts w:ascii="Georgia"/>
          <w:sz w:val="26"/>
        </w:rPr>
        <w:t>detect</w:t>
      </w:r>
      <w:r>
        <w:rPr>
          <w:rFonts w:ascii="Georgia"/>
          <w:spacing w:val="-13"/>
          <w:sz w:val="26"/>
        </w:rPr>
        <w:t> </w:t>
      </w:r>
      <w:r>
        <w:rPr>
          <w:rFonts w:ascii="Georgia"/>
          <w:sz w:val="26"/>
        </w:rPr>
        <w:t>the</w:t>
      </w:r>
      <w:r>
        <w:rPr>
          <w:rFonts w:ascii="Georgia"/>
          <w:spacing w:val="-13"/>
          <w:sz w:val="26"/>
        </w:rPr>
        <w:t> </w:t>
      </w:r>
      <w:r>
        <w:rPr>
          <w:rFonts w:ascii="Georgia"/>
          <w:sz w:val="26"/>
        </w:rPr>
        <w:t>presence</w:t>
      </w:r>
      <w:r>
        <w:rPr>
          <w:rFonts w:ascii="Georgia"/>
          <w:spacing w:val="-13"/>
          <w:sz w:val="26"/>
        </w:rPr>
        <w:t> </w:t>
      </w:r>
      <w:r>
        <w:rPr>
          <w:rFonts w:ascii="Georgia"/>
          <w:sz w:val="26"/>
        </w:rPr>
        <w:t>of</w:t>
      </w:r>
      <w:r>
        <w:rPr>
          <w:rFonts w:ascii="Georgia"/>
          <w:spacing w:val="-13"/>
          <w:sz w:val="26"/>
        </w:rPr>
        <w:t> </w:t>
      </w:r>
      <w:r>
        <w:rPr>
          <w:rFonts w:ascii="Georgia"/>
          <w:sz w:val="26"/>
        </w:rPr>
        <w:t>neutralizing</w:t>
      </w:r>
      <w:r>
        <w:rPr>
          <w:rFonts w:ascii="Georgia"/>
          <w:spacing w:val="-9"/>
          <w:sz w:val="26"/>
        </w:rPr>
        <w:t> </w:t>
      </w:r>
      <w:r>
        <w:rPr>
          <w:rFonts w:ascii="Georgia"/>
          <w:sz w:val="26"/>
        </w:rPr>
        <w:t>antibodies</w:t>
      </w:r>
      <w:r>
        <w:rPr>
          <w:rFonts w:ascii="Georgia"/>
          <w:spacing w:val="-9"/>
          <w:sz w:val="26"/>
        </w:rPr>
        <w:t> </w:t>
      </w:r>
      <w:r>
        <w:rPr>
          <w:rFonts w:ascii="Georgia"/>
          <w:sz w:val="26"/>
        </w:rPr>
        <w:t>and</w:t>
      </w:r>
      <w:r>
        <w:rPr>
          <w:rFonts w:ascii="Georgia"/>
          <w:spacing w:val="-9"/>
          <w:sz w:val="26"/>
        </w:rPr>
        <w:t> </w:t>
      </w:r>
      <w:r>
        <w:rPr>
          <w:rFonts w:ascii="Georgia"/>
          <w:sz w:val="26"/>
        </w:rPr>
        <w:t>aiming</w:t>
      </w:r>
      <w:r>
        <w:rPr>
          <w:rFonts w:ascii="Georgia"/>
          <w:spacing w:val="-12"/>
          <w:sz w:val="26"/>
        </w:rPr>
        <w:t> </w:t>
      </w:r>
      <w:r>
        <w:rPr>
          <w:rFonts w:ascii="Georgia"/>
          <w:sz w:val="26"/>
        </w:rPr>
        <w:t>the</w:t>
      </w:r>
      <w:r>
        <w:rPr>
          <w:rFonts w:ascii="Georgia"/>
          <w:spacing w:val="-13"/>
          <w:sz w:val="26"/>
        </w:rPr>
        <w:t> </w:t>
      </w:r>
      <w:r>
        <w:rPr>
          <w:rFonts w:ascii="Georgia"/>
          <w:sz w:val="26"/>
        </w:rPr>
        <w:t>viral</w:t>
      </w:r>
      <w:r>
        <w:rPr>
          <w:rFonts w:ascii="Georgia"/>
          <w:spacing w:val="-6"/>
          <w:sz w:val="26"/>
        </w:rPr>
        <w:t> </w:t>
      </w:r>
      <w:r>
        <w:rPr>
          <w:rFonts w:ascii="Georgia"/>
          <w:sz w:val="26"/>
        </w:rPr>
        <w:t>isolation in the equine</w:t>
      </w:r>
      <w:r>
        <w:rPr>
          <w:rFonts w:ascii="Georgia"/>
          <w:spacing w:val="-12"/>
          <w:sz w:val="26"/>
        </w:rPr>
        <w:t> </w:t>
      </w:r>
      <w:r>
        <w:rPr>
          <w:rFonts w:ascii="Georgia"/>
          <w:sz w:val="26"/>
        </w:rPr>
        <w:t>sera.</w:t>
      </w:r>
    </w:p>
    <w:p>
      <w:pPr>
        <w:pStyle w:val="BodyText"/>
        <w:rPr>
          <w:rFonts w:ascii="Georgia"/>
          <w:sz w:val="26"/>
        </w:rPr>
      </w:pPr>
    </w:p>
    <w:p>
      <w:pPr>
        <w:spacing w:before="182"/>
        <w:ind w:left="102" w:right="0" w:firstLine="0"/>
        <w:jc w:val="both"/>
        <w:rPr>
          <w:rFonts w:ascii="Georgia"/>
          <w:b/>
          <w:sz w:val="26"/>
        </w:rPr>
      </w:pPr>
      <w:r>
        <w:rPr>
          <w:rFonts w:ascii="Georgia"/>
          <w:b/>
          <w:sz w:val="26"/>
        </w:rPr>
        <w:t>MATERIALS AND METHODS</w:t>
      </w:r>
    </w:p>
    <w:p>
      <w:pPr>
        <w:pStyle w:val="BodyText"/>
        <w:rPr>
          <w:rFonts w:ascii="Georgia"/>
          <w:b/>
          <w:sz w:val="26"/>
        </w:rPr>
      </w:pPr>
    </w:p>
    <w:p>
      <w:pPr>
        <w:spacing w:line="259" w:lineRule="auto" w:before="208"/>
        <w:ind w:left="102" w:right="117" w:firstLine="311"/>
        <w:jc w:val="both"/>
        <w:rPr>
          <w:rFonts w:ascii="Georgia"/>
          <w:sz w:val="26"/>
        </w:rPr>
      </w:pPr>
      <w:r>
        <w:rPr>
          <w:rFonts w:ascii="Georgia"/>
          <w:i/>
          <w:sz w:val="26"/>
        </w:rPr>
        <w:t>Study site. </w:t>
      </w:r>
      <w:r>
        <w:rPr>
          <w:rFonts w:ascii="Georgia"/>
          <w:sz w:val="26"/>
        </w:rPr>
        <w:t>The endemic site of VEEV circulation in Mexico where these studies were done was near Coatzacoalcos, the municipality of Minatitlan, Veracruz.</w:t>
      </w:r>
      <w:r>
        <w:rPr>
          <w:rFonts w:ascii="Georgia"/>
          <w:spacing w:val="-5"/>
          <w:sz w:val="26"/>
        </w:rPr>
        <w:t> </w:t>
      </w:r>
      <w:r>
        <w:rPr>
          <w:rFonts w:ascii="Georgia"/>
          <w:sz w:val="26"/>
        </w:rPr>
        <w:t>The</w:t>
      </w:r>
      <w:r>
        <w:rPr>
          <w:rFonts w:ascii="Georgia"/>
          <w:spacing w:val="-5"/>
          <w:sz w:val="26"/>
        </w:rPr>
        <w:t> </w:t>
      </w:r>
      <w:r>
        <w:rPr>
          <w:rFonts w:ascii="Georgia"/>
          <w:sz w:val="26"/>
        </w:rPr>
        <w:t>village</w:t>
      </w:r>
      <w:r>
        <w:rPr>
          <w:rFonts w:ascii="Georgia"/>
          <w:spacing w:val="-4"/>
          <w:sz w:val="26"/>
        </w:rPr>
        <w:t> </w:t>
      </w:r>
      <w:r>
        <w:rPr>
          <w:rFonts w:ascii="Georgia"/>
          <w:sz w:val="26"/>
        </w:rPr>
        <w:t>is</w:t>
      </w:r>
      <w:r>
        <w:rPr>
          <w:rFonts w:ascii="Georgia"/>
          <w:spacing w:val="-4"/>
          <w:sz w:val="26"/>
        </w:rPr>
        <w:t> </w:t>
      </w:r>
      <w:r>
        <w:rPr>
          <w:rFonts w:ascii="Georgia"/>
          <w:sz w:val="26"/>
        </w:rPr>
        <w:t>located</w:t>
      </w:r>
      <w:r>
        <w:rPr>
          <w:rFonts w:ascii="Georgia"/>
          <w:spacing w:val="-3"/>
          <w:sz w:val="26"/>
        </w:rPr>
        <w:t> </w:t>
      </w:r>
      <w:r>
        <w:rPr>
          <w:rFonts w:ascii="Georgia"/>
          <w:sz w:val="26"/>
        </w:rPr>
        <w:t>at</w:t>
      </w:r>
      <w:r>
        <w:rPr>
          <w:rFonts w:ascii="Georgia"/>
          <w:spacing w:val="-5"/>
          <w:sz w:val="26"/>
        </w:rPr>
        <w:t> </w:t>
      </w:r>
      <w:r>
        <w:rPr>
          <w:rFonts w:ascii="Georgia"/>
          <w:sz w:val="26"/>
        </w:rPr>
        <w:t>sea</w:t>
      </w:r>
      <w:r>
        <w:rPr>
          <w:rFonts w:ascii="Georgia"/>
          <w:spacing w:val="-6"/>
          <w:sz w:val="26"/>
        </w:rPr>
        <w:t> </w:t>
      </w:r>
      <w:r>
        <w:rPr>
          <w:rFonts w:ascii="Georgia"/>
          <w:sz w:val="26"/>
        </w:rPr>
        <w:t>level</w:t>
      </w:r>
      <w:r>
        <w:rPr>
          <w:rFonts w:ascii="Georgia"/>
          <w:spacing w:val="-2"/>
          <w:sz w:val="26"/>
        </w:rPr>
        <w:t> </w:t>
      </w:r>
      <w:r>
        <w:rPr>
          <w:rFonts w:ascii="Georgia"/>
          <w:sz w:val="26"/>
        </w:rPr>
        <w:t>on</w:t>
      </w:r>
      <w:r>
        <w:rPr>
          <w:rFonts w:ascii="Georgia"/>
          <w:spacing w:val="-2"/>
          <w:sz w:val="26"/>
        </w:rPr>
        <w:t> </w:t>
      </w:r>
      <w:r>
        <w:rPr>
          <w:rFonts w:ascii="Georgia"/>
          <w:sz w:val="26"/>
        </w:rPr>
        <w:t>a</w:t>
      </w:r>
      <w:r>
        <w:rPr>
          <w:rFonts w:ascii="Georgia"/>
          <w:spacing w:val="-6"/>
          <w:sz w:val="26"/>
        </w:rPr>
        <w:t> </w:t>
      </w:r>
      <w:r>
        <w:rPr>
          <w:rFonts w:ascii="Georgia"/>
          <w:sz w:val="26"/>
        </w:rPr>
        <w:t>lagoon</w:t>
      </w:r>
      <w:r>
        <w:rPr>
          <w:rFonts w:ascii="Georgia"/>
          <w:spacing w:val="-5"/>
          <w:sz w:val="26"/>
        </w:rPr>
        <w:t> </w:t>
      </w:r>
      <w:r>
        <w:rPr>
          <w:rFonts w:ascii="Georgia"/>
          <w:sz w:val="26"/>
        </w:rPr>
        <w:t>off</w:t>
      </w:r>
      <w:r>
        <w:rPr>
          <w:rFonts w:ascii="Georgia"/>
          <w:spacing w:val="-5"/>
          <w:sz w:val="26"/>
        </w:rPr>
        <w:t> </w:t>
      </w:r>
      <w:r>
        <w:rPr>
          <w:rFonts w:ascii="Georgia"/>
          <w:sz w:val="26"/>
        </w:rPr>
        <w:t>the</w:t>
      </w:r>
      <w:r>
        <w:rPr>
          <w:rFonts w:ascii="Georgia"/>
          <w:spacing w:val="-3"/>
          <w:sz w:val="26"/>
        </w:rPr>
        <w:t> </w:t>
      </w:r>
      <w:r>
        <w:rPr>
          <w:rFonts w:ascii="Georgia"/>
          <w:sz w:val="26"/>
        </w:rPr>
        <w:t>Gulf</w:t>
      </w:r>
      <w:r>
        <w:rPr>
          <w:rFonts w:ascii="Georgia"/>
          <w:spacing w:val="-5"/>
          <w:sz w:val="26"/>
        </w:rPr>
        <w:t> </w:t>
      </w:r>
      <w:r>
        <w:rPr>
          <w:rFonts w:ascii="Georgia"/>
          <w:sz w:val="26"/>
        </w:rPr>
        <w:t>of</w:t>
      </w:r>
      <w:r>
        <w:rPr>
          <w:rFonts w:ascii="Georgia"/>
          <w:spacing w:val="-5"/>
          <w:sz w:val="26"/>
        </w:rPr>
        <w:t> </w:t>
      </w:r>
      <w:r>
        <w:rPr>
          <w:rFonts w:ascii="Georgia"/>
          <w:sz w:val="26"/>
        </w:rPr>
        <w:t>Mexico, and around 160,000 inhabitants in 2014; domestic animals included dogs, pigs, chickens and horses with cattle grazing in pastures. Manly tropical wet forest, open pasture, cultivated fields. Mangroves bordered the lagoon </w:t>
      </w:r>
      <w:r>
        <w:rPr>
          <w:rFonts w:ascii="Georgia"/>
          <w:spacing w:val="2"/>
          <w:sz w:val="26"/>
        </w:rPr>
        <w:t>and </w:t>
      </w:r>
      <w:r>
        <w:rPr>
          <w:rFonts w:ascii="Georgia"/>
          <w:sz w:val="26"/>
        </w:rPr>
        <w:t>there were many springs wich served as sources of water for people and animals.</w:t>
      </w:r>
    </w:p>
    <w:p>
      <w:pPr>
        <w:spacing w:line="259" w:lineRule="auto" w:before="0"/>
        <w:ind w:left="102" w:right="121" w:firstLine="249"/>
        <w:jc w:val="both"/>
        <w:rPr>
          <w:rFonts w:ascii="Georgia"/>
          <w:sz w:val="26"/>
        </w:rPr>
      </w:pPr>
      <w:r>
        <w:rPr>
          <w:rFonts w:ascii="Georgia"/>
          <w:i/>
          <w:sz w:val="26"/>
        </w:rPr>
        <w:t>Exposure of sentinel equines. </w:t>
      </w:r>
      <w:r>
        <w:rPr>
          <w:rFonts w:ascii="Georgia"/>
          <w:sz w:val="26"/>
        </w:rPr>
        <w:t>Seven seronegative horses native of the central</w:t>
      </w:r>
      <w:r>
        <w:rPr>
          <w:rFonts w:ascii="Georgia"/>
          <w:spacing w:val="-17"/>
          <w:sz w:val="26"/>
        </w:rPr>
        <w:t> </w:t>
      </w:r>
      <w:r>
        <w:rPr>
          <w:rFonts w:ascii="Georgia"/>
          <w:sz w:val="26"/>
        </w:rPr>
        <w:t>plateau</w:t>
      </w:r>
      <w:r>
        <w:rPr>
          <w:rFonts w:ascii="Georgia"/>
          <w:spacing w:val="-15"/>
          <w:sz w:val="26"/>
        </w:rPr>
        <w:t> </w:t>
      </w:r>
      <w:r>
        <w:rPr>
          <w:rFonts w:ascii="Georgia"/>
          <w:sz w:val="26"/>
        </w:rPr>
        <w:t>of</w:t>
      </w:r>
      <w:r>
        <w:rPr>
          <w:rFonts w:ascii="Georgia"/>
          <w:spacing w:val="-15"/>
          <w:sz w:val="26"/>
        </w:rPr>
        <w:t> </w:t>
      </w:r>
      <w:r>
        <w:rPr>
          <w:rFonts w:ascii="Georgia"/>
          <w:sz w:val="26"/>
        </w:rPr>
        <w:t>Mexico,</w:t>
      </w:r>
      <w:r>
        <w:rPr>
          <w:rFonts w:ascii="Georgia"/>
          <w:spacing w:val="-18"/>
          <w:sz w:val="26"/>
        </w:rPr>
        <w:t> </w:t>
      </w:r>
      <w:r>
        <w:rPr>
          <w:rFonts w:ascii="Georgia"/>
          <w:sz w:val="26"/>
        </w:rPr>
        <w:t>where</w:t>
      </w:r>
      <w:r>
        <w:rPr>
          <w:rFonts w:ascii="Georgia"/>
          <w:spacing w:val="-15"/>
          <w:sz w:val="26"/>
        </w:rPr>
        <w:t> </w:t>
      </w:r>
      <w:r>
        <w:rPr>
          <w:rFonts w:ascii="Georgia"/>
          <w:sz w:val="26"/>
        </w:rPr>
        <w:t>circulation</w:t>
      </w:r>
      <w:r>
        <w:rPr>
          <w:rFonts w:ascii="Georgia"/>
          <w:spacing w:val="-16"/>
          <w:sz w:val="26"/>
        </w:rPr>
        <w:t> </w:t>
      </w:r>
      <w:r>
        <w:rPr>
          <w:rFonts w:ascii="Georgia"/>
          <w:sz w:val="26"/>
        </w:rPr>
        <w:t>of</w:t>
      </w:r>
      <w:r>
        <w:rPr>
          <w:rFonts w:ascii="Georgia"/>
          <w:spacing w:val="-16"/>
          <w:sz w:val="26"/>
        </w:rPr>
        <w:t> </w:t>
      </w:r>
      <w:r>
        <w:rPr>
          <w:rFonts w:ascii="Georgia"/>
          <w:sz w:val="26"/>
        </w:rPr>
        <w:t>VEEV</w:t>
      </w:r>
      <w:r>
        <w:rPr>
          <w:rFonts w:ascii="Georgia"/>
          <w:spacing w:val="-17"/>
          <w:sz w:val="26"/>
        </w:rPr>
        <w:t> </w:t>
      </w:r>
      <w:r>
        <w:rPr>
          <w:rFonts w:ascii="Georgia"/>
          <w:sz w:val="26"/>
        </w:rPr>
        <w:t>has</w:t>
      </w:r>
      <w:r>
        <w:rPr>
          <w:rFonts w:ascii="Georgia"/>
          <w:spacing w:val="-16"/>
          <w:sz w:val="26"/>
        </w:rPr>
        <w:t> </w:t>
      </w:r>
      <w:r>
        <w:rPr>
          <w:rFonts w:ascii="Georgia"/>
          <w:sz w:val="26"/>
        </w:rPr>
        <w:t>never</w:t>
      </w:r>
      <w:r>
        <w:rPr>
          <w:rFonts w:ascii="Georgia"/>
          <w:spacing w:val="-12"/>
          <w:sz w:val="26"/>
        </w:rPr>
        <w:t> </w:t>
      </w:r>
      <w:r>
        <w:rPr>
          <w:rFonts w:ascii="Georgia"/>
          <w:sz w:val="26"/>
        </w:rPr>
        <w:t>been</w:t>
      </w:r>
      <w:r>
        <w:rPr>
          <w:rFonts w:ascii="Georgia"/>
          <w:spacing w:val="-14"/>
          <w:sz w:val="26"/>
        </w:rPr>
        <w:t> </w:t>
      </w:r>
      <w:r>
        <w:rPr>
          <w:rFonts w:ascii="Georgia"/>
          <w:sz w:val="26"/>
        </w:rPr>
        <w:t>reported. They</w:t>
      </w:r>
      <w:r>
        <w:rPr>
          <w:rFonts w:ascii="Georgia"/>
          <w:spacing w:val="-19"/>
          <w:sz w:val="26"/>
        </w:rPr>
        <w:t> </w:t>
      </w:r>
      <w:r>
        <w:rPr>
          <w:rFonts w:ascii="Georgia"/>
          <w:sz w:val="26"/>
        </w:rPr>
        <w:t>were</w:t>
      </w:r>
      <w:r>
        <w:rPr>
          <w:rFonts w:ascii="Georgia"/>
          <w:spacing w:val="-17"/>
          <w:sz w:val="26"/>
        </w:rPr>
        <w:t> </w:t>
      </w:r>
      <w:r>
        <w:rPr>
          <w:rFonts w:ascii="Georgia"/>
          <w:sz w:val="26"/>
        </w:rPr>
        <w:t>young</w:t>
      </w:r>
      <w:r>
        <w:rPr>
          <w:rFonts w:ascii="Georgia"/>
          <w:spacing w:val="-18"/>
          <w:sz w:val="26"/>
        </w:rPr>
        <w:t> </w:t>
      </w:r>
      <w:r>
        <w:rPr>
          <w:rFonts w:ascii="Georgia"/>
          <w:sz w:val="26"/>
        </w:rPr>
        <w:t>mares</w:t>
      </w:r>
      <w:r>
        <w:rPr>
          <w:rFonts w:ascii="Georgia"/>
          <w:spacing w:val="-16"/>
          <w:sz w:val="26"/>
        </w:rPr>
        <w:t> </w:t>
      </w:r>
      <w:r>
        <w:rPr>
          <w:rFonts w:ascii="Georgia"/>
          <w:sz w:val="26"/>
        </w:rPr>
        <w:t>(18-24</w:t>
      </w:r>
      <w:r>
        <w:rPr>
          <w:rFonts w:ascii="Georgia"/>
          <w:spacing w:val="-18"/>
          <w:sz w:val="26"/>
        </w:rPr>
        <w:t> </w:t>
      </w:r>
      <w:r>
        <w:rPr>
          <w:rFonts w:ascii="Georgia"/>
          <w:sz w:val="26"/>
        </w:rPr>
        <w:t>months)</w:t>
      </w:r>
      <w:r>
        <w:rPr>
          <w:rFonts w:ascii="Georgia"/>
          <w:spacing w:val="-17"/>
          <w:sz w:val="26"/>
        </w:rPr>
        <w:t> </w:t>
      </w:r>
      <w:r>
        <w:rPr>
          <w:rFonts w:ascii="Georgia"/>
          <w:sz w:val="26"/>
        </w:rPr>
        <w:t>had</w:t>
      </w:r>
      <w:r>
        <w:rPr>
          <w:rFonts w:ascii="Georgia"/>
          <w:spacing w:val="28"/>
          <w:sz w:val="26"/>
        </w:rPr>
        <w:t> </w:t>
      </w:r>
      <w:r>
        <w:rPr>
          <w:rFonts w:ascii="Georgia"/>
          <w:sz w:val="26"/>
        </w:rPr>
        <w:t>kept</w:t>
      </w:r>
      <w:r>
        <w:rPr>
          <w:rFonts w:ascii="Georgia"/>
          <w:spacing w:val="-17"/>
          <w:sz w:val="26"/>
        </w:rPr>
        <w:t> </w:t>
      </w:r>
      <w:r>
        <w:rPr>
          <w:rFonts w:ascii="Georgia"/>
          <w:sz w:val="26"/>
        </w:rPr>
        <w:t>them</w:t>
      </w:r>
      <w:r>
        <w:rPr>
          <w:rFonts w:ascii="Georgia"/>
          <w:spacing w:val="-19"/>
          <w:sz w:val="26"/>
        </w:rPr>
        <w:t> </w:t>
      </w:r>
      <w:r>
        <w:rPr>
          <w:rFonts w:ascii="Georgia"/>
          <w:sz w:val="26"/>
        </w:rPr>
        <w:t>in</w:t>
      </w:r>
      <w:r>
        <w:rPr>
          <w:rFonts w:ascii="Georgia"/>
          <w:spacing w:val="-15"/>
          <w:sz w:val="26"/>
        </w:rPr>
        <w:t> </w:t>
      </w:r>
      <w:r>
        <w:rPr>
          <w:rFonts w:ascii="Georgia"/>
          <w:sz w:val="26"/>
        </w:rPr>
        <w:t>open</w:t>
      </w:r>
      <w:r>
        <w:rPr>
          <w:rFonts w:ascii="Georgia"/>
          <w:spacing w:val="-15"/>
          <w:sz w:val="26"/>
        </w:rPr>
        <w:t> </w:t>
      </w:r>
      <w:r>
        <w:rPr>
          <w:rFonts w:ascii="Georgia"/>
          <w:sz w:val="26"/>
        </w:rPr>
        <w:t>fields,</w:t>
      </w:r>
      <w:r>
        <w:rPr>
          <w:rFonts w:ascii="Georgia"/>
          <w:spacing w:val="-17"/>
          <w:sz w:val="26"/>
        </w:rPr>
        <w:t> </w:t>
      </w:r>
      <w:r>
        <w:rPr>
          <w:rFonts w:ascii="Georgia"/>
          <w:sz w:val="26"/>
        </w:rPr>
        <w:t>exposed to</w:t>
      </w:r>
      <w:r>
        <w:rPr>
          <w:rFonts w:ascii="Georgia"/>
          <w:spacing w:val="-15"/>
          <w:sz w:val="26"/>
        </w:rPr>
        <w:t> </w:t>
      </w:r>
      <w:r>
        <w:rPr>
          <w:rFonts w:ascii="Georgia"/>
          <w:sz w:val="26"/>
        </w:rPr>
        <w:t>mosquito</w:t>
      </w:r>
      <w:r>
        <w:rPr>
          <w:rFonts w:ascii="Georgia"/>
          <w:spacing w:val="-15"/>
          <w:sz w:val="26"/>
        </w:rPr>
        <w:t> </w:t>
      </w:r>
      <w:r>
        <w:rPr>
          <w:rFonts w:ascii="Georgia"/>
          <w:sz w:val="26"/>
        </w:rPr>
        <w:t>bites.</w:t>
      </w:r>
      <w:r>
        <w:rPr>
          <w:rFonts w:ascii="Georgia"/>
          <w:spacing w:val="-15"/>
          <w:sz w:val="26"/>
        </w:rPr>
        <w:t> </w:t>
      </w:r>
      <w:r>
        <w:rPr>
          <w:rFonts w:ascii="Georgia"/>
          <w:sz w:val="26"/>
        </w:rPr>
        <w:t>Sentinel</w:t>
      </w:r>
      <w:r>
        <w:rPr>
          <w:rFonts w:ascii="Georgia"/>
          <w:spacing w:val="-15"/>
          <w:sz w:val="26"/>
        </w:rPr>
        <w:t> </w:t>
      </w:r>
      <w:r>
        <w:rPr>
          <w:rFonts w:ascii="Georgia"/>
          <w:sz w:val="26"/>
        </w:rPr>
        <w:t>equines</w:t>
      </w:r>
      <w:r>
        <w:rPr>
          <w:rFonts w:ascii="Georgia"/>
          <w:spacing w:val="-14"/>
          <w:sz w:val="26"/>
        </w:rPr>
        <w:t> </w:t>
      </w:r>
      <w:r>
        <w:rPr>
          <w:rFonts w:ascii="Georgia"/>
          <w:sz w:val="26"/>
        </w:rPr>
        <w:t>were</w:t>
      </w:r>
      <w:r>
        <w:rPr>
          <w:rFonts w:ascii="Georgia"/>
          <w:spacing w:val="-15"/>
          <w:sz w:val="26"/>
        </w:rPr>
        <w:t> </w:t>
      </w:r>
      <w:r>
        <w:rPr>
          <w:rFonts w:ascii="Georgia"/>
          <w:sz w:val="26"/>
        </w:rPr>
        <w:t>tied</w:t>
      </w:r>
      <w:r>
        <w:rPr>
          <w:rFonts w:ascii="Georgia"/>
          <w:spacing w:val="-15"/>
          <w:sz w:val="26"/>
        </w:rPr>
        <w:t> </w:t>
      </w:r>
      <w:r>
        <w:rPr>
          <w:rFonts w:ascii="Georgia"/>
          <w:sz w:val="26"/>
        </w:rPr>
        <w:t>to</w:t>
      </w:r>
      <w:r>
        <w:rPr>
          <w:rFonts w:ascii="Georgia"/>
          <w:spacing w:val="-13"/>
          <w:sz w:val="26"/>
        </w:rPr>
        <w:t> </w:t>
      </w:r>
      <w:r>
        <w:rPr>
          <w:rFonts w:ascii="Georgia"/>
          <w:sz w:val="26"/>
        </w:rPr>
        <w:t>trees</w:t>
      </w:r>
      <w:r>
        <w:rPr>
          <w:rFonts w:ascii="Georgia"/>
          <w:spacing w:val="-14"/>
          <w:sz w:val="26"/>
        </w:rPr>
        <w:t> </w:t>
      </w:r>
      <w:r>
        <w:rPr>
          <w:rFonts w:ascii="Georgia"/>
          <w:sz w:val="26"/>
        </w:rPr>
        <w:t>in</w:t>
      </w:r>
      <w:r>
        <w:rPr>
          <w:rFonts w:ascii="Georgia"/>
          <w:spacing w:val="-14"/>
          <w:sz w:val="26"/>
        </w:rPr>
        <w:t> </w:t>
      </w:r>
      <w:r>
        <w:rPr>
          <w:rFonts w:ascii="Georgia"/>
          <w:sz w:val="26"/>
        </w:rPr>
        <w:t>the</w:t>
      </w:r>
      <w:r>
        <w:rPr>
          <w:rFonts w:ascii="Georgia"/>
          <w:spacing w:val="-15"/>
          <w:sz w:val="26"/>
        </w:rPr>
        <w:t> </w:t>
      </w:r>
      <w:r>
        <w:rPr>
          <w:rFonts w:ascii="Georgia"/>
          <w:sz w:val="26"/>
        </w:rPr>
        <w:t>wet</w:t>
      </w:r>
      <w:r>
        <w:rPr>
          <w:rFonts w:ascii="Georgia"/>
          <w:spacing w:val="-13"/>
          <w:sz w:val="26"/>
        </w:rPr>
        <w:t> </w:t>
      </w:r>
      <w:r>
        <w:rPr>
          <w:rFonts w:ascii="Georgia"/>
          <w:sz w:val="26"/>
        </w:rPr>
        <w:t>forest</w:t>
      </w:r>
      <w:r>
        <w:rPr>
          <w:rFonts w:ascii="Georgia"/>
          <w:spacing w:val="-15"/>
          <w:sz w:val="26"/>
        </w:rPr>
        <w:t> </w:t>
      </w:r>
      <w:r>
        <w:rPr>
          <w:rFonts w:ascii="Georgia"/>
          <w:sz w:val="26"/>
        </w:rPr>
        <w:t>in</w:t>
      </w:r>
      <w:r>
        <w:rPr>
          <w:rFonts w:ascii="Georgia"/>
          <w:spacing w:val="-14"/>
          <w:sz w:val="26"/>
        </w:rPr>
        <w:t> </w:t>
      </w:r>
      <w:r>
        <w:rPr>
          <w:rFonts w:ascii="Georgia"/>
          <w:sz w:val="26"/>
        </w:rPr>
        <w:t>grass. The animals were fed by grazing within these habitats and the water was carried out from a spring three times a</w:t>
      </w:r>
      <w:r>
        <w:rPr>
          <w:rFonts w:ascii="Georgia"/>
          <w:spacing w:val="-23"/>
          <w:sz w:val="26"/>
        </w:rPr>
        <w:t> </w:t>
      </w:r>
      <w:r>
        <w:rPr>
          <w:rFonts w:ascii="Georgia"/>
          <w:sz w:val="26"/>
        </w:rPr>
        <w:t>day.</w:t>
      </w:r>
    </w:p>
    <w:p>
      <w:pPr>
        <w:spacing w:after="0" w:line="259" w:lineRule="auto"/>
        <w:jc w:val="both"/>
        <w:rPr>
          <w:rFonts w:ascii="Georgia"/>
          <w:sz w:val="26"/>
        </w:rPr>
        <w:sectPr>
          <w:footerReference w:type="default" r:id="rId299"/>
          <w:pgSz w:w="12240" w:h="15840"/>
          <w:pgMar w:footer="0" w:header="0" w:top="1360" w:bottom="280" w:left="1600" w:right="1580"/>
        </w:sectPr>
      </w:pPr>
    </w:p>
    <w:p>
      <w:pPr>
        <w:spacing w:line="259" w:lineRule="auto" w:before="50"/>
        <w:ind w:left="102" w:right="120" w:firstLine="311"/>
        <w:jc w:val="both"/>
        <w:rPr>
          <w:rFonts w:ascii="Georgia" w:hAnsi="Georgia"/>
          <w:sz w:val="26"/>
        </w:rPr>
      </w:pPr>
      <w:r>
        <w:rPr>
          <w:rFonts w:ascii="Georgia" w:hAnsi="Georgia"/>
          <w:i/>
          <w:sz w:val="26"/>
        </w:rPr>
        <w:t>Clinical signs and blood sampling</w:t>
      </w:r>
      <w:r>
        <w:rPr>
          <w:rFonts w:ascii="Georgia" w:hAnsi="Georgia"/>
          <w:sz w:val="26"/>
        </w:rPr>
        <w:t>. Twice a day a routine examination test was performed, to evaluate all organ systems with the intention of detecting additional abnormalities , the heart, the abdomen, and the lungs were ausculted. Blood samples were collected from jugular vein, using purple Vacutainer for hematological studies and red Vacutainer for serological tests. Animals were bleed twice a day, tubes were centrifugated to collect the sera, then it was placed in a criovial and was stored -70°C in liquid nitrogen in an special container, and were send to Texas University, for further analysis.</w:t>
      </w:r>
    </w:p>
    <w:p>
      <w:pPr>
        <w:pStyle w:val="BodyText"/>
        <w:spacing w:before="1"/>
        <w:rPr>
          <w:rFonts w:ascii="Georgia"/>
          <w:sz w:val="28"/>
        </w:rPr>
      </w:pPr>
    </w:p>
    <w:p>
      <w:pPr>
        <w:spacing w:line="259" w:lineRule="auto" w:before="0"/>
        <w:ind w:left="102" w:right="120" w:firstLine="311"/>
        <w:jc w:val="both"/>
        <w:rPr>
          <w:rFonts w:ascii="Georgia"/>
          <w:sz w:val="26"/>
        </w:rPr>
      </w:pPr>
      <w:r>
        <w:rPr>
          <w:rFonts w:ascii="Georgia"/>
          <w:i/>
          <w:sz w:val="26"/>
        </w:rPr>
        <w:t>Hematological</w:t>
      </w:r>
      <w:r>
        <w:rPr>
          <w:rFonts w:ascii="Georgia"/>
          <w:i/>
          <w:spacing w:val="-8"/>
          <w:sz w:val="26"/>
        </w:rPr>
        <w:t> </w:t>
      </w:r>
      <w:r>
        <w:rPr>
          <w:rFonts w:ascii="Georgia"/>
          <w:i/>
          <w:sz w:val="26"/>
        </w:rPr>
        <w:t>values.</w:t>
      </w:r>
      <w:r>
        <w:rPr>
          <w:rFonts w:ascii="Georgia"/>
          <w:i/>
          <w:spacing w:val="-7"/>
          <w:sz w:val="26"/>
        </w:rPr>
        <w:t> </w:t>
      </w:r>
      <w:r>
        <w:rPr>
          <w:rFonts w:ascii="Georgia"/>
          <w:sz w:val="26"/>
        </w:rPr>
        <w:t>A</w:t>
      </w:r>
      <w:r>
        <w:rPr>
          <w:rFonts w:ascii="Georgia"/>
          <w:spacing w:val="-8"/>
          <w:sz w:val="26"/>
        </w:rPr>
        <w:t> </w:t>
      </w:r>
      <w:r>
        <w:rPr>
          <w:rFonts w:ascii="Georgia"/>
          <w:sz w:val="26"/>
        </w:rPr>
        <w:t>KontrolLab</w:t>
      </w:r>
      <w:r>
        <w:rPr>
          <w:rFonts w:ascii="Georgia"/>
          <w:spacing w:val="-8"/>
          <w:sz w:val="26"/>
        </w:rPr>
        <w:t> </w:t>
      </w:r>
      <w:r>
        <w:rPr>
          <w:rFonts w:ascii="Georgia"/>
          <w:sz w:val="26"/>
        </w:rPr>
        <w:t>BC-700,</w:t>
      </w:r>
      <w:r>
        <w:rPr>
          <w:rFonts w:ascii="Georgia"/>
          <w:spacing w:val="-10"/>
          <w:sz w:val="26"/>
        </w:rPr>
        <w:t> </w:t>
      </w:r>
      <w:r>
        <w:rPr>
          <w:rFonts w:ascii="Georgia"/>
          <w:sz w:val="26"/>
        </w:rPr>
        <w:t>DESEGO</w:t>
      </w:r>
      <w:r>
        <w:rPr>
          <w:rFonts w:ascii="Georgia"/>
          <w:spacing w:val="-7"/>
          <w:sz w:val="26"/>
        </w:rPr>
        <w:t> </w:t>
      </w:r>
      <w:r>
        <w:rPr>
          <w:rFonts w:ascii="Georgia"/>
          <w:sz w:val="26"/>
        </w:rPr>
        <w:t>reader</w:t>
      </w:r>
      <w:r>
        <w:rPr>
          <w:rFonts w:ascii="Georgia"/>
          <w:spacing w:val="-10"/>
          <w:sz w:val="26"/>
        </w:rPr>
        <w:t> </w:t>
      </w:r>
      <w:r>
        <w:rPr>
          <w:rFonts w:ascii="Georgia"/>
          <w:sz w:val="26"/>
        </w:rPr>
        <w:t>was</w:t>
      </w:r>
      <w:r>
        <w:rPr>
          <w:rFonts w:ascii="Georgia"/>
          <w:spacing w:val="-8"/>
          <w:sz w:val="26"/>
        </w:rPr>
        <w:t> </w:t>
      </w:r>
      <w:r>
        <w:rPr>
          <w:rFonts w:ascii="Georgia"/>
          <w:sz w:val="26"/>
        </w:rPr>
        <w:t>used</w:t>
      </w:r>
      <w:r>
        <w:rPr>
          <w:rFonts w:ascii="Georgia"/>
          <w:spacing w:val="-7"/>
          <w:sz w:val="26"/>
        </w:rPr>
        <w:t> </w:t>
      </w:r>
      <w:r>
        <w:rPr>
          <w:rFonts w:ascii="Georgia"/>
          <w:sz w:val="26"/>
        </w:rPr>
        <w:t>to performed the blood tests, in order to measure the hematological</w:t>
      </w:r>
      <w:r>
        <w:rPr>
          <w:rFonts w:ascii="Georgia"/>
          <w:spacing w:val="-40"/>
          <w:sz w:val="26"/>
        </w:rPr>
        <w:t> </w:t>
      </w:r>
      <w:r>
        <w:rPr>
          <w:rFonts w:ascii="Georgia"/>
          <w:sz w:val="26"/>
        </w:rPr>
        <w:t>values.</w:t>
      </w:r>
    </w:p>
    <w:p>
      <w:pPr>
        <w:spacing w:line="259" w:lineRule="auto" w:before="0"/>
        <w:ind w:left="102" w:right="116" w:firstLine="0"/>
        <w:jc w:val="both"/>
        <w:rPr>
          <w:rFonts w:ascii="Georgia"/>
          <w:sz w:val="26"/>
        </w:rPr>
      </w:pPr>
      <w:r>
        <w:rPr>
          <w:rFonts w:ascii="Georgia"/>
          <w:i/>
          <w:sz w:val="26"/>
        </w:rPr>
        <w:t>Neutralizing antibodies. </w:t>
      </w:r>
      <w:r>
        <w:rPr>
          <w:rFonts w:ascii="Georgia"/>
          <w:sz w:val="26"/>
        </w:rPr>
        <w:t>Plaque reduction neutralization test (PRNT) as described previously elsewhere was used to evaluate the antibody response. Serum viremia levels were assayed by the inoculation of serial dilutions onto monolayers of Vero cells to assess plaque</w:t>
      </w:r>
    </w:p>
    <w:p>
      <w:pPr>
        <w:spacing w:before="0"/>
        <w:ind w:left="102" w:right="0" w:firstLine="0"/>
        <w:jc w:val="both"/>
        <w:rPr>
          <w:rFonts w:ascii="Georgia"/>
          <w:sz w:val="26"/>
        </w:rPr>
      </w:pPr>
      <w:r>
        <w:rPr>
          <w:rFonts w:ascii="Georgia"/>
          <w:sz w:val="26"/>
        </w:rPr>
        <w:t>Formation.</w:t>
      </w:r>
    </w:p>
    <w:p>
      <w:pPr>
        <w:pStyle w:val="BodyText"/>
        <w:spacing w:before="2"/>
        <w:rPr>
          <w:rFonts w:ascii="Georgia"/>
          <w:sz w:val="30"/>
        </w:rPr>
      </w:pPr>
    </w:p>
    <w:p>
      <w:pPr>
        <w:spacing w:line="259" w:lineRule="auto" w:before="0"/>
        <w:ind w:left="102" w:right="117" w:firstLine="311"/>
        <w:jc w:val="both"/>
        <w:rPr>
          <w:rFonts w:ascii="Georgia"/>
          <w:sz w:val="26"/>
        </w:rPr>
      </w:pPr>
      <w:r>
        <w:rPr>
          <w:rFonts w:ascii="Georgia"/>
          <w:sz w:val="26"/>
        </w:rPr>
        <w:t>Histopathologic studies. Necropsies were carried out to extract tissues of interest. For histopathologic studies, samples were taken of white and gray matter</w:t>
      </w:r>
      <w:r>
        <w:rPr>
          <w:rFonts w:ascii="Georgia"/>
          <w:spacing w:val="-7"/>
          <w:sz w:val="26"/>
        </w:rPr>
        <w:t> </w:t>
      </w:r>
      <w:r>
        <w:rPr>
          <w:rFonts w:ascii="Georgia"/>
          <w:sz w:val="26"/>
        </w:rPr>
        <w:t>from</w:t>
      </w:r>
      <w:r>
        <w:rPr>
          <w:rFonts w:ascii="Georgia"/>
          <w:spacing w:val="-5"/>
          <w:sz w:val="26"/>
        </w:rPr>
        <w:t> </w:t>
      </w:r>
      <w:r>
        <w:rPr>
          <w:rFonts w:ascii="Georgia"/>
          <w:sz w:val="26"/>
        </w:rPr>
        <w:t>the</w:t>
      </w:r>
      <w:r>
        <w:rPr>
          <w:rFonts w:ascii="Georgia"/>
          <w:spacing w:val="-6"/>
          <w:sz w:val="26"/>
        </w:rPr>
        <w:t> </w:t>
      </w:r>
      <w:r>
        <w:rPr>
          <w:rFonts w:ascii="Georgia"/>
          <w:sz w:val="26"/>
        </w:rPr>
        <w:t>anterior,</w:t>
      </w:r>
      <w:r>
        <w:rPr>
          <w:rFonts w:ascii="Georgia"/>
          <w:spacing w:val="-2"/>
          <w:sz w:val="26"/>
        </w:rPr>
        <w:t> </w:t>
      </w:r>
      <w:r>
        <w:rPr>
          <w:rFonts w:ascii="Georgia"/>
          <w:sz w:val="26"/>
        </w:rPr>
        <w:t>median,</w:t>
      </w:r>
      <w:r>
        <w:rPr>
          <w:rFonts w:ascii="Georgia"/>
          <w:spacing w:val="-5"/>
          <w:sz w:val="26"/>
        </w:rPr>
        <w:t> </w:t>
      </w:r>
      <w:r>
        <w:rPr>
          <w:rFonts w:ascii="Georgia"/>
          <w:sz w:val="26"/>
        </w:rPr>
        <w:t>and</w:t>
      </w:r>
      <w:r>
        <w:rPr>
          <w:rFonts w:ascii="Georgia"/>
          <w:spacing w:val="-6"/>
          <w:sz w:val="26"/>
        </w:rPr>
        <w:t> </w:t>
      </w:r>
      <w:r>
        <w:rPr>
          <w:rFonts w:ascii="Georgia"/>
          <w:sz w:val="26"/>
        </w:rPr>
        <w:t>posterior</w:t>
      </w:r>
      <w:r>
        <w:rPr>
          <w:rFonts w:ascii="Georgia"/>
          <w:spacing w:val="-5"/>
          <w:sz w:val="26"/>
        </w:rPr>
        <w:t> </w:t>
      </w:r>
      <w:r>
        <w:rPr>
          <w:rFonts w:ascii="Georgia"/>
          <w:sz w:val="26"/>
        </w:rPr>
        <w:t>brain.</w:t>
      </w:r>
      <w:r>
        <w:rPr>
          <w:rFonts w:ascii="Georgia"/>
          <w:spacing w:val="-6"/>
          <w:sz w:val="26"/>
        </w:rPr>
        <w:t> </w:t>
      </w:r>
      <w:r>
        <w:rPr>
          <w:rFonts w:ascii="Georgia"/>
          <w:sz w:val="26"/>
        </w:rPr>
        <w:t>The</w:t>
      </w:r>
      <w:r>
        <w:rPr>
          <w:rFonts w:ascii="Georgia"/>
          <w:spacing w:val="-5"/>
          <w:sz w:val="26"/>
        </w:rPr>
        <w:t> </w:t>
      </w:r>
      <w:r>
        <w:rPr>
          <w:rFonts w:ascii="Georgia"/>
          <w:sz w:val="26"/>
        </w:rPr>
        <w:t>medula</w:t>
      </w:r>
      <w:r>
        <w:rPr>
          <w:rFonts w:ascii="Georgia"/>
          <w:spacing w:val="-6"/>
          <w:sz w:val="26"/>
        </w:rPr>
        <w:t> </w:t>
      </w:r>
      <w:r>
        <w:rPr>
          <w:rFonts w:ascii="Georgia"/>
          <w:sz w:val="26"/>
        </w:rPr>
        <w:t>oblongata and a portion of the spinal chord were taken at random. Tissue samples &lt;5 mm in thickness were fixed in 10% neutral buffered formalin and processed by routine methods for paraffin</w:t>
      </w:r>
      <w:r>
        <w:rPr>
          <w:rFonts w:ascii="Georgia"/>
          <w:spacing w:val="-25"/>
          <w:sz w:val="26"/>
        </w:rPr>
        <w:t> </w:t>
      </w:r>
      <w:r>
        <w:rPr>
          <w:rFonts w:ascii="Georgia"/>
          <w:sz w:val="26"/>
        </w:rPr>
        <w:t>embedding.</w:t>
      </w:r>
    </w:p>
    <w:p>
      <w:pPr>
        <w:spacing w:before="0"/>
        <w:ind w:left="102" w:right="0" w:firstLine="0"/>
        <w:jc w:val="both"/>
        <w:rPr>
          <w:rFonts w:ascii="Georgia"/>
          <w:sz w:val="26"/>
        </w:rPr>
      </w:pPr>
      <w:r>
        <w:rPr>
          <w:rFonts w:ascii="Georgia"/>
          <w:sz w:val="26"/>
        </w:rPr>
        <w:t>Sections were stained with hematoxylin and eosin</w:t>
      </w:r>
    </w:p>
    <w:p>
      <w:pPr>
        <w:pStyle w:val="BodyText"/>
        <w:rPr>
          <w:rFonts w:ascii="Georgia"/>
          <w:sz w:val="26"/>
        </w:rPr>
      </w:pPr>
    </w:p>
    <w:p>
      <w:pPr>
        <w:pStyle w:val="BodyText"/>
        <w:spacing w:before="3"/>
        <w:rPr>
          <w:rFonts w:ascii="Georgia"/>
          <w:sz w:val="32"/>
        </w:rPr>
      </w:pPr>
    </w:p>
    <w:p>
      <w:pPr>
        <w:spacing w:before="0"/>
        <w:ind w:left="102" w:right="0" w:firstLine="0"/>
        <w:jc w:val="both"/>
        <w:rPr>
          <w:rFonts w:ascii="Georgia"/>
          <w:b/>
          <w:sz w:val="26"/>
        </w:rPr>
      </w:pPr>
      <w:r>
        <w:rPr>
          <w:rFonts w:ascii="Georgia"/>
          <w:b/>
          <w:sz w:val="26"/>
        </w:rPr>
        <w:t>RESULTS</w:t>
      </w:r>
    </w:p>
    <w:p>
      <w:pPr>
        <w:pStyle w:val="BodyText"/>
        <w:spacing w:before="10"/>
        <w:rPr>
          <w:rFonts w:ascii="Georgia"/>
          <w:b/>
          <w:sz w:val="25"/>
        </w:rPr>
      </w:pPr>
    </w:p>
    <w:p>
      <w:pPr>
        <w:spacing w:line="240" w:lineRule="auto" w:before="1"/>
        <w:ind w:left="102" w:right="119" w:firstLine="335"/>
        <w:jc w:val="both"/>
        <w:rPr>
          <w:rFonts w:ascii="Georgia"/>
          <w:sz w:val="26"/>
        </w:rPr>
      </w:pPr>
      <w:r>
        <w:rPr>
          <w:rFonts w:ascii="Georgia"/>
          <w:i/>
          <w:sz w:val="26"/>
        </w:rPr>
        <w:t>Clinical manifestastions and antibody responses of sentinel horses </w:t>
      </w:r>
      <w:r>
        <w:rPr>
          <w:rFonts w:ascii="Georgia"/>
          <w:i/>
          <w:sz w:val="26"/>
        </w:rPr>
        <w:t>following the natural infection from VEEV. </w:t>
      </w:r>
      <w:r>
        <w:rPr>
          <w:rFonts w:ascii="Georgia"/>
          <w:sz w:val="26"/>
        </w:rPr>
        <w:t>As previously mentioned, seven horses</w:t>
      </w:r>
      <w:r>
        <w:rPr>
          <w:rFonts w:ascii="Georgia"/>
          <w:spacing w:val="-15"/>
          <w:sz w:val="26"/>
        </w:rPr>
        <w:t> </w:t>
      </w:r>
      <w:r>
        <w:rPr>
          <w:rFonts w:ascii="Georgia"/>
          <w:sz w:val="26"/>
        </w:rPr>
        <w:t>prove</w:t>
      </w:r>
      <w:r>
        <w:rPr>
          <w:rFonts w:ascii="Georgia"/>
          <w:spacing w:val="-16"/>
          <w:sz w:val="26"/>
        </w:rPr>
        <w:t> </w:t>
      </w:r>
      <w:r>
        <w:rPr>
          <w:rFonts w:ascii="Georgia"/>
          <w:sz w:val="26"/>
        </w:rPr>
        <w:t>to</w:t>
      </w:r>
      <w:r>
        <w:rPr>
          <w:rFonts w:ascii="Georgia"/>
          <w:spacing w:val="-14"/>
          <w:sz w:val="26"/>
        </w:rPr>
        <w:t> </w:t>
      </w:r>
      <w:r>
        <w:rPr>
          <w:rFonts w:ascii="Georgia"/>
          <w:sz w:val="26"/>
        </w:rPr>
        <w:t>be</w:t>
      </w:r>
      <w:r>
        <w:rPr>
          <w:rFonts w:ascii="Georgia"/>
          <w:spacing w:val="-16"/>
          <w:sz w:val="26"/>
        </w:rPr>
        <w:t> </w:t>
      </w:r>
      <w:r>
        <w:rPr>
          <w:rFonts w:ascii="Georgia"/>
          <w:sz w:val="26"/>
        </w:rPr>
        <w:t>free</w:t>
      </w:r>
      <w:r>
        <w:rPr>
          <w:rFonts w:ascii="Georgia"/>
          <w:spacing w:val="-16"/>
          <w:sz w:val="26"/>
        </w:rPr>
        <w:t> </w:t>
      </w:r>
      <w:r>
        <w:rPr>
          <w:rFonts w:ascii="Georgia"/>
          <w:sz w:val="26"/>
        </w:rPr>
        <w:t>of</w:t>
      </w:r>
      <w:r>
        <w:rPr>
          <w:rFonts w:ascii="Georgia"/>
          <w:spacing w:val="-16"/>
          <w:sz w:val="26"/>
        </w:rPr>
        <w:t> </w:t>
      </w:r>
      <w:r>
        <w:rPr>
          <w:rFonts w:ascii="Georgia"/>
          <w:sz w:val="26"/>
        </w:rPr>
        <w:t>pre-existing</w:t>
      </w:r>
      <w:r>
        <w:rPr>
          <w:rFonts w:ascii="Georgia"/>
          <w:spacing w:val="-15"/>
          <w:sz w:val="26"/>
        </w:rPr>
        <w:t> </w:t>
      </w:r>
      <w:r>
        <w:rPr>
          <w:rFonts w:ascii="Georgia"/>
          <w:sz w:val="26"/>
        </w:rPr>
        <w:t>neutralizing</w:t>
      </w:r>
      <w:r>
        <w:rPr>
          <w:rFonts w:ascii="Georgia"/>
          <w:spacing w:val="-16"/>
          <w:sz w:val="26"/>
        </w:rPr>
        <w:t> </w:t>
      </w:r>
      <w:r>
        <w:rPr>
          <w:rFonts w:ascii="Georgia"/>
          <w:sz w:val="26"/>
        </w:rPr>
        <w:t>VEEV</w:t>
      </w:r>
      <w:r>
        <w:rPr>
          <w:rFonts w:ascii="Georgia"/>
          <w:spacing w:val="-14"/>
          <w:sz w:val="26"/>
        </w:rPr>
        <w:t> </w:t>
      </w:r>
      <w:r>
        <w:rPr>
          <w:rFonts w:ascii="Georgia"/>
          <w:sz w:val="26"/>
        </w:rPr>
        <w:t>antibodies.</w:t>
      </w:r>
      <w:r>
        <w:rPr>
          <w:rFonts w:ascii="Georgia"/>
          <w:spacing w:val="-15"/>
          <w:sz w:val="26"/>
        </w:rPr>
        <w:t> </w:t>
      </w:r>
      <w:r>
        <w:rPr>
          <w:rFonts w:ascii="Georgia"/>
          <w:sz w:val="26"/>
        </w:rPr>
        <w:t>From</w:t>
      </w:r>
      <w:r>
        <w:rPr>
          <w:rFonts w:ascii="Georgia"/>
          <w:spacing w:val="-16"/>
          <w:sz w:val="26"/>
        </w:rPr>
        <w:t> </w:t>
      </w:r>
      <w:r>
        <w:rPr>
          <w:rFonts w:ascii="Georgia"/>
          <w:sz w:val="26"/>
        </w:rPr>
        <w:t>the seven</w:t>
      </w:r>
      <w:r>
        <w:rPr>
          <w:rFonts w:ascii="Georgia"/>
          <w:spacing w:val="-16"/>
          <w:sz w:val="26"/>
        </w:rPr>
        <w:t> </w:t>
      </w:r>
      <w:r>
        <w:rPr>
          <w:rFonts w:ascii="Georgia"/>
          <w:sz w:val="26"/>
        </w:rPr>
        <w:t>animals</w:t>
      </w:r>
      <w:r>
        <w:rPr>
          <w:rFonts w:ascii="Georgia"/>
          <w:spacing w:val="-16"/>
          <w:sz w:val="26"/>
        </w:rPr>
        <w:t> </w:t>
      </w:r>
      <w:r>
        <w:rPr>
          <w:rFonts w:ascii="Georgia"/>
          <w:sz w:val="26"/>
        </w:rPr>
        <w:t>only</w:t>
      </w:r>
      <w:r>
        <w:rPr>
          <w:rFonts w:ascii="Georgia"/>
          <w:spacing w:val="-15"/>
          <w:sz w:val="26"/>
        </w:rPr>
        <w:t> </w:t>
      </w:r>
      <w:r>
        <w:rPr>
          <w:rFonts w:ascii="Georgia"/>
          <w:sz w:val="26"/>
        </w:rPr>
        <w:t>animal</w:t>
      </w:r>
      <w:r>
        <w:rPr>
          <w:rFonts w:ascii="Georgia"/>
          <w:spacing w:val="-17"/>
          <w:sz w:val="26"/>
        </w:rPr>
        <w:t> </w:t>
      </w:r>
      <w:r>
        <w:rPr>
          <w:rFonts w:ascii="Georgia"/>
          <w:sz w:val="26"/>
        </w:rPr>
        <w:t>2</w:t>
      </w:r>
      <w:r>
        <w:rPr>
          <w:rFonts w:ascii="Georgia"/>
          <w:spacing w:val="-15"/>
          <w:sz w:val="26"/>
        </w:rPr>
        <w:t> </w:t>
      </w:r>
      <w:r>
        <w:rPr>
          <w:rFonts w:ascii="Georgia"/>
          <w:sz w:val="26"/>
        </w:rPr>
        <w:t>and</w:t>
      </w:r>
      <w:r>
        <w:rPr>
          <w:rFonts w:ascii="Georgia"/>
          <w:spacing w:val="-14"/>
          <w:sz w:val="26"/>
        </w:rPr>
        <w:t> </w:t>
      </w:r>
      <w:r>
        <w:rPr>
          <w:rFonts w:ascii="Georgia"/>
          <w:sz w:val="26"/>
        </w:rPr>
        <w:t>6</w:t>
      </w:r>
      <w:r>
        <w:rPr>
          <w:rFonts w:ascii="Georgia"/>
          <w:spacing w:val="-17"/>
          <w:sz w:val="26"/>
        </w:rPr>
        <w:t> </w:t>
      </w:r>
      <w:r>
        <w:rPr>
          <w:rFonts w:ascii="Georgia"/>
          <w:sz w:val="26"/>
        </w:rPr>
        <w:t>developed</w:t>
      </w:r>
      <w:r>
        <w:rPr>
          <w:rFonts w:ascii="Georgia"/>
          <w:spacing w:val="-17"/>
          <w:sz w:val="26"/>
        </w:rPr>
        <w:t> </w:t>
      </w:r>
      <w:r>
        <w:rPr>
          <w:rFonts w:ascii="Georgia"/>
          <w:sz w:val="26"/>
        </w:rPr>
        <w:t>several</w:t>
      </w:r>
      <w:r>
        <w:rPr>
          <w:rFonts w:ascii="Georgia"/>
          <w:spacing w:val="-17"/>
          <w:sz w:val="26"/>
        </w:rPr>
        <w:t> </w:t>
      </w:r>
      <w:r>
        <w:rPr>
          <w:rFonts w:ascii="Georgia"/>
          <w:sz w:val="26"/>
        </w:rPr>
        <w:t>clinical</w:t>
      </w:r>
      <w:r>
        <w:rPr>
          <w:rFonts w:ascii="Georgia"/>
          <w:spacing w:val="-14"/>
          <w:sz w:val="26"/>
        </w:rPr>
        <w:t> </w:t>
      </w:r>
      <w:r>
        <w:rPr>
          <w:rFonts w:ascii="Georgia"/>
          <w:sz w:val="26"/>
        </w:rPr>
        <w:t>disease</w:t>
      </w:r>
      <w:r>
        <w:rPr>
          <w:rFonts w:ascii="Georgia"/>
          <w:spacing w:val="-17"/>
          <w:sz w:val="26"/>
        </w:rPr>
        <w:t> </w:t>
      </w:r>
      <w:r>
        <w:rPr>
          <w:rFonts w:ascii="Georgia"/>
          <w:sz w:val="26"/>
        </w:rPr>
        <w:t>including fever,</w:t>
      </w:r>
      <w:r>
        <w:rPr>
          <w:rFonts w:ascii="Georgia"/>
          <w:spacing w:val="-4"/>
          <w:sz w:val="26"/>
        </w:rPr>
        <w:t> </w:t>
      </w:r>
      <w:r>
        <w:rPr>
          <w:rFonts w:ascii="Georgia"/>
          <w:sz w:val="26"/>
        </w:rPr>
        <w:t>anorexia,</w:t>
      </w:r>
      <w:r>
        <w:rPr>
          <w:rFonts w:ascii="Georgia"/>
          <w:spacing w:val="-6"/>
          <w:sz w:val="26"/>
        </w:rPr>
        <w:t> </w:t>
      </w:r>
      <w:r>
        <w:rPr>
          <w:rFonts w:ascii="Georgia"/>
          <w:sz w:val="26"/>
        </w:rPr>
        <w:t>depression,</w:t>
      </w:r>
      <w:r>
        <w:rPr>
          <w:rFonts w:ascii="Georgia"/>
          <w:spacing w:val="-8"/>
          <w:sz w:val="26"/>
        </w:rPr>
        <w:t> </w:t>
      </w:r>
      <w:r>
        <w:rPr>
          <w:rFonts w:ascii="Georgia"/>
          <w:sz w:val="26"/>
        </w:rPr>
        <w:t>neurological</w:t>
      </w:r>
      <w:r>
        <w:rPr>
          <w:rFonts w:ascii="Georgia"/>
          <w:spacing w:val="-8"/>
          <w:sz w:val="26"/>
        </w:rPr>
        <w:t> </w:t>
      </w:r>
      <w:r>
        <w:rPr>
          <w:rFonts w:ascii="Georgia"/>
          <w:sz w:val="26"/>
        </w:rPr>
        <w:t>signs,</w:t>
      </w:r>
      <w:r>
        <w:rPr>
          <w:rFonts w:ascii="Georgia"/>
          <w:spacing w:val="-8"/>
          <w:sz w:val="26"/>
        </w:rPr>
        <w:t> </w:t>
      </w:r>
      <w:r>
        <w:rPr>
          <w:rFonts w:ascii="Georgia"/>
          <w:sz w:val="26"/>
        </w:rPr>
        <w:t>such</w:t>
      </w:r>
      <w:r>
        <w:rPr>
          <w:rFonts w:ascii="Georgia"/>
          <w:spacing w:val="-6"/>
          <w:sz w:val="26"/>
        </w:rPr>
        <w:t> </w:t>
      </w:r>
      <w:r>
        <w:rPr>
          <w:rFonts w:ascii="Georgia"/>
          <w:sz w:val="26"/>
        </w:rPr>
        <w:t>as</w:t>
      </w:r>
      <w:r>
        <w:rPr>
          <w:rFonts w:ascii="Georgia"/>
          <w:spacing w:val="-6"/>
          <w:sz w:val="26"/>
        </w:rPr>
        <w:t> </w:t>
      </w:r>
      <w:r>
        <w:rPr>
          <w:rFonts w:ascii="Georgia"/>
          <w:sz w:val="26"/>
        </w:rPr>
        <w:t>ataxia,</w:t>
      </w:r>
      <w:r>
        <w:rPr>
          <w:rFonts w:ascii="Georgia"/>
          <w:spacing w:val="-6"/>
          <w:sz w:val="26"/>
        </w:rPr>
        <w:t> </w:t>
      </w:r>
      <w:r>
        <w:rPr>
          <w:rFonts w:ascii="Georgia"/>
          <w:sz w:val="26"/>
        </w:rPr>
        <w:t>incoordination and stamping, was recorded. All seven animals develop an antibody response within</w:t>
      </w:r>
      <w:r>
        <w:rPr>
          <w:rFonts w:ascii="Georgia"/>
          <w:spacing w:val="-9"/>
          <w:sz w:val="26"/>
        </w:rPr>
        <w:t> </w:t>
      </w:r>
      <w:r>
        <w:rPr>
          <w:rFonts w:ascii="Georgia"/>
          <w:sz w:val="26"/>
        </w:rPr>
        <w:t>8-12</w:t>
      </w:r>
      <w:r>
        <w:rPr>
          <w:rFonts w:ascii="Georgia"/>
          <w:spacing w:val="-10"/>
          <w:sz w:val="26"/>
        </w:rPr>
        <w:t> </w:t>
      </w:r>
      <w:r>
        <w:rPr>
          <w:rFonts w:ascii="Georgia"/>
          <w:sz w:val="26"/>
        </w:rPr>
        <w:t>days</w:t>
      </w:r>
      <w:r>
        <w:rPr>
          <w:rFonts w:ascii="Georgia"/>
          <w:spacing w:val="-9"/>
          <w:sz w:val="26"/>
        </w:rPr>
        <w:t> </w:t>
      </w:r>
      <w:r>
        <w:rPr>
          <w:rFonts w:ascii="Georgia"/>
          <w:sz w:val="26"/>
        </w:rPr>
        <w:t>after</w:t>
      </w:r>
      <w:r>
        <w:rPr>
          <w:rFonts w:ascii="Georgia"/>
          <w:spacing w:val="-10"/>
          <w:sz w:val="26"/>
        </w:rPr>
        <w:t> </w:t>
      </w:r>
      <w:r>
        <w:rPr>
          <w:rFonts w:ascii="Georgia"/>
          <w:sz w:val="26"/>
        </w:rPr>
        <w:t>exposure,</w:t>
      </w:r>
      <w:r>
        <w:rPr>
          <w:rFonts w:ascii="Georgia"/>
          <w:spacing w:val="-10"/>
          <w:sz w:val="26"/>
        </w:rPr>
        <w:t> </w:t>
      </w:r>
      <w:r>
        <w:rPr>
          <w:rFonts w:ascii="Georgia"/>
          <w:sz w:val="26"/>
        </w:rPr>
        <w:t>mild</w:t>
      </w:r>
      <w:r>
        <w:rPr>
          <w:rFonts w:ascii="Georgia"/>
          <w:spacing w:val="-9"/>
          <w:sz w:val="26"/>
        </w:rPr>
        <w:t> </w:t>
      </w:r>
      <w:r>
        <w:rPr>
          <w:rFonts w:ascii="Georgia"/>
          <w:sz w:val="26"/>
        </w:rPr>
        <w:t>to</w:t>
      </w:r>
      <w:r>
        <w:rPr>
          <w:rFonts w:ascii="Georgia"/>
          <w:spacing w:val="-11"/>
          <w:sz w:val="26"/>
        </w:rPr>
        <w:t> </w:t>
      </w:r>
      <w:r>
        <w:rPr>
          <w:rFonts w:ascii="Georgia"/>
          <w:sz w:val="26"/>
        </w:rPr>
        <w:t>leukocitosis</w:t>
      </w:r>
      <w:r>
        <w:rPr>
          <w:rFonts w:ascii="Georgia"/>
          <w:spacing w:val="-9"/>
          <w:sz w:val="26"/>
        </w:rPr>
        <w:t> </w:t>
      </w:r>
      <w:r>
        <w:rPr>
          <w:rFonts w:ascii="Georgia"/>
          <w:sz w:val="26"/>
        </w:rPr>
        <w:t>was</w:t>
      </w:r>
      <w:r>
        <w:rPr>
          <w:rFonts w:ascii="Georgia"/>
          <w:spacing w:val="-9"/>
          <w:sz w:val="26"/>
        </w:rPr>
        <w:t> </w:t>
      </w:r>
      <w:r>
        <w:rPr>
          <w:rFonts w:ascii="Georgia"/>
          <w:sz w:val="26"/>
        </w:rPr>
        <w:t>observed</w:t>
      </w:r>
      <w:r>
        <w:rPr>
          <w:rFonts w:ascii="Georgia"/>
          <w:spacing w:val="-10"/>
          <w:sz w:val="26"/>
        </w:rPr>
        <w:t> </w:t>
      </w:r>
      <w:r>
        <w:rPr>
          <w:rFonts w:ascii="Georgia"/>
          <w:sz w:val="26"/>
        </w:rPr>
        <w:t>in</w:t>
      </w:r>
      <w:r>
        <w:rPr>
          <w:rFonts w:ascii="Georgia"/>
          <w:spacing w:val="-9"/>
          <w:sz w:val="26"/>
        </w:rPr>
        <w:t> </w:t>
      </w:r>
      <w:r>
        <w:rPr>
          <w:rFonts w:ascii="Georgia"/>
          <w:sz w:val="26"/>
        </w:rPr>
        <w:t>all</w:t>
      </w:r>
      <w:r>
        <w:rPr>
          <w:rFonts w:ascii="Georgia"/>
          <w:spacing w:val="-9"/>
          <w:sz w:val="26"/>
        </w:rPr>
        <w:t> </w:t>
      </w:r>
      <w:r>
        <w:rPr>
          <w:rFonts w:ascii="Georgia"/>
          <w:sz w:val="26"/>
        </w:rPr>
        <w:t>seven animals, reduced hematocrit was a constant values</w:t>
      </w:r>
      <w:r>
        <w:rPr>
          <w:rFonts w:ascii="Georgia"/>
          <w:spacing w:val="-29"/>
          <w:sz w:val="26"/>
        </w:rPr>
        <w:t> </w:t>
      </w:r>
      <w:r>
        <w:rPr>
          <w:rFonts w:ascii="Georgia"/>
          <w:sz w:val="26"/>
        </w:rPr>
        <w:t>too.</w:t>
      </w:r>
    </w:p>
    <w:p>
      <w:pPr>
        <w:tabs>
          <w:tab w:pos="1773" w:val="left" w:leader="none"/>
          <w:tab w:pos="2706" w:val="left" w:leader="none"/>
          <w:tab w:pos="3464" w:val="left" w:leader="none"/>
          <w:tab w:pos="4457" w:val="left" w:leader="none"/>
          <w:tab w:pos="5035" w:val="left" w:leader="none"/>
          <w:tab w:pos="6076" w:val="left" w:leader="none"/>
          <w:tab w:pos="7591" w:val="left" w:leader="none"/>
          <w:tab w:pos="8565" w:val="left" w:leader="none"/>
        </w:tabs>
        <w:spacing w:before="0"/>
        <w:ind w:left="102" w:right="124" w:firstLine="0"/>
        <w:jc w:val="left"/>
        <w:rPr>
          <w:rFonts w:ascii="Georgia"/>
          <w:sz w:val="26"/>
        </w:rPr>
      </w:pPr>
      <w:r>
        <w:rPr>
          <w:rFonts w:ascii="Georgia"/>
          <w:sz w:val="26"/>
        </w:rPr>
        <w:t>Granulocites</w:t>
        <w:tab/>
        <w:t>values</w:t>
        <w:tab/>
        <w:t>were</w:t>
        <w:tab/>
        <w:t>among</w:t>
        <w:tab/>
        <w:t>the</w:t>
        <w:tab/>
        <w:t>normal</w:t>
        <w:tab/>
        <w:t>parameters</w:t>
        <w:tab/>
        <w:t>during</w:t>
        <w:tab/>
        <w:t>the experiment. Any of the animals</w:t>
      </w:r>
      <w:r>
        <w:rPr>
          <w:rFonts w:ascii="Georgia"/>
          <w:spacing w:val="-21"/>
          <w:sz w:val="26"/>
        </w:rPr>
        <w:t> </w:t>
      </w:r>
      <w:r>
        <w:rPr>
          <w:rFonts w:ascii="Georgia"/>
          <w:sz w:val="26"/>
        </w:rPr>
        <w:t>died.</w:t>
      </w:r>
    </w:p>
    <w:p>
      <w:pPr>
        <w:spacing w:before="0"/>
        <w:ind w:left="102" w:right="21" w:firstLine="0"/>
        <w:jc w:val="left"/>
        <w:rPr>
          <w:rFonts w:ascii="Georgia" w:hAnsi="Georgia"/>
          <w:sz w:val="26"/>
        </w:rPr>
      </w:pPr>
      <w:r>
        <w:rPr>
          <w:rFonts w:ascii="Georgia" w:hAnsi="Georgia"/>
          <w:i/>
          <w:sz w:val="26"/>
        </w:rPr>
        <w:t>Virus isolation. </w:t>
      </w:r>
      <w:r>
        <w:rPr>
          <w:rFonts w:ascii="Georgia" w:hAnsi="Georgia"/>
          <w:sz w:val="26"/>
        </w:rPr>
        <w:t>Viral isolation in the será was possible in five of seven horses, in the early days of the experiment, within the first five days. The isolation</w:t>
      </w:r>
    </w:p>
    <w:p>
      <w:pPr>
        <w:spacing w:after="0"/>
        <w:jc w:val="left"/>
        <w:rPr>
          <w:rFonts w:ascii="Georgia" w:hAnsi="Georgia"/>
          <w:sz w:val="26"/>
        </w:rPr>
        <w:sectPr>
          <w:footerReference w:type="default" r:id="rId300"/>
          <w:pgSz w:w="12240" w:h="15840"/>
          <w:pgMar w:footer="0" w:header="0" w:top="1360" w:bottom="280" w:left="1600" w:right="1580"/>
        </w:sectPr>
      </w:pPr>
    </w:p>
    <w:p>
      <w:pPr>
        <w:spacing w:line="242" w:lineRule="auto" w:before="52"/>
        <w:ind w:left="102" w:right="155" w:firstLine="0"/>
        <w:jc w:val="left"/>
        <w:rPr>
          <w:rFonts w:ascii="Georgia"/>
          <w:sz w:val="26"/>
        </w:rPr>
      </w:pPr>
      <w:r>
        <w:rPr>
          <w:rFonts w:ascii="Georgia"/>
          <w:sz w:val="26"/>
        </w:rPr>
        <w:t>coincide with the appearance of high fever in most cases.(Fig. 1) Virus was isolated also from central nervous system in horses</w:t>
      </w:r>
    </w:p>
    <w:p>
      <w:pPr>
        <w:spacing w:line="292" w:lineRule="exact" w:before="0"/>
        <w:ind w:left="102" w:right="155" w:firstLine="0"/>
        <w:jc w:val="left"/>
        <w:rPr>
          <w:rFonts w:ascii="Georgia"/>
          <w:sz w:val="26"/>
        </w:rPr>
      </w:pPr>
      <w:r>
        <w:rPr>
          <w:rFonts w:ascii="Georgia"/>
          <w:sz w:val="26"/>
        </w:rPr>
        <w:t>1, 3 and 6.</w:t>
      </w:r>
    </w:p>
    <w:p>
      <w:pPr>
        <w:pStyle w:val="BodyText"/>
        <w:spacing w:before="10"/>
        <w:rPr>
          <w:rFonts w:ascii="Georgia"/>
          <w:sz w:val="25"/>
        </w:rPr>
      </w:pPr>
    </w:p>
    <w:p>
      <w:pPr>
        <w:spacing w:before="1"/>
        <w:ind w:left="102" w:right="103" w:firstLine="311"/>
        <w:jc w:val="both"/>
        <w:rPr>
          <w:rFonts w:ascii="Georgia"/>
          <w:sz w:val="26"/>
        </w:rPr>
      </w:pPr>
      <w:r>
        <w:rPr>
          <w:rFonts w:ascii="Georgia"/>
          <w:i/>
          <w:sz w:val="26"/>
        </w:rPr>
        <w:t>Histopathological findings. </w:t>
      </w:r>
      <w:r>
        <w:rPr>
          <w:rFonts w:ascii="Georgia"/>
          <w:sz w:val="26"/>
        </w:rPr>
        <w:t>Three of seven horses were euthanized. Gross pathologic lesions attributable to VEEV infection were not observed upon necropsy in any of the horses. showed multifocal perivascular cuffing, lymphocytic meningitis, and focal encephalitis, characterized by focal neuronal necrosis and presence of hemorrhages. (Fig.2)</w:t>
      </w:r>
    </w:p>
    <w:p>
      <w:pPr>
        <w:pStyle w:val="BodyText"/>
        <w:rPr>
          <w:rFonts w:ascii="Georgia"/>
          <w:sz w:val="20"/>
        </w:rPr>
      </w:pPr>
    </w:p>
    <w:p>
      <w:pPr>
        <w:pStyle w:val="BodyText"/>
        <w:spacing w:before="1"/>
        <w:rPr>
          <w:rFonts w:ascii="Georgia"/>
          <w:sz w:val="25"/>
        </w:rPr>
      </w:pPr>
      <w:r>
        <w:rPr/>
        <w:drawing>
          <wp:anchor distT="0" distB="0" distL="0" distR="0" allowOverlap="1" layoutInCell="1" locked="0" behindDoc="0" simplePos="0" relativeHeight="3520">
            <wp:simplePos x="0" y="0"/>
            <wp:positionH relativeFrom="page">
              <wp:posOffset>1429511</wp:posOffset>
            </wp:positionH>
            <wp:positionV relativeFrom="paragraph">
              <wp:posOffset>206344</wp:posOffset>
            </wp:positionV>
            <wp:extent cx="2449625" cy="2993136"/>
            <wp:effectExtent l="0" t="0" r="0" b="0"/>
            <wp:wrapTopAndBottom/>
            <wp:docPr id="59" name="image250.png" descr=""/>
            <wp:cNvGraphicFramePr>
              <a:graphicFrameLocks noChangeAspect="1"/>
            </wp:cNvGraphicFramePr>
            <a:graphic>
              <a:graphicData uri="http://schemas.openxmlformats.org/drawingml/2006/picture">
                <pic:pic>
                  <pic:nvPicPr>
                    <pic:cNvPr id="60" name="image250.png"/>
                    <pic:cNvPicPr/>
                  </pic:nvPicPr>
                  <pic:blipFill>
                    <a:blip r:embed="rId302" cstate="print"/>
                    <a:stretch>
                      <a:fillRect/>
                    </a:stretch>
                  </pic:blipFill>
                  <pic:spPr>
                    <a:xfrm>
                      <a:off x="0" y="0"/>
                      <a:ext cx="2449625" cy="2993136"/>
                    </a:xfrm>
                    <a:prstGeom prst="rect">
                      <a:avLst/>
                    </a:prstGeom>
                  </pic:spPr>
                </pic:pic>
              </a:graphicData>
            </a:graphic>
          </wp:anchor>
        </w:drawing>
      </w:r>
    </w:p>
    <w:p>
      <w:pPr>
        <w:spacing w:before="118"/>
        <w:ind w:left="102" w:right="150" w:firstLine="0"/>
        <w:jc w:val="left"/>
        <w:rPr>
          <w:rFonts w:ascii="Georgia"/>
          <w:sz w:val="22"/>
        </w:rPr>
      </w:pPr>
      <w:r>
        <w:rPr>
          <w:rFonts w:ascii="Georgia"/>
          <w:sz w:val="22"/>
        </w:rPr>
        <w:t>Fig. 1. Temperatures of sentinel horses exposed in Minatitlan, Veracruz. V= Virus isolation A= Antibody response</w:t>
      </w:r>
    </w:p>
    <w:p>
      <w:pPr>
        <w:spacing w:after="0"/>
        <w:jc w:val="left"/>
        <w:rPr>
          <w:rFonts w:ascii="Georgia"/>
          <w:sz w:val="22"/>
        </w:rPr>
        <w:sectPr>
          <w:footerReference w:type="default" r:id="rId301"/>
          <w:pgSz w:w="12240" w:h="15840"/>
          <w:pgMar w:footer="0" w:header="0" w:top="1360" w:bottom="280" w:left="1600" w:right="1600"/>
        </w:sectPr>
      </w:pPr>
    </w:p>
    <w:p>
      <w:pPr>
        <w:pStyle w:val="BodyText"/>
        <w:rPr>
          <w:rFonts w:ascii="Georgia"/>
          <w:sz w:val="20"/>
        </w:rPr>
      </w:pPr>
    </w:p>
    <w:p>
      <w:pPr>
        <w:pStyle w:val="BodyText"/>
        <w:spacing w:before="8" w:after="1"/>
        <w:rPr>
          <w:rFonts w:ascii="Georgia"/>
        </w:rPr>
      </w:pPr>
    </w:p>
    <w:p>
      <w:pPr>
        <w:pStyle w:val="BodyText"/>
        <w:ind w:left="114"/>
        <w:rPr>
          <w:rFonts w:ascii="Georgia"/>
          <w:sz w:val="20"/>
        </w:rPr>
      </w:pPr>
      <w:r>
        <w:rPr>
          <w:rFonts w:ascii="Georgia"/>
          <w:sz w:val="20"/>
        </w:rPr>
        <w:pict>
          <v:group style="width:517.6pt;height:451.6pt;mso-position-horizontal-relative:char;mso-position-vertical-relative:line" coordorigin="0,0" coordsize="10352,9032">
            <v:shape style="position:absolute;left:0;top:0;width:10351;height:4464" type="#_x0000_t75" stroked="false">
              <v:imagedata r:id="rId304" o:title=""/>
            </v:shape>
            <v:shape style="position:absolute;left:127;top:4399;width:9888;height:4632" type="#_x0000_t75" stroked="false">
              <v:imagedata r:id="rId53" o:title=""/>
            </v:shape>
          </v:group>
        </w:pict>
      </w:r>
      <w:r>
        <w:rPr>
          <w:rFonts w:ascii="Georgia"/>
          <w:sz w:val="20"/>
        </w:rPr>
      </w:r>
    </w:p>
    <w:p>
      <w:pPr>
        <w:pStyle w:val="BodyText"/>
        <w:rPr>
          <w:rFonts w:ascii="Georgia"/>
          <w:sz w:val="20"/>
        </w:rPr>
      </w:pPr>
    </w:p>
    <w:p>
      <w:pPr>
        <w:pStyle w:val="BodyText"/>
        <w:spacing w:before="5"/>
        <w:rPr>
          <w:rFonts w:ascii="Georgia"/>
        </w:rPr>
      </w:pPr>
    </w:p>
    <w:p>
      <w:pPr>
        <w:spacing w:before="76"/>
        <w:ind w:left="362" w:right="0" w:firstLine="0"/>
        <w:jc w:val="left"/>
        <w:rPr>
          <w:rFonts w:ascii="Georgia"/>
          <w:sz w:val="22"/>
        </w:rPr>
      </w:pPr>
      <w:r>
        <w:rPr>
          <w:rFonts w:ascii="Georgia"/>
          <w:sz w:val="22"/>
        </w:rPr>
        <w:t>Fig. 2.  Histopatological findings. Horse no. 1</w:t>
      </w:r>
    </w:p>
    <w:p>
      <w:pPr>
        <w:spacing w:after="0"/>
        <w:jc w:val="left"/>
        <w:rPr>
          <w:rFonts w:ascii="Georgia"/>
          <w:sz w:val="22"/>
        </w:rPr>
        <w:sectPr>
          <w:footerReference w:type="default" r:id="rId303"/>
          <w:pgSz w:w="12240" w:h="15840"/>
          <w:pgMar w:footer="0" w:header="0" w:top="1500" w:bottom="280" w:left="1340" w:right="320"/>
        </w:sectPr>
      </w:pPr>
    </w:p>
    <w:p>
      <w:pPr>
        <w:spacing w:before="52"/>
        <w:ind w:left="102" w:right="0" w:firstLine="0"/>
        <w:jc w:val="both"/>
        <w:rPr>
          <w:rFonts w:ascii="Georgia"/>
          <w:b/>
          <w:sz w:val="26"/>
        </w:rPr>
      </w:pPr>
      <w:r>
        <w:rPr>
          <w:rFonts w:ascii="Georgia"/>
          <w:b/>
          <w:sz w:val="26"/>
        </w:rPr>
        <w:t>DISCUSSION</w:t>
      </w:r>
    </w:p>
    <w:p>
      <w:pPr>
        <w:pStyle w:val="BodyText"/>
        <w:spacing w:before="2"/>
        <w:rPr>
          <w:rFonts w:ascii="Georgia"/>
          <w:b/>
          <w:sz w:val="26"/>
        </w:rPr>
      </w:pPr>
    </w:p>
    <w:p>
      <w:pPr>
        <w:spacing w:before="0"/>
        <w:ind w:left="102" w:right="239" w:firstLine="0"/>
        <w:jc w:val="left"/>
        <w:rPr>
          <w:rFonts w:ascii="Georgia"/>
          <w:sz w:val="26"/>
        </w:rPr>
      </w:pPr>
      <w:r>
        <w:rPr>
          <w:rFonts w:ascii="Georgia"/>
          <w:sz w:val="26"/>
        </w:rPr>
        <w:t>Venezuelan equine encephalitis enzootic strains, including the IE subtype are known as avirulent for horses. Manyy studies have conducted experimental infections with isolated in Pacific cost, clinicall disease in horses, mouse and humans is described.</w:t>
      </w:r>
    </w:p>
    <w:p>
      <w:pPr>
        <w:spacing w:before="0"/>
        <w:ind w:left="102" w:right="124" w:firstLine="0"/>
        <w:jc w:val="both"/>
        <w:rPr>
          <w:rFonts w:ascii="Georgia" w:hAnsi="Georgia"/>
          <w:sz w:val="26"/>
        </w:rPr>
      </w:pPr>
      <w:r>
        <w:rPr>
          <w:rFonts w:ascii="Georgia" w:hAnsi="Georgia"/>
          <w:sz w:val="26"/>
        </w:rPr>
        <w:t>It´s not the same case for the lineage from the Gulf of Mexico, it has no be fully studied, there are other studies, that were conducted in the past, about the pathogencity of the enzootic strains circulating in Gulf coast, but in some cases the virus was isolated but the clinical signs were not recorded or they report the clinical illness, but did not retrieve the virus.</w:t>
      </w:r>
    </w:p>
    <w:p>
      <w:pPr>
        <w:spacing w:line="240" w:lineRule="auto" w:before="0"/>
        <w:ind w:left="102" w:right="125" w:firstLine="0"/>
        <w:jc w:val="both"/>
        <w:rPr>
          <w:rFonts w:ascii="Georgia"/>
          <w:sz w:val="26"/>
        </w:rPr>
      </w:pPr>
      <w:r>
        <w:rPr>
          <w:rFonts w:ascii="Georgia"/>
          <w:sz w:val="26"/>
        </w:rPr>
        <w:t>In the case of this study is an urgent matter to obtain the genetic sequence of the isolates to determine if there is a new strain. Recent study in Minatitlan in 2008, used sentinel horses to evaluate illness and antibody response, during that study, one ofe the horses, die don the seventh day. Maybe the strain that was circulating five years ago was more agressive or the transmission vector has changed.</w:t>
      </w:r>
    </w:p>
    <w:p>
      <w:pPr>
        <w:pStyle w:val="BodyText"/>
        <w:rPr>
          <w:rFonts w:ascii="Georgia"/>
          <w:sz w:val="26"/>
        </w:rPr>
      </w:pPr>
    </w:p>
    <w:p>
      <w:pPr>
        <w:pStyle w:val="BodyText"/>
        <w:spacing w:before="10"/>
        <w:rPr>
          <w:rFonts w:ascii="Georgia"/>
          <w:sz w:val="25"/>
        </w:rPr>
      </w:pPr>
    </w:p>
    <w:p>
      <w:pPr>
        <w:spacing w:before="0"/>
        <w:ind w:left="330" w:right="351" w:firstLine="0"/>
        <w:jc w:val="center"/>
        <w:rPr>
          <w:rFonts w:ascii="Georgia"/>
          <w:b/>
          <w:sz w:val="26"/>
        </w:rPr>
      </w:pPr>
      <w:r>
        <w:rPr>
          <w:rFonts w:ascii="Georgia"/>
          <w:b/>
          <w:sz w:val="26"/>
        </w:rPr>
        <w:t>REFERENCES</w:t>
      </w:r>
    </w:p>
    <w:p>
      <w:pPr>
        <w:pStyle w:val="BodyText"/>
        <w:spacing w:before="2"/>
        <w:rPr>
          <w:rFonts w:ascii="Georgia"/>
          <w:b/>
          <w:sz w:val="28"/>
        </w:rPr>
      </w:pPr>
    </w:p>
    <w:p>
      <w:pPr>
        <w:pStyle w:val="ListParagraph"/>
        <w:numPr>
          <w:ilvl w:val="0"/>
          <w:numId w:val="33"/>
        </w:numPr>
        <w:tabs>
          <w:tab w:pos="273" w:val="left" w:leader="none"/>
        </w:tabs>
        <w:spacing w:line="240" w:lineRule="auto" w:before="0" w:after="0"/>
        <w:ind w:left="102" w:right="119" w:firstLine="0"/>
        <w:jc w:val="both"/>
        <w:rPr>
          <w:rFonts w:ascii="Georgia"/>
          <w:sz w:val="18"/>
        </w:rPr>
      </w:pPr>
      <w:r>
        <w:rPr>
          <w:rFonts w:ascii="Georgia"/>
          <w:sz w:val="18"/>
        </w:rPr>
        <w:t>Bowen, G. S. y Calisher, H. C.: Virological and serological studies of Venezuelan Equine Encephalomyelitis in humans. J. Clin. Microbiol., 4;22-27,</w:t>
      </w:r>
      <w:r>
        <w:rPr>
          <w:rFonts w:ascii="Georgia"/>
          <w:spacing w:val="-18"/>
          <w:sz w:val="18"/>
        </w:rPr>
        <w:t> </w:t>
      </w:r>
      <w:r>
        <w:rPr>
          <w:rFonts w:ascii="Georgia"/>
          <w:sz w:val="18"/>
        </w:rPr>
        <w:t>1976.</w:t>
      </w:r>
    </w:p>
    <w:p>
      <w:pPr>
        <w:pStyle w:val="BodyText"/>
        <w:spacing w:before="10"/>
        <w:rPr>
          <w:rFonts w:ascii="Georgia"/>
          <w:sz w:val="17"/>
        </w:rPr>
      </w:pPr>
    </w:p>
    <w:p>
      <w:pPr>
        <w:pStyle w:val="ListParagraph"/>
        <w:numPr>
          <w:ilvl w:val="0"/>
          <w:numId w:val="33"/>
        </w:numPr>
        <w:tabs>
          <w:tab w:pos="253" w:val="left" w:leader="none"/>
        </w:tabs>
        <w:spacing w:line="273" w:lineRule="auto" w:before="0" w:after="0"/>
        <w:ind w:left="102" w:right="119" w:firstLine="0"/>
        <w:jc w:val="both"/>
        <w:rPr>
          <w:rFonts w:ascii="Georgia"/>
          <w:sz w:val="18"/>
        </w:rPr>
      </w:pPr>
      <w:r>
        <w:rPr>
          <w:rFonts w:ascii="Georgia"/>
          <w:sz w:val="18"/>
        </w:rPr>
        <w:t>Dietz, W.H., Alvarez, O., Martin, D.H., Walton, T.E., Ackerman, L.J. y Johnson, K.M.: Enzootic and epizootic Venezuelan Equine Encephalomyelitis Virus in horses infected by peropheral and intrathecal routes. J. Infect. Dis.,</w:t>
      </w:r>
      <w:r>
        <w:rPr>
          <w:rFonts w:ascii="Georgia"/>
          <w:spacing w:val="-10"/>
          <w:sz w:val="18"/>
        </w:rPr>
        <w:t> </w:t>
      </w:r>
      <w:r>
        <w:rPr>
          <w:rFonts w:ascii="Georgia"/>
          <w:sz w:val="18"/>
        </w:rPr>
        <w:t>137:227-237,1978.</w:t>
      </w:r>
    </w:p>
    <w:p>
      <w:pPr>
        <w:pStyle w:val="BodyText"/>
        <w:spacing w:before="7"/>
        <w:rPr>
          <w:rFonts w:ascii="Georgia"/>
          <w:sz w:val="14"/>
        </w:rPr>
      </w:pPr>
    </w:p>
    <w:p>
      <w:pPr>
        <w:spacing w:line="276" w:lineRule="auto" w:before="0"/>
        <w:ind w:left="102" w:right="116" w:firstLine="0"/>
        <w:jc w:val="both"/>
        <w:rPr>
          <w:sz w:val="18"/>
        </w:rPr>
      </w:pPr>
      <w:r>
        <w:rPr>
          <w:sz w:val="20"/>
        </w:rPr>
        <w:t>.3.</w:t>
      </w:r>
      <w:r>
        <w:rPr>
          <w:sz w:val="18"/>
        </w:rPr>
        <w:t>Weaver,</w:t>
      </w:r>
      <w:r>
        <w:rPr>
          <w:spacing w:val="-14"/>
          <w:sz w:val="18"/>
        </w:rPr>
        <w:t> </w:t>
      </w:r>
      <w:r>
        <w:rPr>
          <w:sz w:val="18"/>
        </w:rPr>
        <w:t>S.C.,</w:t>
      </w:r>
      <w:r>
        <w:rPr>
          <w:spacing w:val="-14"/>
          <w:sz w:val="18"/>
        </w:rPr>
        <w:t> </w:t>
      </w:r>
      <w:r>
        <w:rPr>
          <w:sz w:val="18"/>
        </w:rPr>
        <w:t>Salas,</w:t>
      </w:r>
      <w:r>
        <w:rPr>
          <w:spacing w:val="-14"/>
          <w:sz w:val="18"/>
        </w:rPr>
        <w:t> </w:t>
      </w:r>
      <w:r>
        <w:rPr>
          <w:sz w:val="18"/>
        </w:rPr>
        <w:t>R.,</w:t>
      </w:r>
      <w:r>
        <w:rPr>
          <w:spacing w:val="-14"/>
          <w:sz w:val="18"/>
        </w:rPr>
        <w:t> </w:t>
      </w:r>
      <w:r>
        <w:rPr>
          <w:sz w:val="18"/>
        </w:rPr>
        <w:t>Rico-Hesse,</w:t>
      </w:r>
      <w:r>
        <w:rPr>
          <w:spacing w:val="-14"/>
          <w:sz w:val="18"/>
        </w:rPr>
        <w:t> </w:t>
      </w:r>
      <w:r>
        <w:rPr>
          <w:sz w:val="18"/>
        </w:rPr>
        <w:t>R.,</w:t>
      </w:r>
      <w:r>
        <w:rPr>
          <w:spacing w:val="-14"/>
          <w:sz w:val="18"/>
        </w:rPr>
        <w:t> </w:t>
      </w:r>
      <w:r>
        <w:rPr>
          <w:sz w:val="18"/>
        </w:rPr>
        <w:t>Ludwig,</w:t>
      </w:r>
      <w:r>
        <w:rPr>
          <w:spacing w:val="-14"/>
          <w:sz w:val="18"/>
        </w:rPr>
        <w:t> </w:t>
      </w:r>
      <w:r>
        <w:rPr>
          <w:sz w:val="18"/>
        </w:rPr>
        <w:t>G.V,</w:t>
      </w:r>
      <w:r>
        <w:rPr>
          <w:spacing w:val="-14"/>
          <w:sz w:val="18"/>
        </w:rPr>
        <w:t> </w:t>
      </w:r>
      <w:r>
        <w:rPr>
          <w:sz w:val="18"/>
        </w:rPr>
        <w:t>Obersete,</w:t>
      </w:r>
      <w:r>
        <w:rPr>
          <w:spacing w:val="-14"/>
          <w:sz w:val="18"/>
        </w:rPr>
        <w:t> </w:t>
      </w:r>
      <w:r>
        <w:rPr>
          <w:sz w:val="18"/>
        </w:rPr>
        <w:t>M.S.,</w:t>
      </w:r>
      <w:r>
        <w:rPr>
          <w:spacing w:val="-14"/>
          <w:sz w:val="18"/>
        </w:rPr>
        <w:t> </w:t>
      </w:r>
      <w:r>
        <w:rPr>
          <w:sz w:val="18"/>
        </w:rPr>
        <w:t>Boshell,</w:t>
      </w:r>
      <w:r>
        <w:rPr>
          <w:spacing w:val="-16"/>
          <w:sz w:val="18"/>
        </w:rPr>
        <w:t> </w:t>
      </w:r>
      <w:r>
        <w:rPr>
          <w:sz w:val="18"/>
        </w:rPr>
        <w:t>J.,</w:t>
      </w:r>
      <w:r>
        <w:rPr>
          <w:spacing w:val="-14"/>
          <w:sz w:val="18"/>
        </w:rPr>
        <w:t> </w:t>
      </w:r>
      <w:r>
        <w:rPr>
          <w:sz w:val="18"/>
        </w:rPr>
        <w:t>Tesh,</w:t>
      </w:r>
      <w:r>
        <w:rPr>
          <w:spacing w:val="-16"/>
          <w:sz w:val="18"/>
        </w:rPr>
        <w:t> </w:t>
      </w:r>
      <w:r>
        <w:rPr>
          <w:sz w:val="18"/>
        </w:rPr>
        <w:t>R.B.:</w:t>
      </w:r>
      <w:r>
        <w:rPr>
          <w:spacing w:val="-14"/>
          <w:sz w:val="18"/>
        </w:rPr>
        <w:t> </w:t>
      </w:r>
      <w:r>
        <w:rPr>
          <w:sz w:val="18"/>
        </w:rPr>
        <w:t>Re-emergence of</w:t>
      </w:r>
      <w:r>
        <w:rPr>
          <w:spacing w:val="-4"/>
          <w:sz w:val="18"/>
        </w:rPr>
        <w:t> </w:t>
      </w:r>
      <w:r>
        <w:rPr>
          <w:sz w:val="18"/>
        </w:rPr>
        <w:t>epidemic</w:t>
      </w:r>
      <w:r>
        <w:rPr>
          <w:spacing w:val="-5"/>
          <w:sz w:val="18"/>
        </w:rPr>
        <w:t> </w:t>
      </w:r>
      <w:r>
        <w:rPr>
          <w:sz w:val="18"/>
        </w:rPr>
        <w:t>Venezuelan</w:t>
      </w:r>
      <w:r>
        <w:rPr>
          <w:spacing w:val="-5"/>
          <w:sz w:val="18"/>
        </w:rPr>
        <w:t> </w:t>
      </w:r>
      <w:r>
        <w:rPr>
          <w:sz w:val="18"/>
        </w:rPr>
        <w:t>equine</w:t>
      </w:r>
      <w:r>
        <w:rPr>
          <w:spacing w:val="-1"/>
          <w:sz w:val="18"/>
        </w:rPr>
        <w:t> </w:t>
      </w:r>
      <w:r>
        <w:rPr>
          <w:sz w:val="18"/>
        </w:rPr>
        <w:t>encephalomyelitis</w:t>
      </w:r>
      <w:r>
        <w:rPr>
          <w:spacing w:val="-5"/>
          <w:sz w:val="18"/>
        </w:rPr>
        <w:t> </w:t>
      </w:r>
      <w:r>
        <w:rPr>
          <w:sz w:val="18"/>
        </w:rPr>
        <w:t>in</w:t>
      </w:r>
      <w:r>
        <w:rPr>
          <w:spacing w:val="-4"/>
          <w:sz w:val="18"/>
        </w:rPr>
        <w:t> </w:t>
      </w:r>
      <w:r>
        <w:rPr>
          <w:sz w:val="18"/>
        </w:rPr>
        <w:t>South</w:t>
      </w:r>
      <w:r>
        <w:rPr>
          <w:spacing w:val="-5"/>
          <w:sz w:val="18"/>
        </w:rPr>
        <w:t> </w:t>
      </w:r>
      <w:r>
        <w:rPr>
          <w:sz w:val="18"/>
        </w:rPr>
        <w:t>America.</w:t>
      </w:r>
      <w:r>
        <w:rPr>
          <w:spacing w:val="-5"/>
          <w:sz w:val="18"/>
        </w:rPr>
        <w:t> </w:t>
      </w:r>
      <w:r>
        <w:rPr>
          <w:sz w:val="18"/>
        </w:rPr>
        <w:t>Lancet.</w:t>
      </w:r>
      <w:r>
        <w:rPr>
          <w:spacing w:val="-2"/>
          <w:sz w:val="18"/>
        </w:rPr>
        <w:t> </w:t>
      </w:r>
      <w:r>
        <w:rPr>
          <w:sz w:val="18"/>
        </w:rPr>
        <w:t>348:436-440,</w:t>
      </w:r>
      <w:r>
        <w:rPr>
          <w:spacing w:val="-4"/>
          <w:sz w:val="18"/>
        </w:rPr>
        <w:t> </w:t>
      </w:r>
      <w:r>
        <w:rPr>
          <w:sz w:val="18"/>
        </w:rPr>
        <w:t>1996.</w:t>
      </w:r>
    </w:p>
    <w:p>
      <w:pPr>
        <w:pStyle w:val="BodyText"/>
        <w:rPr>
          <w:sz w:val="18"/>
        </w:rPr>
      </w:pPr>
    </w:p>
    <w:p>
      <w:pPr>
        <w:pStyle w:val="BodyText"/>
        <w:spacing w:before="1"/>
        <w:rPr>
          <w:sz w:val="14"/>
        </w:rPr>
      </w:pPr>
    </w:p>
    <w:p>
      <w:pPr>
        <w:pStyle w:val="ListParagraph"/>
        <w:numPr>
          <w:ilvl w:val="0"/>
          <w:numId w:val="34"/>
        </w:numPr>
        <w:tabs>
          <w:tab w:pos="253" w:val="left" w:leader="none"/>
        </w:tabs>
        <w:spacing w:line="273" w:lineRule="auto" w:before="0" w:after="0"/>
        <w:ind w:left="102" w:right="125" w:firstLine="0"/>
        <w:jc w:val="both"/>
        <w:rPr>
          <w:rFonts w:ascii="Georgia"/>
          <w:sz w:val="18"/>
        </w:rPr>
      </w:pPr>
      <w:r>
        <w:rPr>
          <w:rFonts w:ascii="Georgia"/>
          <w:sz w:val="18"/>
        </w:rPr>
        <w:t>Scherer, W. F., J. Chin, y J. V. Ordonez. Further observations on infections of guinea pigs with Venezuelan encephalitis virus strains. Am J Trop Med Hyg.</w:t>
      </w:r>
      <w:r>
        <w:rPr>
          <w:rFonts w:ascii="Georgia"/>
          <w:spacing w:val="21"/>
          <w:sz w:val="18"/>
        </w:rPr>
        <w:t> </w:t>
      </w:r>
      <w:r>
        <w:rPr>
          <w:rFonts w:ascii="Georgia"/>
          <w:sz w:val="18"/>
        </w:rPr>
        <w:t>28:725-8,1979.</w:t>
      </w:r>
    </w:p>
    <w:p>
      <w:pPr>
        <w:pStyle w:val="BodyText"/>
        <w:spacing w:before="6"/>
        <w:rPr>
          <w:rFonts w:ascii="Georgia"/>
          <w:sz w:val="14"/>
        </w:rPr>
      </w:pPr>
    </w:p>
    <w:p>
      <w:pPr>
        <w:pStyle w:val="ListParagraph"/>
        <w:numPr>
          <w:ilvl w:val="0"/>
          <w:numId w:val="34"/>
        </w:numPr>
        <w:tabs>
          <w:tab w:pos="291" w:val="left" w:leader="none"/>
        </w:tabs>
        <w:spacing w:line="273" w:lineRule="auto" w:before="0" w:after="0"/>
        <w:ind w:left="102" w:right="117" w:firstLine="43"/>
        <w:jc w:val="both"/>
        <w:rPr>
          <w:rFonts w:ascii="Georgia" w:hAnsi="Georgia"/>
          <w:sz w:val="18"/>
        </w:rPr>
      </w:pPr>
      <w:r>
        <w:rPr>
          <w:rFonts w:ascii="Georgia" w:hAnsi="Georgia"/>
          <w:sz w:val="18"/>
        </w:rPr>
        <w:t>Oberste, M.S., Fraire, M., Navarro, R., Zepeda, C., Zarate, M.L., Ludwig, G.V.: Association of Venezuelan equine encephalitis virus subtype IE with two equine epizootics in Mexico. Am J Trop Med Hyg.59:100–107, 1998.</w:t>
      </w:r>
    </w:p>
    <w:p>
      <w:pPr>
        <w:pStyle w:val="BodyText"/>
        <w:spacing w:before="6"/>
        <w:rPr>
          <w:rFonts w:ascii="Georgia"/>
          <w:sz w:val="14"/>
        </w:rPr>
      </w:pPr>
    </w:p>
    <w:p>
      <w:pPr>
        <w:pStyle w:val="ListParagraph"/>
        <w:numPr>
          <w:ilvl w:val="0"/>
          <w:numId w:val="34"/>
        </w:numPr>
        <w:tabs>
          <w:tab w:pos="253" w:val="left" w:leader="none"/>
        </w:tabs>
        <w:spacing w:line="276" w:lineRule="auto" w:before="0" w:after="0"/>
        <w:ind w:left="102" w:right="118" w:firstLine="0"/>
        <w:jc w:val="both"/>
        <w:rPr>
          <w:rFonts w:ascii="Georgia" w:hAnsi="Georgia"/>
          <w:sz w:val="18"/>
        </w:rPr>
      </w:pPr>
      <w:r>
        <w:rPr>
          <w:rFonts w:ascii="Georgia" w:hAnsi="Georgia"/>
          <w:sz w:val="18"/>
        </w:rPr>
        <w:t>Walton TE, Grayson MA, 1988. Venezuelan equine encephalopmyelitis. Monath TP, ed. </w:t>
      </w:r>
      <w:r>
        <w:rPr>
          <w:rFonts w:ascii="Georgia" w:hAnsi="Georgia"/>
          <w:i/>
          <w:sz w:val="18"/>
        </w:rPr>
        <w:t>The Arboviruses: </w:t>
      </w:r>
      <w:r>
        <w:rPr>
          <w:rFonts w:ascii="Georgia" w:hAnsi="Georgia"/>
          <w:i/>
          <w:sz w:val="18"/>
        </w:rPr>
        <w:t>Epidemiologyand Ecology. </w:t>
      </w:r>
      <w:r>
        <w:rPr>
          <w:rFonts w:ascii="Georgia" w:hAnsi="Georgia"/>
          <w:sz w:val="18"/>
        </w:rPr>
        <w:t>Volume IV. Boca Raton, FL: CRC Press,</w:t>
      </w:r>
      <w:r>
        <w:rPr>
          <w:rFonts w:ascii="Georgia" w:hAnsi="Georgia"/>
          <w:spacing w:val="-30"/>
          <w:sz w:val="18"/>
        </w:rPr>
        <w:t> </w:t>
      </w:r>
      <w:r>
        <w:rPr>
          <w:rFonts w:ascii="Georgia" w:hAnsi="Georgia"/>
          <w:sz w:val="18"/>
        </w:rPr>
        <w:t>203–231.</w:t>
      </w:r>
    </w:p>
    <w:p>
      <w:pPr>
        <w:pStyle w:val="BodyText"/>
        <w:rPr>
          <w:rFonts w:ascii="Georgia"/>
          <w:sz w:val="16"/>
        </w:rPr>
      </w:pPr>
    </w:p>
    <w:p>
      <w:pPr>
        <w:pStyle w:val="ListParagraph"/>
        <w:numPr>
          <w:ilvl w:val="0"/>
          <w:numId w:val="34"/>
        </w:numPr>
        <w:tabs>
          <w:tab w:pos="243" w:val="left" w:leader="none"/>
        </w:tabs>
        <w:spacing w:line="240" w:lineRule="auto" w:before="0" w:after="0"/>
        <w:ind w:left="102" w:right="117" w:firstLine="0"/>
        <w:jc w:val="both"/>
        <w:rPr>
          <w:rFonts w:ascii="Georgia" w:hAnsi="Georgia"/>
          <w:sz w:val="18"/>
        </w:rPr>
      </w:pPr>
      <w:r>
        <w:rPr>
          <w:rFonts w:ascii="Georgia" w:hAnsi="Georgia"/>
          <w:sz w:val="18"/>
        </w:rPr>
        <w:t>Morilla-Gonzalez A, de Mucha Macias J, 1969. Estudio de una Epizootia de encefalitis equina de Venezuela ocurrida en Tamaulipas, Mex. </w:t>
      </w:r>
      <w:r>
        <w:rPr>
          <w:rFonts w:ascii="Georgia" w:hAnsi="Georgia"/>
          <w:i/>
          <w:sz w:val="18"/>
        </w:rPr>
        <w:t>Rev Invest Salud Publica (Me´x) 29:</w:t>
      </w:r>
      <w:r>
        <w:rPr>
          <w:rFonts w:ascii="Georgia" w:hAnsi="Georgia"/>
          <w:i/>
          <w:spacing w:val="-21"/>
          <w:sz w:val="18"/>
        </w:rPr>
        <w:t> </w:t>
      </w:r>
      <w:r>
        <w:rPr>
          <w:rFonts w:ascii="Georgia" w:hAnsi="Georgia"/>
          <w:sz w:val="18"/>
        </w:rPr>
        <w:t>3–20.</w:t>
      </w:r>
    </w:p>
    <w:p>
      <w:pPr>
        <w:pStyle w:val="BodyText"/>
        <w:rPr>
          <w:rFonts w:ascii="Georgia"/>
          <w:sz w:val="18"/>
        </w:rPr>
      </w:pPr>
    </w:p>
    <w:p>
      <w:pPr>
        <w:pStyle w:val="ListParagraph"/>
        <w:numPr>
          <w:ilvl w:val="0"/>
          <w:numId w:val="34"/>
        </w:numPr>
        <w:tabs>
          <w:tab w:pos="371" w:val="left" w:leader="none"/>
        </w:tabs>
        <w:spacing w:line="276" w:lineRule="auto" w:before="114" w:after="0"/>
        <w:ind w:left="102" w:right="120" w:firstLine="0"/>
        <w:jc w:val="both"/>
        <w:rPr>
          <w:rFonts w:ascii="Georgia"/>
          <w:sz w:val="18"/>
        </w:rPr>
      </w:pPr>
      <w:r>
        <w:rPr>
          <w:rFonts w:ascii="Georgia"/>
          <w:sz w:val="18"/>
        </w:rPr>
        <w:t>Pedersen, C.E., Robinson, D.M., Cole, F. E.: Isolation of the vaccine strain of Venezuelan equine encephalomyelitis</w:t>
      </w:r>
      <w:r>
        <w:rPr>
          <w:rFonts w:ascii="Georgia"/>
          <w:spacing w:val="-5"/>
          <w:sz w:val="18"/>
        </w:rPr>
        <w:t> </w:t>
      </w:r>
      <w:r>
        <w:rPr>
          <w:rFonts w:ascii="Georgia"/>
          <w:sz w:val="18"/>
        </w:rPr>
        <w:t>virus</w:t>
      </w:r>
      <w:r>
        <w:rPr>
          <w:rFonts w:ascii="Georgia"/>
          <w:spacing w:val="-5"/>
          <w:sz w:val="18"/>
        </w:rPr>
        <w:t> </w:t>
      </w:r>
      <w:r>
        <w:rPr>
          <w:rFonts w:ascii="Georgia"/>
          <w:sz w:val="18"/>
        </w:rPr>
        <w:t>from</w:t>
      </w:r>
      <w:r>
        <w:rPr>
          <w:rFonts w:ascii="Georgia"/>
          <w:spacing w:val="-3"/>
          <w:sz w:val="18"/>
        </w:rPr>
        <w:t> </w:t>
      </w:r>
      <w:r>
        <w:rPr>
          <w:rFonts w:ascii="Georgia"/>
          <w:sz w:val="18"/>
        </w:rPr>
        <w:t>mosquitoes</w:t>
      </w:r>
      <w:r>
        <w:rPr>
          <w:rFonts w:ascii="Georgia"/>
          <w:spacing w:val="-5"/>
          <w:sz w:val="18"/>
        </w:rPr>
        <w:t> </w:t>
      </w:r>
      <w:r>
        <w:rPr>
          <w:rFonts w:ascii="Georgia"/>
          <w:sz w:val="18"/>
        </w:rPr>
        <w:t>in</w:t>
      </w:r>
      <w:r>
        <w:rPr>
          <w:rFonts w:ascii="Georgia"/>
          <w:spacing w:val="-3"/>
          <w:sz w:val="18"/>
        </w:rPr>
        <w:t> </w:t>
      </w:r>
      <w:r>
        <w:rPr>
          <w:rFonts w:ascii="Georgia"/>
          <w:sz w:val="18"/>
        </w:rPr>
        <w:t>Louisiana.</w:t>
      </w:r>
      <w:r>
        <w:rPr>
          <w:rFonts w:ascii="Georgia"/>
          <w:spacing w:val="-5"/>
          <w:sz w:val="18"/>
        </w:rPr>
        <w:t> </w:t>
      </w:r>
      <w:r>
        <w:rPr>
          <w:rFonts w:ascii="Georgia"/>
          <w:sz w:val="18"/>
        </w:rPr>
        <w:t>Am</w:t>
      </w:r>
      <w:r>
        <w:rPr>
          <w:rFonts w:ascii="Georgia"/>
          <w:spacing w:val="-4"/>
          <w:sz w:val="18"/>
        </w:rPr>
        <w:t> </w:t>
      </w:r>
      <w:r>
        <w:rPr>
          <w:rFonts w:ascii="Georgia"/>
          <w:sz w:val="18"/>
        </w:rPr>
        <w:t>J</w:t>
      </w:r>
      <w:r>
        <w:rPr>
          <w:rFonts w:ascii="Georgia"/>
          <w:spacing w:val="-2"/>
          <w:sz w:val="18"/>
        </w:rPr>
        <w:t> </w:t>
      </w:r>
      <w:r>
        <w:rPr>
          <w:rFonts w:ascii="Georgia"/>
          <w:sz w:val="18"/>
        </w:rPr>
        <w:t>Epidemiol.</w:t>
      </w:r>
      <w:r>
        <w:rPr>
          <w:rFonts w:ascii="Georgia"/>
          <w:spacing w:val="-3"/>
          <w:sz w:val="18"/>
        </w:rPr>
        <w:t> </w:t>
      </w:r>
      <w:r>
        <w:rPr>
          <w:rFonts w:ascii="Georgia"/>
          <w:sz w:val="18"/>
        </w:rPr>
        <w:t>95(5):490-496,</w:t>
      </w:r>
      <w:r>
        <w:rPr>
          <w:rFonts w:ascii="Georgia"/>
          <w:spacing w:val="-3"/>
          <w:sz w:val="18"/>
        </w:rPr>
        <w:t> </w:t>
      </w:r>
      <w:r>
        <w:rPr>
          <w:rFonts w:ascii="Georgia"/>
          <w:sz w:val="18"/>
        </w:rPr>
        <w:t>1972.</w:t>
      </w:r>
    </w:p>
    <w:p>
      <w:pPr>
        <w:pStyle w:val="BodyText"/>
        <w:spacing w:before="7"/>
        <w:rPr>
          <w:rFonts w:ascii="Georgia"/>
          <w:sz w:val="20"/>
        </w:rPr>
      </w:pPr>
    </w:p>
    <w:p>
      <w:pPr>
        <w:pStyle w:val="ListParagraph"/>
        <w:numPr>
          <w:ilvl w:val="0"/>
          <w:numId w:val="34"/>
        </w:numPr>
        <w:tabs>
          <w:tab w:pos="295" w:val="left" w:leader="none"/>
        </w:tabs>
        <w:spacing w:line="276" w:lineRule="auto" w:before="1" w:after="0"/>
        <w:ind w:left="102" w:right="116" w:firstLine="0"/>
        <w:jc w:val="both"/>
        <w:rPr>
          <w:rFonts w:ascii="Georgia"/>
          <w:sz w:val="18"/>
        </w:rPr>
      </w:pPr>
      <w:r>
        <w:rPr>
          <w:rFonts w:ascii="Georgia"/>
          <w:sz w:val="18"/>
        </w:rPr>
        <w:t>Adams AP, Navarro-Lopez R, Ramirez-Aguilar FJ, Lopez-Gonzalez I, Leal G, et al. (2012) Venezuelan Equine Encephalitis Virus Activity in the Gulf</w:t>
      </w:r>
      <w:r>
        <w:rPr>
          <w:rFonts w:ascii="Georgia"/>
          <w:spacing w:val="-13"/>
          <w:sz w:val="18"/>
        </w:rPr>
        <w:t> </w:t>
      </w:r>
      <w:r>
        <w:rPr>
          <w:rFonts w:ascii="Georgia"/>
          <w:sz w:val="18"/>
        </w:rPr>
        <w:t>Coast</w:t>
      </w:r>
    </w:p>
    <w:p>
      <w:pPr>
        <w:spacing w:before="0"/>
        <w:ind w:left="102" w:right="0" w:firstLine="0"/>
        <w:jc w:val="both"/>
        <w:rPr>
          <w:rFonts w:ascii="Georgia" w:hAnsi="Georgia"/>
          <w:sz w:val="18"/>
        </w:rPr>
      </w:pPr>
      <w:r>
        <w:rPr>
          <w:rFonts w:ascii="Georgia" w:hAnsi="Georgia"/>
          <w:sz w:val="18"/>
        </w:rPr>
        <w:t>Region of Mexico, 2003–2010. PLoS Negl Trop Dis 6(11): e1875. doi:10.1371/journal.pntd.0001875</w:t>
      </w:r>
    </w:p>
    <w:p>
      <w:pPr>
        <w:spacing w:after="0"/>
        <w:jc w:val="both"/>
        <w:rPr>
          <w:rFonts w:ascii="Georgia" w:hAnsi="Georgia"/>
          <w:sz w:val="18"/>
        </w:rPr>
        <w:sectPr>
          <w:footerReference w:type="default" r:id="rId305"/>
          <w:pgSz w:w="12240" w:h="15840"/>
          <w:pgMar w:footer="0" w:header="0" w:top="1360" w:bottom="280" w:left="1600" w:right="15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19"/>
        </w:rPr>
      </w:pPr>
    </w:p>
    <w:p>
      <w:pPr>
        <w:spacing w:before="0"/>
        <w:ind w:left="4634" w:right="3903" w:firstLine="0"/>
        <w:jc w:val="center"/>
        <w:rPr>
          <w:rFonts w:ascii="Calibri"/>
          <w:b/>
          <w:sz w:val="22"/>
        </w:rPr>
      </w:pPr>
      <w:r>
        <w:rPr>
          <w:rFonts w:ascii="Calibri"/>
          <w:b/>
          <w:sz w:val="22"/>
        </w:rPr>
        <w:t>85</w:t>
      </w:r>
    </w:p>
    <w:sectPr>
      <w:footerReference w:type="default" r:id="rId306"/>
      <w:pgSz w:w="12240" w:h="15840"/>
      <w:pgMar w:footer="0" w:head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3.25pt;margin-top:740.575989pt;width:7.6pt;height:13.05pt;mso-position-horizontal-relative:page;mso-position-vertical-relative:page;z-index:-136672" type="#_x0000_t202" filled="false" stroked="false">
          <v:textbox inset="0,0,0,0">
            <w:txbxContent>
              <w:p>
                <w:pPr>
                  <w:spacing w:line="245" w:lineRule="exact" w:before="0"/>
                  <w:ind w:left="20" w:right="0" w:firstLine="0"/>
                  <w:jc w:val="left"/>
                  <w:rPr>
                    <w:rFonts w:ascii="Calibri"/>
                    <w:b/>
                    <w:sz w:val="22"/>
                  </w:rPr>
                </w:pPr>
                <w:r>
                  <w:rPr>
                    <w:rFonts w:ascii="Calibri"/>
                    <w:b/>
                    <w:w w:val="100"/>
                    <w:sz w:val="22"/>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410004pt;margin-top:746.960022pt;width:15.25pt;height:15pt;mso-position-horizontal-relative:page;mso-position-vertical-relative:page;z-index:-136480" type="#_x0000_t202" filled="false" stroked="false">
          <v:textbox inset="0,0,0,0">
            <w:txbxContent>
              <w:p>
                <w:pPr>
                  <w:spacing w:before="14"/>
                  <w:ind w:left="40" w:right="0" w:firstLine="0"/>
                  <w:jc w:val="left"/>
                  <w:rPr>
                    <w:rFonts w:ascii="Calibri"/>
                    <w:b/>
                    <w:sz w:val="22"/>
                  </w:rPr>
                </w:pPr>
                <w:r>
                  <w:rPr/>
                  <w:fldChar w:fldCharType="begin"/>
                </w:r>
                <w:r>
                  <w:rPr>
                    <w:rFonts w:ascii="Calibri"/>
                    <w:b/>
                    <w:sz w:val="22"/>
                  </w:rPr>
                  <w:instrText> PAGE </w:instrText>
                </w:r>
                <w:r>
                  <w:rPr/>
                  <w:fldChar w:fldCharType="separate"/>
                </w:r>
                <w:r>
                  <w:rPr/>
                  <w:t>13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8.05603pt;width:15.25pt;height:16.55pt;mso-position-horizontal-relative:page;mso-position-vertical-relative:page;z-index:-136456" type="#_x0000_t202" filled="false" stroked="false">
          <v:textbox inset="0,0,0,0">
            <w:txbxContent>
              <w:p>
                <w:pPr>
                  <w:spacing w:before="45"/>
                  <w:ind w:left="40" w:right="0" w:firstLine="0"/>
                  <w:jc w:val="left"/>
                  <w:rPr>
                    <w:rFonts w:ascii="Calibri"/>
                    <w:b/>
                    <w:sz w:val="22"/>
                  </w:rPr>
                </w:pPr>
                <w:r>
                  <w:rPr/>
                  <w:fldChar w:fldCharType="begin"/>
                </w:r>
                <w:r>
                  <w:rPr>
                    <w:rFonts w:ascii="Calibri"/>
                    <w:b/>
                    <w:sz w:val="22"/>
                  </w:rPr>
                  <w:instrText> PAGE </w:instrText>
                </w:r>
                <w:r>
                  <w:rPr/>
                  <w:fldChar w:fldCharType="separate"/>
                </w:r>
                <w:r>
                  <w:rPr/>
                  <w:t>14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5.216003pt;width:13.25pt;height:13.05pt;mso-position-horizontal-relative:page;mso-position-vertical-relative:page;z-index:-136432" type="#_x0000_t202" filled="false" stroked="false">
          <v:textbox inset="0,0,0,0">
            <w:txbxContent>
              <w:p>
                <w:pPr>
                  <w:spacing w:line="245" w:lineRule="exact" w:before="0"/>
                  <w:ind w:left="20" w:right="0" w:firstLine="0"/>
                  <w:jc w:val="left"/>
                  <w:rPr>
                    <w:rFonts w:ascii="Calibri"/>
                    <w:b/>
                    <w:sz w:val="22"/>
                  </w:rPr>
                </w:pPr>
                <w:r>
                  <w:rPr>
                    <w:rFonts w:ascii="Calibri"/>
                    <w:b/>
                    <w:sz w:val="22"/>
                  </w:rPr>
                  <w:t>16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1.935974pt;width:15.25pt;height:21.95pt;mso-position-horizontal-relative:page;mso-position-vertical-relative:page;z-index:-136408" type="#_x0000_t202" filled="false" stroked="false">
          <v:textbox inset="0,0,0,0">
            <w:txbxContent>
              <w:p>
                <w:pPr>
                  <w:spacing w:before="153"/>
                  <w:ind w:left="40" w:right="0" w:firstLine="0"/>
                  <w:jc w:val="left"/>
                  <w:rPr>
                    <w:rFonts w:ascii="Calibri"/>
                    <w:b/>
                    <w:sz w:val="22"/>
                  </w:rPr>
                </w:pPr>
                <w:r>
                  <w:rPr/>
                  <w:fldChar w:fldCharType="begin"/>
                </w:r>
                <w:r>
                  <w:rPr>
                    <w:rFonts w:ascii="Calibri"/>
                    <w:b/>
                    <w:sz w:val="22"/>
                  </w:rPr>
                  <w:instrText> PAGE </w:instrText>
                </w:r>
                <w:r>
                  <w:rPr/>
                  <w:fldChar w:fldCharType="separate"/>
                </w:r>
                <w:r>
                  <w:rPr/>
                  <w:t>17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4.976013pt;width:13.25pt;height:13.05pt;mso-position-horizontal-relative:page;mso-position-vertical-relative:page;z-index:-136384" type="#_x0000_t202" filled="false" stroked="false">
          <v:textbox inset="0,0,0,0">
            <w:txbxContent>
              <w:p>
                <w:pPr>
                  <w:spacing w:line="245" w:lineRule="exact" w:before="0"/>
                  <w:ind w:left="20" w:right="0" w:firstLine="0"/>
                  <w:jc w:val="left"/>
                  <w:rPr>
                    <w:rFonts w:ascii="Calibri"/>
                    <w:b/>
                    <w:sz w:val="22"/>
                  </w:rPr>
                </w:pPr>
                <w:r>
                  <w:rPr>
                    <w:rFonts w:ascii="Calibri"/>
                    <w:b/>
                    <w:sz w:val="22"/>
                  </w:rPr>
                  <w:t>19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9.495972pt;width:15.3pt;height:18.45pt;mso-position-horizontal-relative:page;mso-position-vertical-relative:page;z-index:-136360" type="#_x0000_t202" filled="false" stroked="false">
          <v:textbox inset="0,0,0,0">
            <w:txbxContent>
              <w:p>
                <w:pPr>
                  <w:spacing w:before="84"/>
                  <w:ind w:left="40" w:right="0" w:firstLine="0"/>
                  <w:jc w:val="left"/>
                  <w:rPr>
                    <w:rFonts w:ascii="Calibri"/>
                    <w:b/>
                    <w:sz w:val="22"/>
                  </w:rPr>
                </w:pPr>
                <w:r>
                  <w:rPr/>
                  <w:fldChar w:fldCharType="begin"/>
                </w:r>
                <w:r>
                  <w:rPr>
                    <w:rFonts w:ascii="Calibri"/>
                    <w:b/>
                    <w:sz w:val="22"/>
                  </w:rPr>
                  <w:instrText> PAGE </w:instrText>
                </w:r>
                <w:r>
                  <w:rPr/>
                  <w:fldChar w:fldCharType="separate"/>
                </w:r>
                <w:r>
                  <w:rPr/>
                  <w:t>20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9.255981pt;width:13.3pt;height:13.05pt;mso-position-horizontal-relative:page;mso-position-vertical-relative:page;z-index:-136336" type="#_x0000_t202" filled="false" stroked="false">
          <v:textbox inset="0,0,0,0">
            <w:txbxContent>
              <w:p>
                <w:pPr>
                  <w:spacing w:line="245" w:lineRule="exact" w:before="0"/>
                  <w:ind w:left="20" w:right="0" w:firstLine="0"/>
                  <w:jc w:val="left"/>
                  <w:rPr>
                    <w:rFonts w:ascii="Calibri"/>
                    <w:b/>
                    <w:sz w:val="22"/>
                  </w:rPr>
                </w:pPr>
                <w:r>
                  <w:rPr>
                    <w:rFonts w:ascii="Calibri"/>
                    <w:b/>
                    <w:sz w:val="22"/>
                  </w:rPr>
                  <w:t>23</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736023pt;width:15.3pt;height:13.9pt;mso-position-horizontal-relative:page;mso-position-vertical-relative:page;z-index:-136312" type="#_x0000_t202" filled="false" stroked="false">
          <v:textbox inset="0,0,0,0">
            <w:txbxContent>
              <w:p>
                <w:pPr>
                  <w:spacing w:line="261"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26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9.296021pt;width:13.3pt;height:13.05pt;mso-position-horizontal-relative:page;mso-position-vertical-relative:page;z-index:-136288" type="#_x0000_t202" filled="false" stroked="false">
          <v:textbox inset="0,0,0,0">
            <w:txbxContent>
              <w:p>
                <w:pPr>
                  <w:spacing w:line="245" w:lineRule="exact" w:before="0"/>
                  <w:ind w:left="20" w:right="0" w:firstLine="0"/>
                  <w:jc w:val="left"/>
                  <w:rPr>
                    <w:rFonts w:ascii="Calibri"/>
                    <w:b/>
                    <w:sz w:val="22"/>
                  </w:rPr>
                </w:pPr>
                <w:r>
                  <w:rPr>
                    <w:rFonts w:ascii="Calibri"/>
                    <w:b/>
                    <w:sz w:val="22"/>
                  </w:rPr>
                  <w:t>30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690002pt;margin-top:724.976013pt;width:7.6pt;height:13.05pt;mso-position-horizontal-relative:page;mso-position-vertical-relative:page;z-index:-136648" type="#_x0000_t202" filled="false" stroked="false">
          <v:textbox inset="0,0,0,0">
            <w:txbxContent>
              <w:p>
                <w:pPr>
                  <w:spacing w:line="245" w:lineRule="exact" w:before="0"/>
                  <w:ind w:left="20" w:right="0" w:firstLine="0"/>
                  <w:jc w:val="left"/>
                  <w:rPr>
                    <w:rFonts w:ascii="Calibri"/>
                    <w:b/>
                    <w:sz w:val="22"/>
                  </w:rPr>
                </w:pPr>
                <w:r>
                  <w:rPr>
                    <w:rFonts w:ascii="Calibri"/>
                    <w:b/>
                    <w:w w:val="100"/>
                    <w:sz w:val="22"/>
                  </w:rPr>
                  <w:t>2</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7.559998pt;width:13.3pt;height:13.05pt;mso-position-horizontal-relative:page;mso-position-vertical-relative:page;z-index:-136264" type="#_x0000_t202" filled="false" stroked="false">
          <v:textbox inset="0,0,0,0">
            <w:txbxContent>
              <w:p>
                <w:pPr>
                  <w:spacing w:line="245" w:lineRule="exact" w:before="0"/>
                  <w:ind w:left="20" w:right="0" w:firstLine="0"/>
                  <w:jc w:val="left"/>
                  <w:rPr>
                    <w:rFonts w:ascii="Calibri"/>
                    <w:b/>
                    <w:sz w:val="22"/>
                  </w:rPr>
                </w:pPr>
                <w:r>
                  <w:rPr>
                    <w:rFonts w:ascii="Calibri"/>
                    <w:b/>
                    <w:sz w:val="22"/>
                  </w:rPr>
                  <w:t>31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976013pt;width:15.3pt;height:13.4pt;mso-position-horizontal-relative:page;mso-position-vertical-relative:page;z-index:-136240" type="#_x0000_t202" filled="false" stroked="false">
          <v:textbox inset="0,0,0,0">
            <w:txbxContent>
              <w:p>
                <w:pPr>
                  <w:spacing w:line="252"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36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5.096008pt;width:13.3pt;height:13.05pt;mso-position-horizontal-relative:page;mso-position-vertical-relative:page;z-index:-136216" type="#_x0000_t202" filled="false" stroked="false">
          <v:textbox inset="0,0,0,0">
            <w:txbxContent>
              <w:p>
                <w:pPr>
                  <w:spacing w:line="245" w:lineRule="exact" w:before="0"/>
                  <w:ind w:left="20" w:right="0" w:firstLine="0"/>
                  <w:jc w:val="left"/>
                  <w:rPr>
                    <w:rFonts w:ascii="Calibri"/>
                    <w:b/>
                    <w:sz w:val="22"/>
                  </w:rPr>
                </w:pPr>
                <w:r>
                  <w:rPr>
                    <w:rFonts w:ascii="Calibri"/>
                    <w:b/>
                    <w:sz w:val="22"/>
                  </w:rPr>
                  <w:t>40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495972pt;width:15.3pt;height:13.8pt;mso-position-horizontal-relative:page;mso-position-vertical-relative:page;z-index:-136192" type="#_x0000_t202" filled="false" stroked="false">
          <v:textbox inset="0,0,0,0">
            <w:txbxContent>
              <w:p>
                <w:pPr>
                  <w:spacing w:line="259"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43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4.856018pt;width:13.3pt;height:13.05pt;mso-position-horizontal-relative:page;mso-position-vertical-relative:page;z-index:-136168" type="#_x0000_t202" filled="false" stroked="false">
          <v:textbox inset="0,0,0,0">
            <w:txbxContent>
              <w:p>
                <w:pPr>
                  <w:spacing w:line="245" w:lineRule="exact" w:before="0"/>
                  <w:ind w:left="20" w:right="0" w:firstLine="0"/>
                  <w:jc w:val="left"/>
                  <w:rPr>
                    <w:rFonts w:ascii="Calibri"/>
                    <w:b/>
                    <w:sz w:val="22"/>
                  </w:rPr>
                </w:pPr>
                <w:r>
                  <w:rPr>
                    <w:rFonts w:ascii="Calibri"/>
                    <w:b/>
                    <w:sz w:val="22"/>
                  </w:rPr>
                  <w:t>50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616028pt;width:15.3pt;height:14.25pt;mso-position-horizontal-relative:page;mso-position-vertical-relative:page;z-index:-136144" type="#_x0000_t202" filled="false" stroked="false">
          <v:textbox inset="0,0,0,0">
            <w:txbxContent>
              <w:p>
                <w:pPr>
                  <w:spacing w:before="0"/>
                  <w:ind w:left="40" w:right="0" w:firstLine="0"/>
                  <w:jc w:val="left"/>
                  <w:rPr>
                    <w:rFonts w:ascii="Calibri"/>
                    <w:b/>
                    <w:sz w:val="22"/>
                  </w:rPr>
                </w:pPr>
                <w:r>
                  <w:rPr/>
                  <w:fldChar w:fldCharType="begin"/>
                </w:r>
                <w:r>
                  <w:rPr>
                    <w:rFonts w:ascii="Calibri"/>
                    <w:b/>
                    <w:sz w:val="22"/>
                  </w:rPr>
                  <w:instrText> PAGE </w:instrText>
                </w:r>
                <w:r>
                  <w:rPr/>
                  <w:fldChar w:fldCharType="separate"/>
                </w:r>
                <w:r>
                  <w:rPr/>
                  <w:t>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5.335999pt;width:13.3pt;height:13.05pt;mso-position-horizontal-relative:page;mso-position-vertical-relative:page;z-index:-136120" type="#_x0000_t202" filled="false" stroked="false">
          <v:textbox inset="0,0,0,0">
            <w:txbxContent>
              <w:p>
                <w:pPr>
                  <w:spacing w:line="245" w:lineRule="exact" w:before="0"/>
                  <w:ind w:left="20" w:right="0" w:firstLine="0"/>
                  <w:jc w:val="left"/>
                  <w:rPr>
                    <w:rFonts w:ascii="Calibri"/>
                    <w:b/>
                    <w:sz w:val="22"/>
                  </w:rPr>
                </w:pPr>
                <w:r>
                  <w:rPr>
                    <w:rFonts w:ascii="Calibri"/>
                    <w:b/>
                    <w:sz w:val="22"/>
                  </w:rPr>
                  <w:t>60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976013pt;width:15.3pt;height:13.8pt;mso-position-horizontal-relative:page;mso-position-vertical-relative:page;z-index:-136096" type="#_x0000_t202" filled="false" stroked="false">
          <v:textbox inset="0,0,0,0">
            <w:txbxContent>
              <w:p>
                <w:pPr>
                  <w:spacing w:line="259"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64</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976013pt;width:15.3pt;height:13.4pt;mso-position-horizontal-relative:page;mso-position-vertical-relative:page;z-index:-136072" type="#_x0000_t202" filled="false" stroked="false">
          <v:textbox inset="0,0,0,0">
            <w:txbxContent>
              <w:p>
                <w:pPr>
                  <w:spacing w:line="252"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68</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24.976013pt;width:13.3pt;height:13.05pt;mso-position-horizontal-relative:page;mso-position-vertical-relative:page;z-index:-136048" type="#_x0000_t202" filled="false" stroked="false">
          <v:textbox inset="0,0,0,0">
            <w:txbxContent>
              <w:p>
                <w:pPr>
                  <w:spacing w:line="245" w:lineRule="exact" w:before="0"/>
                  <w:ind w:left="20" w:right="0" w:firstLine="0"/>
                  <w:jc w:val="left"/>
                  <w:rPr>
                    <w:rFonts w:ascii="Calibri"/>
                    <w:b/>
                    <w:sz w:val="22"/>
                  </w:rPr>
                </w:pPr>
                <w:r>
                  <w:rPr>
                    <w:rFonts w:ascii="Calibri"/>
                    <w:b/>
                    <w:sz w:val="22"/>
                  </w:rPr>
                  <w:t>70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24.976013pt;width:15.3pt;height:13.3pt;mso-position-horizontal-relative:page;mso-position-vertical-relative:page;z-index:-136024" type="#_x0000_t202" filled="false" stroked="false">
          <v:textbox inset="0,0,0,0">
            <w:txbxContent>
              <w:p>
                <w:pPr>
                  <w:spacing w:line="249" w:lineRule="exact" w:before="0"/>
                  <w:ind w:left="40" w:right="0" w:firstLine="0"/>
                  <w:jc w:val="left"/>
                  <w:rPr>
                    <w:rFonts w:ascii="Calibri"/>
                    <w:b/>
                    <w:sz w:val="22"/>
                  </w:rPr>
                </w:pPr>
                <w:r>
                  <w:rPr/>
                  <w:fldChar w:fldCharType="begin"/>
                </w:r>
                <w:r>
                  <w:rPr>
                    <w:rFonts w:ascii="Calibri"/>
                    <w:b/>
                    <w:sz w:val="22"/>
                  </w:rPr>
                  <w:instrText> PAGE </w:instrText>
                </w:r>
                <w:r>
                  <w:rPr/>
                  <w:fldChar w:fldCharType="separate"/>
                </w:r>
                <w:r>
                  <w:rPr/>
                  <w:t>71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850006pt;margin-top:741.05603pt;width:18.650pt;height:21.75pt;mso-position-horizontal-relative:page;mso-position-vertical-relative:page;z-index:-136000" type="#_x0000_t202" filled="false" stroked="false">
          <v:textbox inset="0,0,0,0">
            <w:txbxContent>
              <w:p>
                <w:pPr>
                  <w:spacing w:before="149"/>
                  <w:ind w:left="40" w:right="0" w:firstLine="0"/>
                  <w:jc w:val="left"/>
                  <w:rPr>
                    <w:rFonts w:ascii="Calibri"/>
                    <w:b/>
                    <w:sz w:val="22"/>
                  </w:rPr>
                </w:pPr>
                <w:r>
                  <w:rPr/>
                  <w:fldChar w:fldCharType="begin"/>
                </w:r>
                <w:r>
                  <w:rPr>
                    <w:rFonts w:ascii="Calibri"/>
                    <w:b/>
                    <w:sz w:val="22"/>
                  </w:rPr>
                  <w:instrText> PAGE </w:instrText>
                </w:r>
                <w:r>
                  <w:rPr/>
                  <w:fldChar w:fldCharType="separate"/>
                </w:r>
                <w:r>
                  <w:rPr/>
                  <w:t>74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295.049988pt;margin-top:748.52002pt;width:20.7pt;height:16.9pt;mso-position-horizontal-relative:page;mso-position-vertical-relative:page;z-index:-135976" type="#_x0000_t202" filled="false" stroked="false">
          <v:textbox inset="0,0,0,0">
            <w:txbxContent>
              <w:p>
                <w:pPr>
                  <w:spacing w:before="53"/>
                  <w:ind w:left="61" w:right="0" w:firstLine="0"/>
                  <w:jc w:val="left"/>
                  <w:rPr>
                    <w:rFonts w:ascii="Calibri"/>
                    <w:b/>
                    <w:sz w:val="22"/>
                  </w:rPr>
                </w:pPr>
                <w:r>
                  <w:rPr/>
                  <w:fldChar w:fldCharType="begin"/>
                </w:r>
                <w:r>
                  <w:rPr>
                    <w:rFonts w:ascii="Calibri"/>
                    <w:b/>
                    <w:sz w:val="22"/>
                  </w:rPr>
                  <w:instrText> PAGE </w:instrText>
                </w:r>
                <w:r>
                  <w:rPr/>
                  <w:fldChar w:fldCharType="separate"/>
                </w:r>
                <w:r>
                  <w:rPr/>
                  <w:t>77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09991pt;margin-top:741.895996pt;width:13.3pt;height:13.05pt;mso-position-horizontal-relative:page;mso-position-vertical-relative:page;z-index:-135952" type="#_x0000_t202" filled="false" stroked="false">
          <v:textbox inset="0,0,0,0">
            <w:txbxContent>
              <w:p>
                <w:pPr>
                  <w:spacing w:line="245" w:lineRule="exact" w:before="0"/>
                  <w:ind w:left="20" w:right="0" w:firstLine="0"/>
                  <w:jc w:val="left"/>
                  <w:rPr>
                    <w:rFonts w:ascii="Calibri"/>
                    <w:b/>
                    <w:sz w:val="22"/>
                  </w:rPr>
                </w:pPr>
                <w:r>
                  <w:rPr>
                    <w:rFonts w:ascii="Calibri"/>
                    <w:b/>
                    <w:sz w:val="22"/>
                  </w:rPr>
                  <w:t>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089996pt;margin-top:748.280029pt;width:19.650pt;height:16.2pt;mso-position-horizontal-relative:page;mso-position-vertical-relative:page;z-index:-135928" type="#_x0000_t202" filled="false" stroked="false">
          <v:textbox inset="0,0,0,0">
            <w:txbxContent>
              <w:p>
                <w:pPr>
                  <w:spacing w:before="38"/>
                  <w:ind w:left="126" w:right="0" w:firstLine="0"/>
                  <w:jc w:val="left"/>
                  <w:rPr>
                    <w:rFonts w:ascii="Calibri"/>
                    <w:b/>
                    <w:sz w:val="22"/>
                  </w:rPr>
                </w:pPr>
                <w:r>
                  <w:rPr/>
                  <w:fldChar w:fldCharType="begin"/>
                </w:r>
                <w:r>
                  <w:rPr>
                    <w:rFonts w:ascii="Calibri"/>
                    <w:b/>
                    <w:sz w:val="22"/>
                  </w:rPr>
                  <w:instrText> PAGE </w:instrText>
                </w:r>
                <w:r>
                  <w:rPr/>
                  <w:fldChar w:fldCharType="separate"/>
                </w:r>
                <w:r>
                  <w:rPr/>
                  <w:t>81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2.670013pt;margin-top:724.856018pt;width:22.15pt;height:21.8pt;mso-position-horizontal-relative:page;mso-position-vertical-relative:page;z-index:-135904" type="#_x0000_t202" filled="false" stroked="false">
          <v:textbox inset="0,0,0,0">
            <w:txbxContent>
              <w:p>
                <w:pPr>
                  <w:spacing w:before="151"/>
                  <w:ind w:left="176" w:right="0" w:firstLine="0"/>
                  <w:jc w:val="left"/>
                  <w:rPr>
                    <w:rFonts w:ascii="Calibri"/>
                    <w:b/>
                    <w:sz w:val="22"/>
                  </w:rPr>
                </w:pPr>
                <w:r>
                  <w:rPr/>
                  <w:fldChar w:fldCharType="begin"/>
                </w:r>
                <w:r>
                  <w:rPr>
                    <w:rFonts w:ascii="Calibri"/>
                    <w:b/>
                    <w:sz w:val="22"/>
                  </w:rPr>
                  <w:instrText> PAGE </w:instrText>
                </w:r>
                <w:r>
                  <w:rPr/>
                  <w:fldChar w:fldCharType="separate"/>
                </w:r>
                <w:r>
                  <w:rPr/>
                  <w:t>83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609985pt;margin-top:746.47998pt;width:7.6pt;height:13.05pt;mso-position-horizontal-relative:page;mso-position-vertical-relative:page;z-index:-136624" type="#_x0000_t202" filled="false" stroked="false">
          <v:textbox inset="0,0,0,0">
            <w:txbxContent>
              <w:p>
                <w:pPr>
                  <w:spacing w:line="245" w:lineRule="exact" w:before="0"/>
                  <w:ind w:left="20" w:right="0" w:firstLine="0"/>
                  <w:jc w:val="left"/>
                  <w:rPr>
                    <w:rFonts w:ascii="Calibri"/>
                    <w:b/>
                    <w:sz w:val="22"/>
                  </w:rPr>
                </w:pPr>
                <w:r>
                  <w:rPr>
                    <w:rFonts w:ascii="Calibri"/>
                    <w:b/>
                    <w:w w:val="100"/>
                    <w:sz w:val="22"/>
                  </w:rPr>
                  <w:t>4</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290009pt;margin-top:758.359985pt;width:7.6pt;height:13.05pt;mso-position-horizontal-relative:page;mso-position-vertical-relative:page;z-index:-136600" type="#_x0000_t202" filled="false" stroked="false">
          <v:textbox inset="0,0,0,0">
            <w:txbxContent>
              <w:p>
                <w:pPr>
                  <w:spacing w:line="245" w:lineRule="exact" w:before="0"/>
                  <w:ind w:left="20" w:right="0" w:firstLine="0"/>
                  <w:jc w:val="left"/>
                  <w:rPr>
                    <w:rFonts w:ascii="Calibri"/>
                    <w:b/>
                    <w:sz w:val="22"/>
                  </w:rPr>
                </w:pPr>
                <w:r>
                  <w:rPr>
                    <w:rFonts w:ascii="Calibri"/>
                    <w:b/>
                    <w:w w:val="100"/>
                    <w:sz w:val="22"/>
                  </w:rPr>
                  <w:t>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290009pt;margin-top:725.096008pt;width:7.6pt;height:13.05pt;mso-position-horizontal-relative:page;mso-position-vertical-relative:page;z-index:-136576" type="#_x0000_t202" filled="false" stroked="false">
          <v:textbox inset="0,0,0,0">
            <w:txbxContent>
              <w:p>
                <w:pPr>
                  <w:spacing w:line="245" w:lineRule="exact" w:before="0"/>
                  <w:ind w:left="20" w:right="0" w:firstLine="0"/>
                  <w:jc w:val="left"/>
                  <w:rPr>
                    <w:rFonts w:ascii="Calibri"/>
                    <w:b/>
                    <w:sz w:val="22"/>
                  </w:rPr>
                </w:pPr>
                <w:r>
                  <w:rPr>
                    <w:rFonts w:ascii="Calibri"/>
                    <w:b/>
                    <w:w w:val="100"/>
                    <w:sz w:val="22"/>
                  </w:rPr>
                  <w:t>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49.47998pt;width:9.6pt;height:14pt;mso-position-horizontal-relative:page;mso-position-vertical-relative:page;z-index:-136552" type="#_x0000_t202" filled="false" stroked="false">
          <v:textbox inset="0,0,0,0">
            <w:txbxContent>
              <w:p>
                <w:pPr>
                  <w:spacing w:line="264" w:lineRule="exact" w:before="0"/>
                  <w:ind w:left="40" w:right="0" w:firstLine="0"/>
                  <w:jc w:val="left"/>
                  <w:rPr>
                    <w:rFonts w:ascii="Calibri"/>
                    <w:b/>
                    <w:sz w:val="22"/>
                  </w:rPr>
                </w:pPr>
                <w:r>
                  <w:rPr/>
                  <w:fldChar w:fldCharType="begin"/>
                </w:r>
                <w:r>
                  <w:rPr>
                    <w:rFonts w:ascii="Calibri"/>
                    <w:b/>
                    <w:w w:val="100"/>
                    <w:sz w:val="22"/>
                  </w:rPr>
                  <w:instrText> PAGE </w:instrText>
                </w:r>
                <w:r>
                  <w:rPr/>
                  <w:fldChar w:fldCharType="separate"/>
                </w:r>
                <w:r>
                  <w:rPr/>
                  <w:t>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3.856018pt;width:9.6pt;height:13.05pt;mso-position-horizontal-relative:page;mso-position-vertical-relative:page;z-index:-136528" type="#_x0000_t202" filled="false" stroked="false">
          <v:textbox inset="0,0,0,0">
            <w:txbxContent>
              <w:p>
                <w:pPr>
                  <w:spacing w:line="245" w:lineRule="exact" w:before="0"/>
                  <w:ind w:left="40" w:right="0" w:firstLine="0"/>
                  <w:jc w:val="left"/>
                  <w:rPr>
                    <w:rFonts w:ascii="Calibri"/>
                    <w:b/>
                    <w:sz w:val="22"/>
                  </w:rPr>
                </w:pPr>
                <w:r>
                  <w:rPr/>
                  <w:fldChar w:fldCharType="begin"/>
                </w:r>
                <w:r>
                  <w:rPr>
                    <w:rFonts w:ascii="Calibri"/>
                    <w:b/>
                    <w:w w:val="100"/>
                    <w:sz w:val="22"/>
                  </w:rPr>
                  <w:instrText> PAGE </w:instrText>
                </w:r>
                <w:r>
                  <w:rPr/>
                  <w:fldChar w:fldCharType="separate"/>
                </w:r>
                <w:r>
                  <w:rPr/>
                  <w:t>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410004pt;margin-top:724.856018pt;width:15.25pt;height:15.35pt;mso-position-horizontal-relative:page;mso-position-vertical-relative:page;z-index:-136504" type="#_x0000_t202" filled="false" stroked="false">
          <v:textbox inset="0,0,0,0">
            <w:txbxContent>
              <w:p>
                <w:pPr>
                  <w:spacing w:before="21"/>
                  <w:ind w:left="40" w:right="0" w:firstLine="0"/>
                  <w:jc w:val="left"/>
                  <w:rPr>
                    <w:rFonts w:ascii="Calibri"/>
                    <w:b/>
                    <w:sz w:val="22"/>
                  </w:rPr>
                </w:pPr>
                <w:r>
                  <w:rPr/>
                  <w:fldChar w:fldCharType="begin"/>
                </w:r>
                <w:r>
                  <w:rPr>
                    <w:rFonts w:ascii="Calibri"/>
                    <w:b/>
                    <w:sz w:val="22"/>
                  </w:rPr>
                  <w:instrText> PAGE </w:instrText>
                </w:r>
                <w:r>
                  <w:rPr/>
                  <w:fldChar w:fldCharType="separate"/>
                </w:r>
                <w:r>
                  <w:rPr/>
                  <w:t>11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4"/>
      <w:numFmt w:val="decimal"/>
      <w:lvlText w:val="%1."/>
      <w:lvlJc w:val="left"/>
      <w:pPr>
        <w:ind w:left="102" w:hanging="151"/>
        <w:jc w:val="left"/>
      </w:pPr>
      <w:rPr>
        <w:rFonts w:hint="default" w:ascii="Georgia" w:hAnsi="Georgia" w:eastAsia="Georgia" w:cs="Georgia"/>
        <w:spacing w:val="-1"/>
        <w:w w:val="100"/>
        <w:sz w:val="18"/>
        <w:szCs w:val="18"/>
      </w:rPr>
    </w:lvl>
    <w:lvl w:ilvl="1">
      <w:start w:val="1"/>
      <w:numFmt w:val="bullet"/>
      <w:lvlText w:val="•"/>
      <w:lvlJc w:val="left"/>
      <w:pPr>
        <w:ind w:left="996" w:hanging="151"/>
      </w:pPr>
      <w:rPr>
        <w:rFonts w:hint="default"/>
      </w:rPr>
    </w:lvl>
    <w:lvl w:ilvl="2">
      <w:start w:val="1"/>
      <w:numFmt w:val="bullet"/>
      <w:lvlText w:val="•"/>
      <w:lvlJc w:val="left"/>
      <w:pPr>
        <w:ind w:left="1892" w:hanging="151"/>
      </w:pPr>
      <w:rPr>
        <w:rFonts w:hint="default"/>
      </w:rPr>
    </w:lvl>
    <w:lvl w:ilvl="3">
      <w:start w:val="1"/>
      <w:numFmt w:val="bullet"/>
      <w:lvlText w:val="•"/>
      <w:lvlJc w:val="left"/>
      <w:pPr>
        <w:ind w:left="2788" w:hanging="151"/>
      </w:pPr>
      <w:rPr>
        <w:rFonts w:hint="default"/>
      </w:rPr>
    </w:lvl>
    <w:lvl w:ilvl="4">
      <w:start w:val="1"/>
      <w:numFmt w:val="bullet"/>
      <w:lvlText w:val="•"/>
      <w:lvlJc w:val="left"/>
      <w:pPr>
        <w:ind w:left="3684" w:hanging="151"/>
      </w:pPr>
      <w:rPr>
        <w:rFonts w:hint="default"/>
      </w:rPr>
    </w:lvl>
    <w:lvl w:ilvl="5">
      <w:start w:val="1"/>
      <w:numFmt w:val="bullet"/>
      <w:lvlText w:val="•"/>
      <w:lvlJc w:val="left"/>
      <w:pPr>
        <w:ind w:left="4580" w:hanging="151"/>
      </w:pPr>
      <w:rPr>
        <w:rFonts w:hint="default"/>
      </w:rPr>
    </w:lvl>
    <w:lvl w:ilvl="6">
      <w:start w:val="1"/>
      <w:numFmt w:val="bullet"/>
      <w:lvlText w:val="•"/>
      <w:lvlJc w:val="left"/>
      <w:pPr>
        <w:ind w:left="5476" w:hanging="151"/>
      </w:pPr>
      <w:rPr>
        <w:rFonts w:hint="default"/>
      </w:rPr>
    </w:lvl>
    <w:lvl w:ilvl="7">
      <w:start w:val="1"/>
      <w:numFmt w:val="bullet"/>
      <w:lvlText w:val="•"/>
      <w:lvlJc w:val="left"/>
      <w:pPr>
        <w:ind w:left="6372" w:hanging="151"/>
      </w:pPr>
      <w:rPr>
        <w:rFonts w:hint="default"/>
      </w:rPr>
    </w:lvl>
    <w:lvl w:ilvl="8">
      <w:start w:val="1"/>
      <w:numFmt w:val="bullet"/>
      <w:lvlText w:val="•"/>
      <w:lvlJc w:val="left"/>
      <w:pPr>
        <w:ind w:left="7268" w:hanging="151"/>
      </w:pPr>
      <w:rPr>
        <w:rFonts w:hint="default"/>
      </w:rPr>
    </w:lvl>
  </w:abstractNum>
  <w:abstractNum w:abstractNumId="32">
    <w:multiLevelType w:val="hybridMultilevel"/>
    <w:lvl w:ilvl="0">
      <w:start w:val="1"/>
      <w:numFmt w:val="decimal"/>
      <w:lvlText w:val="%1."/>
      <w:lvlJc w:val="left"/>
      <w:pPr>
        <w:ind w:left="102" w:hanging="171"/>
        <w:jc w:val="left"/>
      </w:pPr>
      <w:rPr>
        <w:rFonts w:hint="default" w:ascii="Georgia" w:hAnsi="Georgia" w:eastAsia="Georgia" w:cs="Georgia"/>
        <w:spacing w:val="-1"/>
        <w:w w:val="100"/>
        <w:sz w:val="18"/>
        <w:szCs w:val="18"/>
      </w:rPr>
    </w:lvl>
    <w:lvl w:ilvl="1">
      <w:start w:val="1"/>
      <w:numFmt w:val="bullet"/>
      <w:lvlText w:val="•"/>
      <w:lvlJc w:val="left"/>
      <w:pPr>
        <w:ind w:left="996" w:hanging="171"/>
      </w:pPr>
      <w:rPr>
        <w:rFonts w:hint="default"/>
      </w:rPr>
    </w:lvl>
    <w:lvl w:ilvl="2">
      <w:start w:val="1"/>
      <w:numFmt w:val="bullet"/>
      <w:lvlText w:val="•"/>
      <w:lvlJc w:val="left"/>
      <w:pPr>
        <w:ind w:left="1892" w:hanging="171"/>
      </w:pPr>
      <w:rPr>
        <w:rFonts w:hint="default"/>
      </w:rPr>
    </w:lvl>
    <w:lvl w:ilvl="3">
      <w:start w:val="1"/>
      <w:numFmt w:val="bullet"/>
      <w:lvlText w:val="•"/>
      <w:lvlJc w:val="left"/>
      <w:pPr>
        <w:ind w:left="2788" w:hanging="171"/>
      </w:pPr>
      <w:rPr>
        <w:rFonts w:hint="default"/>
      </w:rPr>
    </w:lvl>
    <w:lvl w:ilvl="4">
      <w:start w:val="1"/>
      <w:numFmt w:val="bullet"/>
      <w:lvlText w:val="•"/>
      <w:lvlJc w:val="left"/>
      <w:pPr>
        <w:ind w:left="3684" w:hanging="171"/>
      </w:pPr>
      <w:rPr>
        <w:rFonts w:hint="default"/>
      </w:rPr>
    </w:lvl>
    <w:lvl w:ilvl="5">
      <w:start w:val="1"/>
      <w:numFmt w:val="bullet"/>
      <w:lvlText w:val="•"/>
      <w:lvlJc w:val="left"/>
      <w:pPr>
        <w:ind w:left="4580" w:hanging="171"/>
      </w:pPr>
      <w:rPr>
        <w:rFonts w:hint="default"/>
      </w:rPr>
    </w:lvl>
    <w:lvl w:ilvl="6">
      <w:start w:val="1"/>
      <w:numFmt w:val="bullet"/>
      <w:lvlText w:val="•"/>
      <w:lvlJc w:val="left"/>
      <w:pPr>
        <w:ind w:left="5476" w:hanging="171"/>
      </w:pPr>
      <w:rPr>
        <w:rFonts w:hint="default"/>
      </w:rPr>
    </w:lvl>
    <w:lvl w:ilvl="7">
      <w:start w:val="1"/>
      <w:numFmt w:val="bullet"/>
      <w:lvlText w:val="•"/>
      <w:lvlJc w:val="left"/>
      <w:pPr>
        <w:ind w:left="6372" w:hanging="171"/>
      </w:pPr>
      <w:rPr>
        <w:rFonts w:hint="default"/>
      </w:rPr>
    </w:lvl>
    <w:lvl w:ilvl="8">
      <w:start w:val="1"/>
      <w:numFmt w:val="bullet"/>
      <w:lvlText w:val="•"/>
      <w:lvlJc w:val="left"/>
      <w:pPr>
        <w:ind w:left="7268" w:hanging="171"/>
      </w:pPr>
      <w:rPr>
        <w:rFonts w:hint="default"/>
      </w:rPr>
    </w:lvl>
  </w:abstractNum>
  <w:abstractNum w:abstractNumId="31">
    <w:multiLevelType w:val="hybridMultilevel"/>
    <w:lvl w:ilvl="0">
      <w:start w:val="144"/>
      <w:numFmt w:val="decimal"/>
      <w:lvlText w:val="%1."/>
      <w:lvlJc w:val="left"/>
      <w:pPr>
        <w:ind w:left="102" w:hanging="449"/>
        <w:jc w:val="left"/>
      </w:pPr>
      <w:rPr>
        <w:rFonts w:hint="default" w:ascii="Arial" w:hAnsi="Arial" w:eastAsia="Arial" w:cs="Arial"/>
        <w:spacing w:val="-1"/>
        <w:w w:val="100"/>
        <w:sz w:val="16"/>
        <w:szCs w:val="16"/>
      </w:rPr>
    </w:lvl>
    <w:lvl w:ilvl="1">
      <w:start w:val="1"/>
      <w:numFmt w:val="bullet"/>
      <w:lvlText w:val="•"/>
      <w:lvlJc w:val="left"/>
      <w:pPr>
        <w:ind w:left="507" w:hanging="449"/>
      </w:pPr>
      <w:rPr>
        <w:rFonts w:hint="default"/>
      </w:rPr>
    </w:lvl>
    <w:lvl w:ilvl="2">
      <w:start w:val="1"/>
      <w:numFmt w:val="bullet"/>
      <w:lvlText w:val="•"/>
      <w:lvlJc w:val="left"/>
      <w:pPr>
        <w:ind w:left="914" w:hanging="449"/>
      </w:pPr>
      <w:rPr>
        <w:rFonts w:hint="default"/>
      </w:rPr>
    </w:lvl>
    <w:lvl w:ilvl="3">
      <w:start w:val="1"/>
      <w:numFmt w:val="bullet"/>
      <w:lvlText w:val="•"/>
      <w:lvlJc w:val="left"/>
      <w:pPr>
        <w:ind w:left="1321" w:hanging="449"/>
      </w:pPr>
      <w:rPr>
        <w:rFonts w:hint="default"/>
      </w:rPr>
    </w:lvl>
    <w:lvl w:ilvl="4">
      <w:start w:val="1"/>
      <w:numFmt w:val="bullet"/>
      <w:lvlText w:val="•"/>
      <w:lvlJc w:val="left"/>
      <w:pPr>
        <w:ind w:left="1728" w:hanging="449"/>
      </w:pPr>
      <w:rPr>
        <w:rFonts w:hint="default"/>
      </w:rPr>
    </w:lvl>
    <w:lvl w:ilvl="5">
      <w:start w:val="1"/>
      <w:numFmt w:val="bullet"/>
      <w:lvlText w:val="•"/>
      <w:lvlJc w:val="left"/>
      <w:pPr>
        <w:ind w:left="2135" w:hanging="449"/>
      </w:pPr>
      <w:rPr>
        <w:rFonts w:hint="default"/>
      </w:rPr>
    </w:lvl>
    <w:lvl w:ilvl="6">
      <w:start w:val="1"/>
      <w:numFmt w:val="bullet"/>
      <w:lvlText w:val="•"/>
      <w:lvlJc w:val="left"/>
      <w:pPr>
        <w:ind w:left="2542" w:hanging="449"/>
      </w:pPr>
      <w:rPr>
        <w:rFonts w:hint="default"/>
      </w:rPr>
    </w:lvl>
    <w:lvl w:ilvl="7">
      <w:start w:val="1"/>
      <w:numFmt w:val="bullet"/>
      <w:lvlText w:val="•"/>
      <w:lvlJc w:val="left"/>
      <w:pPr>
        <w:ind w:left="2949" w:hanging="449"/>
      </w:pPr>
      <w:rPr>
        <w:rFonts w:hint="default"/>
      </w:rPr>
    </w:lvl>
    <w:lvl w:ilvl="8">
      <w:start w:val="1"/>
      <w:numFmt w:val="bullet"/>
      <w:lvlText w:val="•"/>
      <w:lvlJc w:val="left"/>
      <w:pPr>
        <w:ind w:left="3357" w:hanging="449"/>
      </w:pPr>
      <w:rPr>
        <w:rFonts w:hint="default"/>
      </w:rPr>
    </w:lvl>
  </w:abstractNum>
  <w:abstractNum w:abstractNumId="30">
    <w:multiLevelType w:val="hybridMultilevel"/>
    <w:lvl w:ilvl="0">
      <w:start w:val="138"/>
      <w:numFmt w:val="decimal"/>
      <w:lvlText w:val="%1."/>
      <w:lvlJc w:val="left"/>
      <w:pPr>
        <w:ind w:left="102" w:hanging="382"/>
        <w:jc w:val="left"/>
      </w:pPr>
      <w:rPr>
        <w:rFonts w:hint="default" w:ascii="Arial" w:hAnsi="Arial" w:eastAsia="Arial" w:cs="Arial"/>
        <w:spacing w:val="-1"/>
        <w:w w:val="100"/>
        <w:sz w:val="16"/>
        <w:szCs w:val="16"/>
      </w:rPr>
    </w:lvl>
    <w:lvl w:ilvl="1">
      <w:start w:val="1"/>
      <w:numFmt w:val="bullet"/>
      <w:lvlText w:val="•"/>
      <w:lvlJc w:val="left"/>
      <w:pPr>
        <w:ind w:left="518" w:hanging="382"/>
      </w:pPr>
      <w:rPr>
        <w:rFonts w:hint="default"/>
      </w:rPr>
    </w:lvl>
    <w:lvl w:ilvl="2">
      <w:start w:val="1"/>
      <w:numFmt w:val="bullet"/>
      <w:lvlText w:val="•"/>
      <w:lvlJc w:val="left"/>
      <w:pPr>
        <w:ind w:left="937" w:hanging="382"/>
      </w:pPr>
      <w:rPr>
        <w:rFonts w:hint="default"/>
      </w:rPr>
    </w:lvl>
    <w:lvl w:ilvl="3">
      <w:start w:val="1"/>
      <w:numFmt w:val="bullet"/>
      <w:lvlText w:val="•"/>
      <w:lvlJc w:val="left"/>
      <w:pPr>
        <w:ind w:left="1356" w:hanging="382"/>
      </w:pPr>
      <w:rPr>
        <w:rFonts w:hint="default"/>
      </w:rPr>
    </w:lvl>
    <w:lvl w:ilvl="4">
      <w:start w:val="1"/>
      <w:numFmt w:val="bullet"/>
      <w:lvlText w:val="•"/>
      <w:lvlJc w:val="left"/>
      <w:pPr>
        <w:ind w:left="1775" w:hanging="382"/>
      </w:pPr>
      <w:rPr>
        <w:rFonts w:hint="default"/>
      </w:rPr>
    </w:lvl>
    <w:lvl w:ilvl="5">
      <w:start w:val="1"/>
      <w:numFmt w:val="bullet"/>
      <w:lvlText w:val="•"/>
      <w:lvlJc w:val="left"/>
      <w:pPr>
        <w:ind w:left="2193" w:hanging="382"/>
      </w:pPr>
      <w:rPr>
        <w:rFonts w:hint="default"/>
      </w:rPr>
    </w:lvl>
    <w:lvl w:ilvl="6">
      <w:start w:val="1"/>
      <w:numFmt w:val="bullet"/>
      <w:lvlText w:val="•"/>
      <w:lvlJc w:val="left"/>
      <w:pPr>
        <w:ind w:left="2612" w:hanging="382"/>
      </w:pPr>
      <w:rPr>
        <w:rFonts w:hint="default"/>
      </w:rPr>
    </w:lvl>
    <w:lvl w:ilvl="7">
      <w:start w:val="1"/>
      <w:numFmt w:val="bullet"/>
      <w:lvlText w:val="•"/>
      <w:lvlJc w:val="left"/>
      <w:pPr>
        <w:ind w:left="3031" w:hanging="382"/>
      </w:pPr>
      <w:rPr>
        <w:rFonts w:hint="default"/>
      </w:rPr>
    </w:lvl>
    <w:lvl w:ilvl="8">
      <w:start w:val="1"/>
      <w:numFmt w:val="bullet"/>
      <w:lvlText w:val="•"/>
      <w:lvlJc w:val="left"/>
      <w:pPr>
        <w:ind w:left="3450" w:hanging="382"/>
      </w:pPr>
      <w:rPr>
        <w:rFonts w:hint="default"/>
      </w:rPr>
    </w:lvl>
  </w:abstractNum>
  <w:abstractNum w:abstractNumId="29">
    <w:multiLevelType w:val="hybridMultilevel"/>
    <w:lvl w:ilvl="0">
      <w:start w:val="134"/>
      <w:numFmt w:val="decimal"/>
      <w:lvlText w:val="%1."/>
      <w:lvlJc w:val="left"/>
      <w:pPr>
        <w:ind w:left="102" w:hanging="406"/>
        <w:jc w:val="left"/>
      </w:pPr>
      <w:rPr>
        <w:rFonts w:hint="default" w:ascii="Arial" w:hAnsi="Arial" w:eastAsia="Arial" w:cs="Arial"/>
        <w:spacing w:val="-1"/>
        <w:w w:val="100"/>
        <w:sz w:val="16"/>
        <w:szCs w:val="16"/>
      </w:rPr>
    </w:lvl>
    <w:lvl w:ilvl="1">
      <w:start w:val="1"/>
      <w:numFmt w:val="bullet"/>
      <w:lvlText w:val="•"/>
      <w:lvlJc w:val="left"/>
      <w:pPr>
        <w:ind w:left="518" w:hanging="406"/>
      </w:pPr>
      <w:rPr>
        <w:rFonts w:hint="default"/>
      </w:rPr>
    </w:lvl>
    <w:lvl w:ilvl="2">
      <w:start w:val="1"/>
      <w:numFmt w:val="bullet"/>
      <w:lvlText w:val="•"/>
      <w:lvlJc w:val="left"/>
      <w:pPr>
        <w:ind w:left="937" w:hanging="406"/>
      </w:pPr>
      <w:rPr>
        <w:rFonts w:hint="default"/>
      </w:rPr>
    </w:lvl>
    <w:lvl w:ilvl="3">
      <w:start w:val="1"/>
      <w:numFmt w:val="bullet"/>
      <w:lvlText w:val="•"/>
      <w:lvlJc w:val="left"/>
      <w:pPr>
        <w:ind w:left="1356" w:hanging="406"/>
      </w:pPr>
      <w:rPr>
        <w:rFonts w:hint="default"/>
      </w:rPr>
    </w:lvl>
    <w:lvl w:ilvl="4">
      <w:start w:val="1"/>
      <w:numFmt w:val="bullet"/>
      <w:lvlText w:val="•"/>
      <w:lvlJc w:val="left"/>
      <w:pPr>
        <w:ind w:left="1775" w:hanging="406"/>
      </w:pPr>
      <w:rPr>
        <w:rFonts w:hint="default"/>
      </w:rPr>
    </w:lvl>
    <w:lvl w:ilvl="5">
      <w:start w:val="1"/>
      <w:numFmt w:val="bullet"/>
      <w:lvlText w:val="•"/>
      <w:lvlJc w:val="left"/>
      <w:pPr>
        <w:ind w:left="2193" w:hanging="406"/>
      </w:pPr>
      <w:rPr>
        <w:rFonts w:hint="default"/>
      </w:rPr>
    </w:lvl>
    <w:lvl w:ilvl="6">
      <w:start w:val="1"/>
      <w:numFmt w:val="bullet"/>
      <w:lvlText w:val="•"/>
      <w:lvlJc w:val="left"/>
      <w:pPr>
        <w:ind w:left="2612" w:hanging="406"/>
      </w:pPr>
      <w:rPr>
        <w:rFonts w:hint="default"/>
      </w:rPr>
    </w:lvl>
    <w:lvl w:ilvl="7">
      <w:start w:val="1"/>
      <w:numFmt w:val="bullet"/>
      <w:lvlText w:val="•"/>
      <w:lvlJc w:val="left"/>
      <w:pPr>
        <w:ind w:left="3031" w:hanging="406"/>
      </w:pPr>
      <w:rPr>
        <w:rFonts w:hint="default"/>
      </w:rPr>
    </w:lvl>
    <w:lvl w:ilvl="8">
      <w:start w:val="1"/>
      <w:numFmt w:val="bullet"/>
      <w:lvlText w:val="•"/>
      <w:lvlJc w:val="left"/>
      <w:pPr>
        <w:ind w:left="3450" w:hanging="406"/>
      </w:pPr>
      <w:rPr>
        <w:rFonts w:hint="default"/>
      </w:rPr>
    </w:lvl>
  </w:abstractNum>
  <w:abstractNum w:abstractNumId="28">
    <w:multiLevelType w:val="hybridMultilevel"/>
    <w:lvl w:ilvl="0">
      <w:start w:val="131"/>
      <w:numFmt w:val="decimal"/>
      <w:lvlText w:val="%1"/>
      <w:lvlJc w:val="left"/>
      <w:pPr>
        <w:ind w:left="102" w:hanging="502"/>
        <w:jc w:val="left"/>
      </w:pPr>
      <w:rPr>
        <w:rFonts w:hint="default" w:ascii="Arial" w:hAnsi="Arial" w:eastAsia="Arial" w:cs="Arial"/>
        <w:spacing w:val="-1"/>
        <w:w w:val="100"/>
        <w:sz w:val="16"/>
        <w:szCs w:val="16"/>
      </w:rPr>
    </w:lvl>
    <w:lvl w:ilvl="1">
      <w:start w:val="1"/>
      <w:numFmt w:val="bullet"/>
      <w:lvlText w:val="•"/>
      <w:lvlJc w:val="left"/>
      <w:pPr>
        <w:ind w:left="518" w:hanging="502"/>
      </w:pPr>
      <w:rPr>
        <w:rFonts w:hint="default"/>
      </w:rPr>
    </w:lvl>
    <w:lvl w:ilvl="2">
      <w:start w:val="1"/>
      <w:numFmt w:val="bullet"/>
      <w:lvlText w:val="•"/>
      <w:lvlJc w:val="left"/>
      <w:pPr>
        <w:ind w:left="937" w:hanging="502"/>
      </w:pPr>
      <w:rPr>
        <w:rFonts w:hint="default"/>
      </w:rPr>
    </w:lvl>
    <w:lvl w:ilvl="3">
      <w:start w:val="1"/>
      <w:numFmt w:val="bullet"/>
      <w:lvlText w:val="•"/>
      <w:lvlJc w:val="left"/>
      <w:pPr>
        <w:ind w:left="1356" w:hanging="502"/>
      </w:pPr>
      <w:rPr>
        <w:rFonts w:hint="default"/>
      </w:rPr>
    </w:lvl>
    <w:lvl w:ilvl="4">
      <w:start w:val="1"/>
      <w:numFmt w:val="bullet"/>
      <w:lvlText w:val="•"/>
      <w:lvlJc w:val="left"/>
      <w:pPr>
        <w:ind w:left="1775" w:hanging="502"/>
      </w:pPr>
      <w:rPr>
        <w:rFonts w:hint="default"/>
      </w:rPr>
    </w:lvl>
    <w:lvl w:ilvl="5">
      <w:start w:val="1"/>
      <w:numFmt w:val="bullet"/>
      <w:lvlText w:val="•"/>
      <w:lvlJc w:val="left"/>
      <w:pPr>
        <w:ind w:left="2193" w:hanging="502"/>
      </w:pPr>
      <w:rPr>
        <w:rFonts w:hint="default"/>
      </w:rPr>
    </w:lvl>
    <w:lvl w:ilvl="6">
      <w:start w:val="1"/>
      <w:numFmt w:val="bullet"/>
      <w:lvlText w:val="•"/>
      <w:lvlJc w:val="left"/>
      <w:pPr>
        <w:ind w:left="2612" w:hanging="502"/>
      </w:pPr>
      <w:rPr>
        <w:rFonts w:hint="default"/>
      </w:rPr>
    </w:lvl>
    <w:lvl w:ilvl="7">
      <w:start w:val="1"/>
      <w:numFmt w:val="bullet"/>
      <w:lvlText w:val="•"/>
      <w:lvlJc w:val="left"/>
      <w:pPr>
        <w:ind w:left="3031" w:hanging="502"/>
      </w:pPr>
      <w:rPr>
        <w:rFonts w:hint="default"/>
      </w:rPr>
    </w:lvl>
    <w:lvl w:ilvl="8">
      <w:start w:val="1"/>
      <w:numFmt w:val="bullet"/>
      <w:lvlText w:val="•"/>
      <w:lvlJc w:val="left"/>
      <w:pPr>
        <w:ind w:left="3450" w:hanging="502"/>
      </w:pPr>
      <w:rPr>
        <w:rFonts w:hint="default"/>
      </w:rPr>
    </w:lvl>
  </w:abstractNum>
  <w:abstractNum w:abstractNumId="27">
    <w:multiLevelType w:val="hybridMultilevel"/>
    <w:lvl w:ilvl="0">
      <w:start w:val="130"/>
      <w:numFmt w:val="decimal"/>
      <w:lvlText w:val="%1"/>
      <w:lvlJc w:val="left"/>
      <w:pPr>
        <w:ind w:left="102" w:hanging="368"/>
        <w:jc w:val="left"/>
      </w:pPr>
      <w:rPr>
        <w:rFonts w:hint="default" w:ascii="Arial" w:hAnsi="Arial" w:eastAsia="Arial" w:cs="Arial"/>
        <w:spacing w:val="-1"/>
        <w:w w:val="100"/>
        <w:sz w:val="16"/>
        <w:szCs w:val="16"/>
      </w:rPr>
    </w:lvl>
    <w:lvl w:ilvl="1">
      <w:start w:val="1"/>
      <w:numFmt w:val="bullet"/>
      <w:lvlText w:val="•"/>
      <w:lvlJc w:val="left"/>
      <w:pPr>
        <w:ind w:left="507" w:hanging="368"/>
      </w:pPr>
      <w:rPr>
        <w:rFonts w:hint="default"/>
      </w:rPr>
    </w:lvl>
    <w:lvl w:ilvl="2">
      <w:start w:val="1"/>
      <w:numFmt w:val="bullet"/>
      <w:lvlText w:val="•"/>
      <w:lvlJc w:val="left"/>
      <w:pPr>
        <w:ind w:left="914" w:hanging="368"/>
      </w:pPr>
      <w:rPr>
        <w:rFonts w:hint="default"/>
      </w:rPr>
    </w:lvl>
    <w:lvl w:ilvl="3">
      <w:start w:val="1"/>
      <w:numFmt w:val="bullet"/>
      <w:lvlText w:val="•"/>
      <w:lvlJc w:val="left"/>
      <w:pPr>
        <w:ind w:left="1321" w:hanging="368"/>
      </w:pPr>
      <w:rPr>
        <w:rFonts w:hint="default"/>
      </w:rPr>
    </w:lvl>
    <w:lvl w:ilvl="4">
      <w:start w:val="1"/>
      <w:numFmt w:val="bullet"/>
      <w:lvlText w:val="•"/>
      <w:lvlJc w:val="left"/>
      <w:pPr>
        <w:ind w:left="1728" w:hanging="368"/>
      </w:pPr>
      <w:rPr>
        <w:rFonts w:hint="default"/>
      </w:rPr>
    </w:lvl>
    <w:lvl w:ilvl="5">
      <w:start w:val="1"/>
      <w:numFmt w:val="bullet"/>
      <w:lvlText w:val="•"/>
      <w:lvlJc w:val="left"/>
      <w:pPr>
        <w:ind w:left="2135" w:hanging="368"/>
      </w:pPr>
      <w:rPr>
        <w:rFonts w:hint="default"/>
      </w:rPr>
    </w:lvl>
    <w:lvl w:ilvl="6">
      <w:start w:val="1"/>
      <w:numFmt w:val="bullet"/>
      <w:lvlText w:val="•"/>
      <w:lvlJc w:val="left"/>
      <w:pPr>
        <w:ind w:left="2542" w:hanging="368"/>
      </w:pPr>
      <w:rPr>
        <w:rFonts w:hint="default"/>
      </w:rPr>
    </w:lvl>
    <w:lvl w:ilvl="7">
      <w:start w:val="1"/>
      <w:numFmt w:val="bullet"/>
      <w:lvlText w:val="•"/>
      <w:lvlJc w:val="left"/>
      <w:pPr>
        <w:ind w:left="2949" w:hanging="368"/>
      </w:pPr>
      <w:rPr>
        <w:rFonts w:hint="default"/>
      </w:rPr>
    </w:lvl>
    <w:lvl w:ilvl="8">
      <w:start w:val="1"/>
      <w:numFmt w:val="bullet"/>
      <w:lvlText w:val="•"/>
      <w:lvlJc w:val="left"/>
      <w:pPr>
        <w:ind w:left="3356" w:hanging="368"/>
      </w:pPr>
      <w:rPr>
        <w:rFonts w:hint="default"/>
      </w:rPr>
    </w:lvl>
  </w:abstractNum>
  <w:abstractNum w:abstractNumId="26">
    <w:multiLevelType w:val="hybridMultilevel"/>
    <w:lvl w:ilvl="0">
      <w:start w:val="126"/>
      <w:numFmt w:val="decimal"/>
      <w:lvlText w:val="%1"/>
      <w:lvlJc w:val="left"/>
      <w:pPr>
        <w:ind w:left="102" w:hanging="428"/>
        <w:jc w:val="left"/>
      </w:pPr>
      <w:rPr>
        <w:rFonts w:hint="default" w:ascii="Arial" w:hAnsi="Arial" w:eastAsia="Arial" w:cs="Arial"/>
        <w:spacing w:val="-1"/>
        <w:w w:val="100"/>
        <w:sz w:val="16"/>
        <w:szCs w:val="16"/>
      </w:rPr>
    </w:lvl>
    <w:lvl w:ilvl="1">
      <w:start w:val="1"/>
      <w:numFmt w:val="bullet"/>
      <w:lvlText w:val="•"/>
      <w:lvlJc w:val="left"/>
      <w:pPr>
        <w:ind w:left="507" w:hanging="428"/>
      </w:pPr>
      <w:rPr>
        <w:rFonts w:hint="default"/>
      </w:rPr>
    </w:lvl>
    <w:lvl w:ilvl="2">
      <w:start w:val="1"/>
      <w:numFmt w:val="bullet"/>
      <w:lvlText w:val="•"/>
      <w:lvlJc w:val="left"/>
      <w:pPr>
        <w:ind w:left="914" w:hanging="428"/>
      </w:pPr>
      <w:rPr>
        <w:rFonts w:hint="default"/>
      </w:rPr>
    </w:lvl>
    <w:lvl w:ilvl="3">
      <w:start w:val="1"/>
      <w:numFmt w:val="bullet"/>
      <w:lvlText w:val="•"/>
      <w:lvlJc w:val="left"/>
      <w:pPr>
        <w:ind w:left="1321" w:hanging="428"/>
      </w:pPr>
      <w:rPr>
        <w:rFonts w:hint="default"/>
      </w:rPr>
    </w:lvl>
    <w:lvl w:ilvl="4">
      <w:start w:val="1"/>
      <w:numFmt w:val="bullet"/>
      <w:lvlText w:val="•"/>
      <w:lvlJc w:val="left"/>
      <w:pPr>
        <w:ind w:left="1728" w:hanging="428"/>
      </w:pPr>
      <w:rPr>
        <w:rFonts w:hint="default"/>
      </w:rPr>
    </w:lvl>
    <w:lvl w:ilvl="5">
      <w:start w:val="1"/>
      <w:numFmt w:val="bullet"/>
      <w:lvlText w:val="•"/>
      <w:lvlJc w:val="left"/>
      <w:pPr>
        <w:ind w:left="2135" w:hanging="428"/>
      </w:pPr>
      <w:rPr>
        <w:rFonts w:hint="default"/>
      </w:rPr>
    </w:lvl>
    <w:lvl w:ilvl="6">
      <w:start w:val="1"/>
      <w:numFmt w:val="bullet"/>
      <w:lvlText w:val="•"/>
      <w:lvlJc w:val="left"/>
      <w:pPr>
        <w:ind w:left="2542" w:hanging="428"/>
      </w:pPr>
      <w:rPr>
        <w:rFonts w:hint="default"/>
      </w:rPr>
    </w:lvl>
    <w:lvl w:ilvl="7">
      <w:start w:val="1"/>
      <w:numFmt w:val="bullet"/>
      <w:lvlText w:val="•"/>
      <w:lvlJc w:val="left"/>
      <w:pPr>
        <w:ind w:left="2949" w:hanging="428"/>
      </w:pPr>
      <w:rPr>
        <w:rFonts w:hint="default"/>
      </w:rPr>
    </w:lvl>
    <w:lvl w:ilvl="8">
      <w:start w:val="1"/>
      <w:numFmt w:val="bullet"/>
      <w:lvlText w:val="•"/>
      <w:lvlJc w:val="left"/>
      <w:pPr>
        <w:ind w:left="3356" w:hanging="428"/>
      </w:pPr>
      <w:rPr>
        <w:rFonts w:hint="default"/>
      </w:rPr>
    </w:lvl>
  </w:abstractNum>
  <w:abstractNum w:abstractNumId="25">
    <w:multiLevelType w:val="hybridMultilevel"/>
    <w:lvl w:ilvl="0">
      <w:start w:val="124"/>
      <w:numFmt w:val="decimal"/>
      <w:lvlText w:val="%1."/>
      <w:lvlJc w:val="left"/>
      <w:pPr>
        <w:ind w:left="102" w:hanging="452"/>
        <w:jc w:val="left"/>
      </w:pPr>
      <w:rPr>
        <w:rFonts w:hint="default" w:ascii="Arial" w:hAnsi="Arial" w:eastAsia="Arial" w:cs="Arial"/>
        <w:spacing w:val="-1"/>
        <w:w w:val="100"/>
        <w:sz w:val="16"/>
        <w:szCs w:val="16"/>
      </w:rPr>
    </w:lvl>
    <w:lvl w:ilvl="1">
      <w:start w:val="1"/>
      <w:numFmt w:val="bullet"/>
      <w:lvlText w:val="•"/>
      <w:lvlJc w:val="left"/>
      <w:pPr>
        <w:ind w:left="507" w:hanging="452"/>
      </w:pPr>
      <w:rPr>
        <w:rFonts w:hint="default"/>
      </w:rPr>
    </w:lvl>
    <w:lvl w:ilvl="2">
      <w:start w:val="1"/>
      <w:numFmt w:val="bullet"/>
      <w:lvlText w:val="•"/>
      <w:lvlJc w:val="left"/>
      <w:pPr>
        <w:ind w:left="914" w:hanging="452"/>
      </w:pPr>
      <w:rPr>
        <w:rFonts w:hint="default"/>
      </w:rPr>
    </w:lvl>
    <w:lvl w:ilvl="3">
      <w:start w:val="1"/>
      <w:numFmt w:val="bullet"/>
      <w:lvlText w:val="•"/>
      <w:lvlJc w:val="left"/>
      <w:pPr>
        <w:ind w:left="1321" w:hanging="452"/>
      </w:pPr>
      <w:rPr>
        <w:rFonts w:hint="default"/>
      </w:rPr>
    </w:lvl>
    <w:lvl w:ilvl="4">
      <w:start w:val="1"/>
      <w:numFmt w:val="bullet"/>
      <w:lvlText w:val="•"/>
      <w:lvlJc w:val="left"/>
      <w:pPr>
        <w:ind w:left="1728" w:hanging="452"/>
      </w:pPr>
      <w:rPr>
        <w:rFonts w:hint="default"/>
      </w:rPr>
    </w:lvl>
    <w:lvl w:ilvl="5">
      <w:start w:val="1"/>
      <w:numFmt w:val="bullet"/>
      <w:lvlText w:val="•"/>
      <w:lvlJc w:val="left"/>
      <w:pPr>
        <w:ind w:left="2135" w:hanging="452"/>
      </w:pPr>
      <w:rPr>
        <w:rFonts w:hint="default"/>
      </w:rPr>
    </w:lvl>
    <w:lvl w:ilvl="6">
      <w:start w:val="1"/>
      <w:numFmt w:val="bullet"/>
      <w:lvlText w:val="•"/>
      <w:lvlJc w:val="left"/>
      <w:pPr>
        <w:ind w:left="2542" w:hanging="452"/>
      </w:pPr>
      <w:rPr>
        <w:rFonts w:hint="default"/>
      </w:rPr>
    </w:lvl>
    <w:lvl w:ilvl="7">
      <w:start w:val="1"/>
      <w:numFmt w:val="bullet"/>
      <w:lvlText w:val="•"/>
      <w:lvlJc w:val="left"/>
      <w:pPr>
        <w:ind w:left="2949" w:hanging="452"/>
      </w:pPr>
      <w:rPr>
        <w:rFonts w:hint="default"/>
      </w:rPr>
    </w:lvl>
    <w:lvl w:ilvl="8">
      <w:start w:val="1"/>
      <w:numFmt w:val="bullet"/>
      <w:lvlText w:val="•"/>
      <w:lvlJc w:val="left"/>
      <w:pPr>
        <w:ind w:left="3356" w:hanging="452"/>
      </w:pPr>
      <w:rPr>
        <w:rFonts w:hint="default"/>
      </w:rPr>
    </w:lvl>
  </w:abstractNum>
  <w:abstractNum w:abstractNumId="24">
    <w:multiLevelType w:val="hybridMultilevel"/>
    <w:lvl w:ilvl="0">
      <w:start w:val="120"/>
      <w:numFmt w:val="decimal"/>
      <w:lvlText w:val="%1."/>
      <w:lvlJc w:val="left"/>
      <w:pPr>
        <w:ind w:left="102" w:hanging="394"/>
        <w:jc w:val="left"/>
      </w:pPr>
      <w:rPr>
        <w:rFonts w:hint="default" w:ascii="Arial" w:hAnsi="Arial" w:eastAsia="Arial" w:cs="Arial"/>
        <w:spacing w:val="-1"/>
        <w:w w:val="100"/>
        <w:sz w:val="16"/>
        <w:szCs w:val="16"/>
      </w:rPr>
    </w:lvl>
    <w:lvl w:ilvl="1">
      <w:start w:val="1"/>
      <w:numFmt w:val="bullet"/>
      <w:lvlText w:val="•"/>
      <w:lvlJc w:val="left"/>
      <w:pPr>
        <w:ind w:left="518" w:hanging="394"/>
      </w:pPr>
      <w:rPr>
        <w:rFonts w:hint="default"/>
      </w:rPr>
    </w:lvl>
    <w:lvl w:ilvl="2">
      <w:start w:val="1"/>
      <w:numFmt w:val="bullet"/>
      <w:lvlText w:val="•"/>
      <w:lvlJc w:val="left"/>
      <w:pPr>
        <w:ind w:left="937" w:hanging="394"/>
      </w:pPr>
      <w:rPr>
        <w:rFonts w:hint="default"/>
      </w:rPr>
    </w:lvl>
    <w:lvl w:ilvl="3">
      <w:start w:val="1"/>
      <w:numFmt w:val="bullet"/>
      <w:lvlText w:val="•"/>
      <w:lvlJc w:val="left"/>
      <w:pPr>
        <w:ind w:left="1356" w:hanging="394"/>
      </w:pPr>
      <w:rPr>
        <w:rFonts w:hint="default"/>
      </w:rPr>
    </w:lvl>
    <w:lvl w:ilvl="4">
      <w:start w:val="1"/>
      <w:numFmt w:val="bullet"/>
      <w:lvlText w:val="•"/>
      <w:lvlJc w:val="left"/>
      <w:pPr>
        <w:ind w:left="1775" w:hanging="394"/>
      </w:pPr>
      <w:rPr>
        <w:rFonts w:hint="default"/>
      </w:rPr>
    </w:lvl>
    <w:lvl w:ilvl="5">
      <w:start w:val="1"/>
      <w:numFmt w:val="bullet"/>
      <w:lvlText w:val="•"/>
      <w:lvlJc w:val="left"/>
      <w:pPr>
        <w:ind w:left="2193" w:hanging="394"/>
      </w:pPr>
      <w:rPr>
        <w:rFonts w:hint="default"/>
      </w:rPr>
    </w:lvl>
    <w:lvl w:ilvl="6">
      <w:start w:val="1"/>
      <w:numFmt w:val="bullet"/>
      <w:lvlText w:val="•"/>
      <w:lvlJc w:val="left"/>
      <w:pPr>
        <w:ind w:left="2612" w:hanging="394"/>
      </w:pPr>
      <w:rPr>
        <w:rFonts w:hint="default"/>
      </w:rPr>
    </w:lvl>
    <w:lvl w:ilvl="7">
      <w:start w:val="1"/>
      <w:numFmt w:val="bullet"/>
      <w:lvlText w:val="•"/>
      <w:lvlJc w:val="left"/>
      <w:pPr>
        <w:ind w:left="3031" w:hanging="394"/>
      </w:pPr>
      <w:rPr>
        <w:rFonts w:hint="default"/>
      </w:rPr>
    </w:lvl>
    <w:lvl w:ilvl="8">
      <w:start w:val="1"/>
      <w:numFmt w:val="bullet"/>
      <w:lvlText w:val="•"/>
      <w:lvlJc w:val="left"/>
      <w:pPr>
        <w:ind w:left="3450" w:hanging="394"/>
      </w:pPr>
      <w:rPr>
        <w:rFonts w:hint="default"/>
      </w:rPr>
    </w:lvl>
  </w:abstractNum>
  <w:abstractNum w:abstractNumId="23">
    <w:multiLevelType w:val="hybridMultilevel"/>
    <w:lvl w:ilvl="0">
      <w:start w:val="114"/>
      <w:numFmt w:val="decimal"/>
      <w:lvlText w:val="%1"/>
      <w:lvlJc w:val="left"/>
      <w:pPr>
        <w:ind w:left="102" w:hanging="360"/>
        <w:jc w:val="left"/>
      </w:pPr>
      <w:rPr>
        <w:rFonts w:hint="default" w:ascii="Arial" w:hAnsi="Arial" w:eastAsia="Arial" w:cs="Arial"/>
        <w:spacing w:val="-1"/>
        <w:w w:val="100"/>
        <w:sz w:val="16"/>
        <w:szCs w:val="16"/>
      </w:rPr>
    </w:lvl>
    <w:lvl w:ilvl="1">
      <w:start w:val="1"/>
      <w:numFmt w:val="bullet"/>
      <w:lvlText w:val="•"/>
      <w:lvlJc w:val="left"/>
      <w:pPr>
        <w:ind w:left="518" w:hanging="360"/>
      </w:pPr>
      <w:rPr>
        <w:rFonts w:hint="default"/>
      </w:rPr>
    </w:lvl>
    <w:lvl w:ilvl="2">
      <w:start w:val="1"/>
      <w:numFmt w:val="bullet"/>
      <w:lvlText w:val="•"/>
      <w:lvlJc w:val="left"/>
      <w:pPr>
        <w:ind w:left="937" w:hanging="360"/>
      </w:pPr>
      <w:rPr>
        <w:rFonts w:hint="default"/>
      </w:rPr>
    </w:lvl>
    <w:lvl w:ilvl="3">
      <w:start w:val="1"/>
      <w:numFmt w:val="bullet"/>
      <w:lvlText w:val="•"/>
      <w:lvlJc w:val="left"/>
      <w:pPr>
        <w:ind w:left="1356" w:hanging="360"/>
      </w:pPr>
      <w:rPr>
        <w:rFonts w:hint="default"/>
      </w:rPr>
    </w:lvl>
    <w:lvl w:ilvl="4">
      <w:start w:val="1"/>
      <w:numFmt w:val="bullet"/>
      <w:lvlText w:val="•"/>
      <w:lvlJc w:val="left"/>
      <w:pPr>
        <w:ind w:left="1775" w:hanging="360"/>
      </w:pPr>
      <w:rPr>
        <w:rFonts w:hint="default"/>
      </w:rPr>
    </w:lvl>
    <w:lvl w:ilvl="5">
      <w:start w:val="1"/>
      <w:numFmt w:val="bullet"/>
      <w:lvlText w:val="•"/>
      <w:lvlJc w:val="left"/>
      <w:pPr>
        <w:ind w:left="2193" w:hanging="360"/>
      </w:pPr>
      <w:rPr>
        <w:rFonts w:hint="default"/>
      </w:rPr>
    </w:lvl>
    <w:lvl w:ilvl="6">
      <w:start w:val="1"/>
      <w:numFmt w:val="bullet"/>
      <w:lvlText w:val="•"/>
      <w:lvlJc w:val="left"/>
      <w:pPr>
        <w:ind w:left="2612" w:hanging="360"/>
      </w:pPr>
      <w:rPr>
        <w:rFonts w:hint="default"/>
      </w:rPr>
    </w:lvl>
    <w:lvl w:ilvl="7">
      <w:start w:val="1"/>
      <w:numFmt w:val="bullet"/>
      <w:lvlText w:val="•"/>
      <w:lvlJc w:val="left"/>
      <w:pPr>
        <w:ind w:left="3031" w:hanging="360"/>
      </w:pPr>
      <w:rPr>
        <w:rFonts w:hint="default"/>
      </w:rPr>
    </w:lvl>
    <w:lvl w:ilvl="8">
      <w:start w:val="1"/>
      <w:numFmt w:val="bullet"/>
      <w:lvlText w:val="•"/>
      <w:lvlJc w:val="left"/>
      <w:pPr>
        <w:ind w:left="3450" w:hanging="360"/>
      </w:pPr>
      <w:rPr>
        <w:rFonts w:hint="default"/>
      </w:rPr>
    </w:lvl>
  </w:abstractNum>
  <w:abstractNum w:abstractNumId="22">
    <w:multiLevelType w:val="hybridMultilevel"/>
    <w:lvl w:ilvl="0">
      <w:start w:val="103"/>
      <w:numFmt w:val="decimal"/>
      <w:lvlText w:val="%1."/>
      <w:lvlJc w:val="left"/>
      <w:pPr>
        <w:ind w:left="102" w:hanging="360"/>
        <w:jc w:val="left"/>
      </w:pPr>
      <w:rPr>
        <w:rFonts w:hint="default" w:ascii="Arial" w:hAnsi="Arial" w:eastAsia="Arial" w:cs="Arial"/>
        <w:spacing w:val="-1"/>
        <w:w w:val="100"/>
        <w:sz w:val="16"/>
        <w:szCs w:val="16"/>
      </w:rPr>
    </w:lvl>
    <w:lvl w:ilvl="1">
      <w:start w:val="1"/>
      <w:numFmt w:val="bullet"/>
      <w:lvlText w:val="•"/>
      <w:lvlJc w:val="left"/>
      <w:pPr>
        <w:ind w:left="507" w:hanging="360"/>
      </w:pPr>
      <w:rPr>
        <w:rFonts w:hint="default"/>
      </w:rPr>
    </w:lvl>
    <w:lvl w:ilvl="2">
      <w:start w:val="1"/>
      <w:numFmt w:val="bullet"/>
      <w:lvlText w:val="•"/>
      <w:lvlJc w:val="left"/>
      <w:pPr>
        <w:ind w:left="913" w:hanging="360"/>
      </w:pPr>
      <w:rPr>
        <w:rFonts w:hint="default"/>
      </w:rPr>
    </w:lvl>
    <w:lvl w:ilvl="3">
      <w:start w:val="1"/>
      <w:numFmt w:val="bullet"/>
      <w:lvlText w:val="•"/>
      <w:lvlJc w:val="left"/>
      <w:pPr>
        <w:ind w:left="1320" w:hanging="360"/>
      </w:pPr>
      <w:rPr>
        <w:rFonts w:hint="default"/>
      </w:rPr>
    </w:lvl>
    <w:lvl w:ilvl="4">
      <w:start w:val="1"/>
      <w:numFmt w:val="bullet"/>
      <w:lvlText w:val="•"/>
      <w:lvlJc w:val="left"/>
      <w:pPr>
        <w:ind w:left="1727" w:hanging="360"/>
      </w:pPr>
      <w:rPr>
        <w:rFonts w:hint="default"/>
      </w:rPr>
    </w:lvl>
    <w:lvl w:ilvl="5">
      <w:start w:val="1"/>
      <w:numFmt w:val="bullet"/>
      <w:lvlText w:val="•"/>
      <w:lvlJc w:val="left"/>
      <w:pPr>
        <w:ind w:left="2134" w:hanging="360"/>
      </w:pPr>
      <w:rPr>
        <w:rFonts w:hint="default"/>
      </w:rPr>
    </w:lvl>
    <w:lvl w:ilvl="6">
      <w:start w:val="1"/>
      <w:numFmt w:val="bullet"/>
      <w:lvlText w:val="•"/>
      <w:lvlJc w:val="left"/>
      <w:pPr>
        <w:ind w:left="2541" w:hanging="360"/>
      </w:pPr>
      <w:rPr>
        <w:rFonts w:hint="default"/>
      </w:rPr>
    </w:lvl>
    <w:lvl w:ilvl="7">
      <w:start w:val="1"/>
      <w:numFmt w:val="bullet"/>
      <w:lvlText w:val="•"/>
      <w:lvlJc w:val="left"/>
      <w:pPr>
        <w:ind w:left="2948" w:hanging="360"/>
      </w:pPr>
      <w:rPr>
        <w:rFonts w:hint="default"/>
      </w:rPr>
    </w:lvl>
    <w:lvl w:ilvl="8">
      <w:start w:val="1"/>
      <w:numFmt w:val="bullet"/>
      <w:lvlText w:val="•"/>
      <w:lvlJc w:val="left"/>
      <w:pPr>
        <w:ind w:left="3355" w:hanging="360"/>
      </w:pPr>
      <w:rPr>
        <w:rFonts w:hint="default"/>
      </w:rPr>
    </w:lvl>
  </w:abstractNum>
  <w:abstractNum w:abstractNumId="21">
    <w:multiLevelType w:val="hybridMultilevel"/>
    <w:lvl w:ilvl="0">
      <w:start w:val="99"/>
      <w:numFmt w:val="decimal"/>
      <w:lvlText w:val="%1."/>
      <w:lvlJc w:val="left"/>
      <w:pPr>
        <w:ind w:left="102" w:hanging="331"/>
        <w:jc w:val="left"/>
      </w:pPr>
      <w:rPr>
        <w:rFonts w:hint="default" w:ascii="Arial" w:hAnsi="Arial" w:eastAsia="Arial" w:cs="Arial"/>
        <w:spacing w:val="-1"/>
        <w:w w:val="100"/>
        <w:sz w:val="16"/>
        <w:szCs w:val="16"/>
      </w:rPr>
    </w:lvl>
    <w:lvl w:ilvl="1">
      <w:start w:val="1"/>
      <w:numFmt w:val="bullet"/>
      <w:lvlText w:val="•"/>
      <w:lvlJc w:val="left"/>
      <w:pPr>
        <w:ind w:left="507" w:hanging="331"/>
      </w:pPr>
      <w:rPr>
        <w:rFonts w:hint="default"/>
      </w:rPr>
    </w:lvl>
    <w:lvl w:ilvl="2">
      <w:start w:val="1"/>
      <w:numFmt w:val="bullet"/>
      <w:lvlText w:val="•"/>
      <w:lvlJc w:val="left"/>
      <w:pPr>
        <w:ind w:left="913" w:hanging="331"/>
      </w:pPr>
      <w:rPr>
        <w:rFonts w:hint="default"/>
      </w:rPr>
    </w:lvl>
    <w:lvl w:ilvl="3">
      <w:start w:val="1"/>
      <w:numFmt w:val="bullet"/>
      <w:lvlText w:val="•"/>
      <w:lvlJc w:val="left"/>
      <w:pPr>
        <w:ind w:left="1320" w:hanging="331"/>
      </w:pPr>
      <w:rPr>
        <w:rFonts w:hint="default"/>
      </w:rPr>
    </w:lvl>
    <w:lvl w:ilvl="4">
      <w:start w:val="1"/>
      <w:numFmt w:val="bullet"/>
      <w:lvlText w:val="•"/>
      <w:lvlJc w:val="left"/>
      <w:pPr>
        <w:ind w:left="1727" w:hanging="331"/>
      </w:pPr>
      <w:rPr>
        <w:rFonts w:hint="default"/>
      </w:rPr>
    </w:lvl>
    <w:lvl w:ilvl="5">
      <w:start w:val="1"/>
      <w:numFmt w:val="bullet"/>
      <w:lvlText w:val="•"/>
      <w:lvlJc w:val="left"/>
      <w:pPr>
        <w:ind w:left="2134" w:hanging="331"/>
      </w:pPr>
      <w:rPr>
        <w:rFonts w:hint="default"/>
      </w:rPr>
    </w:lvl>
    <w:lvl w:ilvl="6">
      <w:start w:val="1"/>
      <w:numFmt w:val="bullet"/>
      <w:lvlText w:val="•"/>
      <w:lvlJc w:val="left"/>
      <w:pPr>
        <w:ind w:left="2541" w:hanging="331"/>
      </w:pPr>
      <w:rPr>
        <w:rFonts w:hint="default"/>
      </w:rPr>
    </w:lvl>
    <w:lvl w:ilvl="7">
      <w:start w:val="1"/>
      <w:numFmt w:val="bullet"/>
      <w:lvlText w:val="•"/>
      <w:lvlJc w:val="left"/>
      <w:pPr>
        <w:ind w:left="2948" w:hanging="331"/>
      </w:pPr>
      <w:rPr>
        <w:rFonts w:hint="default"/>
      </w:rPr>
    </w:lvl>
    <w:lvl w:ilvl="8">
      <w:start w:val="1"/>
      <w:numFmt w:val="bullet"/>
      <w:lvlText w:val="•"/>
      <w:lvlJc w:val="left"/>
      <w:pPr>
        <w:ind w:left="3355" w:hanging="331"/>
      </w:pPr>
      <w:rPr>
        <w:rFonts w:hint="default"/>
      </w:rPr>
    </w:lvl>
  </w:abstractNum>
  <w:abstractNum w:abstractNumId="20">
    <w:multiLevelType w:val="hybridMultilevel"/>
    <w:lvl w:ilvl="0">
      <w:start w:val="94"/>
      <w:numFmt w:val="decimal"/>
      <w:lvlText w:val="%1."/>
      <w:lvlJc w:val="left"/>
      <w:pPr>
        <w:ind w:left="102" w:hanging="300"/>
        <w:jc w:val="left"/>
      </w:pPr>
      <w:rPr>
        <w:rFonts w:hint="default" w:ascii="Arial" w:hAnsi="Arial" w:eastAsia="Arial" w:cs="Arial"/>
        <w:spacing w:val="-1"/>
        <w:w w:val="100"/>
        <w:sz w:val="16"/>
        <w:szCs w:val="16"/>
      </w:rPr>
    </w:lvl>
    <w:lvl w:ilvl="1">
      <w:start w:val="1"/>
      <w:numFmt w:val="bullet"/>
      <w:lvlText w:val="•"/>
      <w:lvlJc w:val="left"/>
      <w:pPr>
        <w:ind w:left="518" w:hanging="300"/>
      </w:pPr>
      <w:rPr>
        <w:rFonts w:hint="default"/>
      </w:rPr>
    </w:lvl>
    <w:lvl w:ilvl="2">
      <w:start w:val="1"/>
      <w:numFmt w:val="bullet"/>
      <w:lvlText w:val="•"/>
      <w:lvlJc w:val="left"/>
      <w:pPr>
        <w:ind w:left="937" w:hanging="300"/>
      </w:pPr>
      <w:rPr>
        <w:rFonts w:hint="default"/>
      </w:rPr>
    </w:lvl>
    <w:lvl w:ilvl="3">
      <w:start w:val="1"/>
      <w:numFmt w:val="bullet"/>
      <w:lvlText w:val="•"/>
      <w:lvlJc w:val="left"/>
      <w:pPr>
        <w:ind w:left="1356" w:hanging="300"/>
      </w:pPr>
      <w:rPr>
        <w:rFonts w:hint="default"/>
      </w:rPr>
    </w:lvl>
    <w:lvl w:ilvl="4">
      <w:start w:val="1"/>
      <w:numFmt w:val="bullet"/>
      <w:lvlText w:val="•"/>
      <w:lvlJc w:val="left"/>
      <w:pPr>
        <w:ind w:left="1775" w:hanging="300"/>
      </w:pPr>
      <w:rPr>
        <w:rFonts w:hint="default"/>
      </w:rPr>
    </w:lvl>
    <w:lvl w:ilvl="5">
      <w:start w:val="1"/>
      <w:numFmt w:val="bullet"/>
      <w:lvlText w:val="•"/>
      <w:lvlJc w:val="left"/>
      <w:pPr>
        <w:ind w:left="2193" w:hanging="300"/>
      </w:pPr>
      <w:rPr>
        <w:rFonts w:hint="default"/>
      </w:rPr>
    </w:lvl>
    <w:lvl w:ilvl="6">
      <w:start w:val="1"/>
      <w:numFmt w:val="bullet"/>
      <w:lvlText w:val="•"/>
      <w:lvlJc w:val="left"/>
      <w:pPr>
        <w:ind w:left="2612" w:hanging="300"/>
      </w:pPr>
      <w:rPr>
        <w:rFonts w:hint="default"/>
      </w:rPr>
    </w:lvl>
    <w:lvl w:ilvl="7">
      <w:start w:val="1"/>
      <w:numFmt w:val="bullet"/>
      <w:lvlText w:val="•"/>
      <w:lvlJc w:val="left"/>
      <w:pPr>
        <w:ind w:left="3031" w:hanging="300"/>
      </w:pPr>
      <w:rPr>
        <w:rFonts w:hint="default"/>
      </w:rPr>
    </w:lvl>
    <w:lvl w:ilvl="8">
      <w:start w:val="1"/>
      <w:numFmt w:val="bullet"/>
      <w:lvlText w:val="•"/>
      <w:lvlJc w:val="left"/>
      <w:pPr>
        <w:ind w:left="3450" w:hanging="300"/>
      </w:pPr>
      <w:rPr>
        <w:rFonts w:hint="default"/>
      </w:rPr>
    </w:lvl>
  </w:abstractNum>
  <w:abstractNum w:abstractNumId="19">
    <w:multiLevelType w:val="hybridMultilevel"/>
    <w:lvl w:ilvl="0">
      <w:start w:val="90"/>
      <w:numFmt w:val="decimal"/>
      <w:lvlText w:val="%1."/>
      <w:lvlJc w:val="left"/>
      <w:pPr>
        <w:ind w:left="102" w:hanging="276"/>
        <w:jc w:val="left"/>
      </w:pPr>
      <w:rPr>
        <w:rFonts w:hint="default" w:ascii="Arial" w:hAnsi="Arial" w:eastAsia="Arial" w:cs="Arial"/>
        <w:spacing w:val="-1"/>
        <w:w w:val="100"/>
        <w:sz w:val="16"/>
        <w:szCs w:val="16"/>
      </w:rPr>
    </w:lvl>
    <w:lvl w:ilvl="1">
      <w:start w:val="1"/>
      <w:numFmt w:val="bullet"/>
      <w:lvlText w:val="•"/>
      <w:lvlJc w:val="left"/>
      <w:pPr>
        <w:ind w:left="518" w:hanging="276"/>
      </w:pPr>
      <w:rPr>
        <w:rFonts w:hint="default"/>
      </w:rPr>
    </w:lvl>
    <w:lvl w:ilvl="2">
      <w:start w:val="1"/>
      <w:numFmt w:val="bullet"/>
      <w:lvlText w:val="•"/>
      <w:lvlJc w:val="left"/>
      <w:pPr>
        <w:ind w:left="937" w:hanging="276"/>
      </w:pPr>
      <w:rPr>
        <w:rFonts w:hint="default"/>
      </w:rPr>
    </w:lvl>
    <w:lvl w:ilvl="3">
      <w:start w:val="1"/>
      <w:numFmt w:val="bullet"/>
      <w:lvlText w:val="•"/>
      <w:lvlJc w:val="left"/>
      <w:pPr>
        <w:ind w:left="1356" w:hanging="276"/>
      </w:pPr>
      <w:rPr>
        <w:rFonts w:hint="default"/>
      </w:rPr>
    </w:lvl>
    <w:lvl w:ilvl="4">
      <w:start w:val="1"/>
      <w:numFmt w:val="bullet"/>
      <w:lvlText w:val="•"/>
      <w:lvlJc w:val="left"/>
      <w:pPr>
        <w:ind w:left="1775" w:hanging="276"/>
      </w:pPr>
      <w:rPr>
        <w:rFonts w:hint="default"/>
      </w:rPr>
    </w:lvl>
    <w:lvl w:ilvl="5">
      <w:start w:val="1"/>
      <w:numFmt w:val="bullet"/>
      <w:lvlText w:val="•"/>
      <w:lvlJc w:val="left"/>
      <w:pPr>
        <w:ind w:left="2193" w:hanging="276"/>
      </w:pPr>
      <w:rPr>
        <w:rFonts w:hint="default"/>
      </w:rPr>
    </w:lvl>
    <w:lvl w:ilvl="6">
      <w:start w:val="1"/>
      <w:numFmt w:val="bullet"/>
      <w:lvlText w:val="•"/>
      <w:lvlJc w:val="left"/>
      <w:pPr>
        <w:ind w:left="2612" w:hanging="276"/>
      </w:pPr>
      <w:rPr>
        <w:rFonts w:hint="default"/>
      </w:rPr>
    </w:lvl>
    <w:lvl w:ilvl="7">
      <w:start w:val="1"/>
      <w:numFmt w:val="bullet"/>
      <w:lvlText w:val="•"/>
      <w:lvlJc w:val="left"/>
      <w:pPr>
        <w:ind w:left="3031" w:hanging="276"/>
      </w:pPr>
      <w:rPr>
        <w:rFonts w:hint="default"/>
      </w:rPr>
    </w:lvl>
    <w:lvl w:ilvl="8">
      <w:start w:val="1"/>
      <w:numFmt w:val="bullet"/>
      <w:lvlText w:val="•"/>
      <w:lvlJc w:val="left"/>
      <w:pPr>
        <w:ind w:left="3450" w:hanging="276"/>
      </w:pPr>
      <w:rPr>
        <w:rFonts w:hint="default"/>
      </w:rPr>
    </w:lvl>
  </w:abstractNum>
  <w:abstractNum w:abstractNumId="18">
    <w:multiLevelType w:val="hybridMultilevel"/>
    <w:lvl w:ilvl="0">
      <w:start w:val="81"/>
      <w:numFmt w:val="decimal"/>
      <w:lvlText w:val="%1."/>
      <w:lvlJc w:val="left"/>
      <w:pPr>
        <w:ind w:left="102" w:hanging="257"/>
        <w:jc w:val="left"/>
      </w:pPr>
      <w:rPr>
        <w:rFonts w:hint="default" w:ascii="Arial" w:hAnsi="Arial" w:eastAsia="Arial" w:cs="Arial"/>
        <w:spacing w:val="-1"/>
        <w:w w:val="100"/>
        <w:sz w:val="16"/>
        <w:szCs w:val="16"/>
      </w:rPr>
    </w:lvl>
    <w:lvl w:ilvl="1">
      <w:start w:val="1"/>
      <w:numFmt w:val="bullet"/>
      <w:lvlText w:val="•"/>
      <w:lvlJc w:val="left"/>
      <w:pPr>
        <w:ind w:left="507" w:hanging="257"/>
      </w:pPr>
      <w:rPr>
        <w:rFonts w:hint="default"/>
      </w:rPr>
    </w:lvl>
    <w:lvl w:ilvl="2">
      <w:start w:val="1"/>
      <w:numFmt w:val="bullet"/>
      <w:lvlText w:val="•"/>
      <w:lvlJc w:val="left"/>
      <w:pPr>
        <w:ind w:left="914" w:hanging="257"/>
      </w:pPr>
      <w:rPr>
        <w:rFonts w:hint="default"/>
      </w:rPr>
    </w:lvl>
    <w:lvl w:ilvl="3">
      <w:start w:val="1"/>
      <w:numFmt w:val="bullet"/>
      <w:lvlText w:val="•"/>
      <w:lvlJc w:val="left"/>
      <w:pPr>
        <w:ind w:left="1321" w:hanging="257"/>
      </w:pPr>
      <w:rPr>
        <w:rFonts w:hint="default"/>
      </w:rPr>
    </w:lvl>
    <w:lvl w:ilvl="4">
      <w:start w:val="1"/>
      <w:numFmt w:val="bullet"/>
      <w:lvlText w:val="•"/>
      <w:lvlJc w:val="left"/>
      <w:pPr>
        <w:ind w:left="1728" w:hanging="257"/>
      </w:pPr>
      <w:rPr>
        <w:rFonts w:hint="default"/>
      </w:rPr>
    </w:lvl>
    <w:lvl w:ilvl="5">
      <w:start w:val="1"/>
      <w:numFmt w:val="bullet"/>
      <w:lvlText w:val="•"/>
      <w:lvlJc w:val="left"/>
      <w:pPr>
        <w:ind w:left="2135" w:hanging="257"/>
      </w:pPr>
      <w:rPr>
        <w:rFonts w:hint="default"/>
      </w:rPr>
    </w:lvl>
    <w:lvl w:ilvl="6">
      <w:start w:val="1"/>
      <w:numFmt w:val="bullet"/>
      <w:lvlText w:val="•"/>
      <w:lvlJc w:val="left"/>
      <w:pPr>
        <w:ind w:left="2542" w:hanging="257"/>
      </w:pPr>
      <w:rPr>
        <w:rFonts w:hint="default"/>
      </w:rPr>
    </w:lvl>
    <w:lvl w:ilvl="7">
      <w:start w:val="1"/>
      <w:numFmt w:val="bullet"/>
      <w:lvlText w:val="•"/>
      <w:lvlJc w:val="left"/>
      <w:pPr>
        <w:ind w:left="2949" w:hanging="257"/>
      </w:pPr>
      <w:rPr>
        <w:rFonts w:hint="default"/>
      </w:rPr>
    </w:lvl>
    <w:lvl w:ilvl="8">
      <w:start w:val="1"/>
      <w:numFmt w:val="bullet"/>
      <w:lvlText w:val="•"/>
      <w:lvlJc w:val="left"/>
      <w:pPr>
        <w:ind w:left="3357" w:hanging="257"/>
      </w:pPr>
      <w:rPr>
        <w:rFonts w:hint="default"/>
      </w:rPr>
    </w:lvl>
  </w:abstractNum>
  <w:abstractNum w:abstractNumId="17">
    <w:multiLevelType w:val="hybridMultilevel"/>
    <w:lvl w:ilvl="0">
      <w:start w:val="78"/>
      <w:numFmt w:val="decimal"/>
      <w:lvlText w:val="%1."/>
      <w:lvlJc w:val="left"/>
      <w:pPr>
        <w:ind w:left="102" w:hanging="260"/>
        <w:jc w:val="left"/>
      </w:pPr>
      <w:rPr>
        <w:rFonts w:hint="default" w:ascii="Arial" w:hAnsi="Arial" w:eastAsia="Arial" w:cs="Arial"/>
        <w:spacing w:val="-1"/>
        <w:w w:val="100"/>
        <w:sz w:val="16"/>
        <w:szCs w:val="16"/>
      </w:rPr>
    </w:lvl>
    <w:lvl w:ilvl="1">
      <w:start w:val="1"/>
      <w:numFmt w:val="bullet"/>
      <w:lvlText w:val="•"/>
      <w:lvlJc w:val="left"/>
      <w:pPr>
        <w:ind w:left="507" w:hanging="260"/>
      </w:pPr>
      <w:rPr>
        <w:rFonts w:hint="default"/>
      </w:rPr>
    </w:lvl>
    <w:lvl w:ilvl="2">
      <w:start w:val="1"/>
      <w:numFmt w:val="bullet"/>
      <w:lvlText w:val="•"/>
      <w:lvlJc w:val="left"/>
      <w:pPr>
        <w:ind w:left="914" w:hanging="260"/>
      </w:pPr>
      <w:rPr>
        <w:rFonts w:hint="default"/>
      </w:rPr>
    </w:lvl>
    <w:lvl w:ilvl="3">
      <w:start w:val="1"/>
      <w:numFmt w:val="bullet"/>
      <w:lvlText w:val="•"/>
      <w:lvlJc w:val="left"/>
      <w:pPr>
        <w:ind w:left="1321" w:hanging="260"/>
      </w:pPr>
      <w:rPr>
        <w:rFonts w:hint="default"/>
      </w:rPr>
    </w:lvl>
    <w:lvl w:ilvl="4">
      <w:start w:val="1"/>
      <w:numFmt w:val="bullet"/>
      <w:lvlText w:val="•"/>
      <w:lvlJc w:val="left"/>
      <w:pPr>
        <w:ind w:left="1728" w:hanging="260"/>
      </w:pPr>
      <w:rPr>
        <w:rFonts w:hint="default"/>
      </w:rPr>
    </w:lvl>
    <w:lvl w:ilvl="5">
      <w:start w:val="1"/>
      <w:numFmt w:val="bullet"/>
      <w:lvlText w:val="•"/>
      <w:lvlJc w:val="left"/>
      <w:pPr>
        <w:ind w:left="2135" w:hanging="260"/>
      </w:pPr>
      <w:rPr>
        <w:rFonts w:hint="default"/>
      </w:rPr>
    </w:lvl>
    <w:lvl w:ilvl="6">
      <w:start w:val="1"/>
      <w:numFmt w:val="bullet"/>
      <w:lvlText w:val="•"/>
      <w:lvlJc w:val="left"/>
      <w:pPr>
        <w:ind w:left="2542" w:hanging="260"/>
      </w:pPr>
      <w:rPr>
        <w:rFonts w:hint="default"/>
      </w:rPr>
    </w:lvl>
    <w:lvl w:ilvl="7">
      <w:start w:val="1"/>
      <w:numFmt w:val="bullet"/>
      <w:lvlText w:val="•"/>
      <w:lvlJc w:val="left"/>
      <w:pPr>
        <w:ind w:left="2949" w:hanging="260"/>
      </w:pPr>
      <w:rPr>
        <w:rFonts w:hint="default"/>
      </w:rPr>
    </w:lvl>
    <w:lvl w:ilvl="8">
      <w:start w:val="1"/>
      <w:numFmt w:val="bullet"/>
      <w:lvlText w:val="•"/>
      <w:lvlJc w:val="left"/>
      <w:pPr>
        <w:ind w:left="3357" w:hanging="260"/>
      </w:pPr>
      <w:rPr>
        <w:rFonts w:hint="default"/>
      </w:rPr>
    </w:lvl>
  </w:abstractNum>
  <w:abstractNum w:abstractNumId="16">
    <w:multiLevelType w:val="hybridMultilevel"/>
    <w:lvl w:ilvl="0">
      <w:start w:val="66"/>
      <w:numFmt w:val="decimal"/>
      <w:lvlText w:val="%1."/>
      <w:lvlJc w:val="left"/>
      <w:pPr>
        <w:ind w:left="102" w:hanging="267"/>
        <w:jc w:val="left"/>
      </w:pPr>
      <w:rPr>
        <w:rFonts w:hint="default" w:ascii="Arial" w:hAnsi="Arial" w:eastAsia="Arial" w:cs="Arial"/>
        <w:spacing w:val="-1"/>
        <w:w w:val="100"/>
        <w:sz w:val="16"/>
        <w:szCs w:val="16"/>
      </w:rPr>
    </w:lvl>
    <w:lvl w:ilvl="1">
      <w:start w:val="1"/>
      <w:numFmt w:val="bullet"/>
      <w:lvlText w:val="•"/>
      <w:lvlJc w:val="left"/>
      <w:pPr>
        <w:ind w:left="518" w:hanging="267"/>
      </w:pPr>
      <w:rPr>
        <w:rFonts w:hint="default"/>
      </w:rPr>
    </w:lvl>
    <w:lvl w:ilvl="2">
      <w:start w:val="1"/>
      <w:numFmt w:val="bullet"/>
      <w:lvlText w:val="•"/>
      <w:lvlJc w:val="left"/>
      <w:pPr>
        <w:ind w:left="937" w:hanging="267"/>
      </w:pPr>
      <w:rPr>
        <w:rFonts w:hint="default"/>
      </w:rPr>
    </w:lvl>
    <w:lvl w:ilvl="3">
      <w:start w:val="1"/>
      <w:numFmt w:val="bullet"/>
      <w:lvlText w:val="•"/>
      <w:lvlJc w:val="left"/>
      <w:pPr>
        <w:ind w:left="1356" w:hanging="267"/>
      </w:pPr>
      <w:rPr>
        <w:rFonts w:hint="default"/>
      </w:rPr>
    </w:lvl>
    <w:lvl w:ilvl="4">
      <w:start w:val="1"/>
      <w:numFmt w:val="bullet"/>
      <w:lvlText w:val="•"/>
      <w:lvlJc w:val="left"/>
      <w:pPr>
        <w:ind w:left="1775" w:hanging="267"/>
      </w:pPr>
      <w:rPr>
        <w:rFonts w:hint="default"/>
      </w:rPr>
    </w:lvl>
    <w:lvl w:ilvl="5">
      <w:start w:val="1"/>
      <w:numFmt w:val="bullet"/>
      <w:lvlText w:val="•"/>
      <w:lvlJc w:val="left"/>
      <w:pPr>
        <w:ind w:left="2193" w:hanging="267"/>
      </w:pPr>
      <w:rPr>
        <w:rFonts w:hint="default"/>
      </w:rPr>
    </w:lvl>
    <w:lvl w:ilvl="6">
      <w:start w:val="1"/>
      <w:numFmt w:val="bullet"/>
      <w:lvlText w:val="•"/>
      <w:lvlJc w:val="left"/>
      <w:pPr>
        <w:ind w:left="2612" w:hanging="267"/>
      </w:pPr>
      <w:rPr>
        <w:rFonts w:hint="default"/>
      </w:rPr>
    </w:lvl>
    <w:lvl w:ilvl="7">
      <w:start w:val="1"/>
      <w:numFmt w:val="bullet"/>
      <w:lvlText w:val="•"/>
      <w:lvlJc w:val="left"/>
      <w:pPr>
        <w:ind w:left="3031" w:hanging="267"/>
      </w:pPr>
      <w:rPr>
        <w:rFonts w:hint="default"/>
      </w:rPr>
    </w:lvl>
    <w:lvl w:ilvl="8">
      <w:start w:val="1"/>
      <w:numFmt w:val="bullet"/>
      <w:lvlText w:val="•"/>
      <w:lvlJc w:val="left"/>
      <w:pPr>
        <w:ind w:left="3450" w:hanging="267"/>
      </w:pPr>
      <w:rPr>
        <w:rFonts w:hint="default"/>
      </w:rPr>
    </w:lvl>
  </w:abstractNum>
  <w:abstractNum w:abstractNumId="15">
    <w:multiLevelType w:val="hybridMultilevel"/>
    <w:lvl w:ilvl="0">
      <w:start w:val="19"/>
      <w:numFmt w:val="decimal"/>
      <w:lvlText w:val="%1."/>
      <w:lvlJc w:val="left"/>
      <w:pPr>
        <w:ind w:left="102" w:hanging="343"/>
        <w:jc w:val="left"/>
      </w:pPr>
      <w:rPr>
        <w:rFonts w:hint="default" w:ascii="Arial" w:hAnsi="Arial" w:eastAsia="Arial" w:cs="Arial"/>
        <w:spacing w:val="-1"/>
        <w:w w:val="100"/>
        <w:sz w:val="16"/>
        <w:szCs w:val="16"/>
      </w:rPr>
    </w:lvl>
    <w:lvl w:ilvl="1">
      <w:start w:val="1"/>
      <w:numFmt w:val="bullet"/>
      <w:lvlText w:val="•"/>
      <w:lvlJc w:val="left"/>
      <w:pPr>
        <w:ind w:left="518" w:hanging="343"/>
      </w:pPr>
      <w:rPr>
        <w:rFonts w:hint="default"/>
      </w:rPr>
    </w:lvl>
    <w:lvl w:ilvl="2">
      <w:start w:val="1"/>
      <w:numFmt w:val="bullet"/>
      <w:lvlText w:val="•"/>
      <w:lvlJc w:val="left"/>
      <w:pPr>
        <w:ind w:left="937" w:hanging="343"/>
      </w:pPr>
      <w:rPr>
        <w:rFonts w:hint="default"/>
      </w:rPr>
    </w:lvl>
    <w:lvl w:ilvl="3">
      <w:start w:val="1"/>
      <w:numFmt w:val="bullet"/>
      <w:lvlText w:val="•"/>
      <w:lvlJc w:val="left"/>
      <w:pPr>
        <w:ind w:left="1356" w:hanging="343"/>
      </w:pPr>
      <w:rPr>
        <w:rFonts w:hint="default"/>
      </w:rPr>
    </w:lvl>
    <w:lvl w:ilvl="4">
      <w:start w:val="1"/>
      <w:numFmt w:val="bullet"/>
      <w:lvlText w:val="•"/>
      <w:lvlJc w:val="left"/>
      <w:pPr>
        <w:ind w:left="1775" w:hanging="343"/>
      </w:pPr>
      <w:rPr>
        <w:rFonts w:hint="default"/>
      </w:rPr>
    </w:lvl>
    <w:lvl w:ilvl="5">
      <w:start w:val="1"/>
      <w:numFmt w:val="bullet"/>
      <w:lvlText w:val="•"/>
      <w:lvlJc w:val="left"/>
      <w:pPr>
        <w:ind w:left="2193" w:hanging="343"/>
      </w:pPr>
      <w:rPr>
        <w:rFonts w:hint="default"/>
      </w:rPr>
    </w:lvl>
    <w:lvl w:ilvl="6">
      <w:start w:val="1"/>
      <w:numFmt w:val="bullet"/>
      <w:lvlText w:val="•"/>
      <w:lvlJc w:val="left"/>
      <w:pPr>
        <w:ind w:left="2612" w:hanging="343"/>
      </w:pPr>
      <w:rPr>
        <w:rFonts w:hint="default"/>
      </w:rPr>
    </w:lvl>
    <w:lvl w:ilvl="7">
      <w:start w:val="1"/>
      <w:numFmt w:val="bullet"/>
      <w:lvlText w:val="•"/>
      <w:lvlJc w:val="left"/>
      <w:pPr>
        <w:ind w:left="3031" w:hanging="343"/>
      </w:pPr>
      <w:rPr>
        <w:rFonts w:hint="default"/>
      </w:rPr>
    </w:lvl>
    <w:lvl w:ilvl="8">
      <w:start w:val="1"/>
      <w:numFmt w:val="bullet"/>
      <w:lvlText w:val="•"/>
      <w:lvlJc w:val="left"/>
      <w:pPr>
        <w:ind w:left="3450" w:hanging="343"/>
      </w:pPr>
      <w:rPr>
        <w:rFonts w:hint="default"/>
      </w:rPr>
    </w:lvl>
  </w:abstractNum>
  <w:abstractNum w:abstractNumId="14">
    <w:multiLevelType w:val="hybridMultilevel"/>
    <w:lvl w:ilvl="0">
      <w:start w:val="14"/>
      <w:numFmt w:val="decimal"/>
      <w:lvlText w:val="%1"/>
      <w:lvlJc w:val="left"/>
      <w:pPr>
        <w:ind w:left="102" w:hanging="315"/>
        <w:jc w:val="left"/>
      </w:pPr>
      <w:rPr>
        <w:rFonts w:hint="default" w:ascii="Arial" w:hAnsi="Arial" w:eastAsia="Arial" w:cs="Arial"/>
        <w:spacing w:val="-1"/>
        <w:w w:val="100"/>
        <w:sz w:val="16"/>
        <w:szCs w:val="16"/>
      </w:rPr>
    </w:lvl>
    <w:lvl w:ilvl="1">
      <w:start w:val="1"/>
      <w:numFmt w:val="bullet"/>
      <w:lvlText w:val="•"/>
      <w:lvlJc w:val="left"/>
      <w:pPr>
        <w:ind w:left="507" w:hanging="315"/>
      </w:pPr>
      <w:rPr>
        <w:rFonts w:hint="default"/>
      </w:rPr>
    </w:lvl>
    <w:lvl w:ilvl="2">
      <w:start w:val="1"/>
      <w:numFmt w:val="bullet"/>
      <w:lvlText w:val="•"/>
      <w:lvlJc w:val="left"/>
      <w:pPr>
        <w:ind w:left="914" w:hanging="315"/>
      </w:pPr>
      <w:rPr>
        <w:rFonts w:hint="default"/>
      </w:rPr>
    </w:lvl>
    <w:lvl w:ilvl="3">
      <w:start w:val="1"/>
      <w:numFmt w:val="bullet"/>
      <w:lvlText w:val="•"/>
      <w:lvlJc w:val="left"/>
      <w:pPr>
        <w:ind w:left="1321" w:hanging="315"/>
      </w:pPr>
      <w:rPr>
        <w:rFonts w:hint="default"/>
      </w:rPr>
    </w:lvl>
    <w:lvl w:ilvl="4">
      <w:start w:val="1"/>
      <w:numFmt w:val="bullet"/>
      <w:lvlText w:val="•"/>
      <w:lvlJc w:val="left"/>
      <w:pPr>
        <w:ind w:left="1728" w:hanging="315"/>
      </w:pPr>
      <w:rPr>
        <w:rFonts w:hint="default"/>
      </w:rPr>
    </w:lvl>
    <w:lvl w:ilvl="5">
      <w:start w:val="1"/>
      <w:numFmt w:val="bullet"/>
      <w:lvlText w:val="•"/>
      <w:lvlJc w:val="left"/>
      <w:pPr>
        <w:ind w:left="2135" w:hanging="315"/>
      </w:pPr>
      <w:rPr>
        <w:rFonts w:hint="default"/>
      </w:rPr>
    </w:lvl>
    <w:lvl w:ilvl="6">
      <w:start w:val="1"/>
      <w:numFmt w:val="bullet"/>
      <w:lvlText w:val="•"/>
      <w:lvlJc w:val="left"/>
      <w:pPr>
        <w:ind w:left="2542" w:hanging="315"/>
      </w:pPr>
      <w:rPr>
        <w:rFonts w:hint="default"/>
      </w:rPr>
    </w:lvl>
    <w:lvl w:ilvl="7">
      <w:start w:val="1"/>
      <w:numFmt w:val="bullet"/>
      <w:lvlText w:val="•"/>
      <w:lvlJc w:val="left"/>
      <w:pPr>
        <w:ind w:left="2949" w:hanging="315"/>
      </w:pPr>
      <w:rPr>
        <w:rFonts w:hint="default"/>
      </w:rPr>
    </w:lvl>
    <w:lvl w:ilvl="8">
      <w:start w:val="1"/>
      <w:numFmt w:val="bullet"/>
      <w:lvlText w:val="•"/>
      <w:lvlJc w:val="left"/>
      <w:pPr>
        <w:ind w:left="3357" w:hanging="315"/>
      </w:pPr>
      <w:rPr>
        <w:rFonts w:hint="default"/>
      </w:rPr>
    </w:lvl>
  </w:abstractNum>
  <w:abstractNum w:abstractNumId="13">
    <w:multiLevelType w:val="hybridMultilevel"/>
    <w:lvl w:ilvl="0">
      <w:start w:val="1"/>
      <w:numFmt w:val="decimal"/>
      <w:lvlText w:val="%1."/>
      <w:lvlJc w:val="left"/>
      <w:pPr>
        <w:ind w:left="102" w:hanging="135"/>
        <w:jc w:val="left"/>
      </w:pPr>
      <w:rPr>
        <w:rFonts w:hint="default" w:ascii="Arial" w:hAnsi="Arial" w:eastAsia="Arial" w:cs="Arial"/>
        <w:spacing w:val="-2"/>
        <w:w w:val="100"/>
        <w:sz w:val="16"/>
        <w:szCs w:val="16"/>
      </w:rPr>
    </w:lvl>
    <w:lvl w:ilvl="1">
      <w:start w:val="1"/>
      <w:numFmt w:val="bullet"/>
      <w:lvlText w:val="•"/>
      <w:lvlJc w:val="left"/>
      <w:pPr>
        <w:ind w:left="507" w:hanging="135"/>
      </w:pPr>
      <w:rPr>
        <w:rFonts w:hint="default"/>
      </w:rPr>
    </w:lvl>
    <w:lvl w:ilvl="2">
      <w:start w:val="1"/>
      <w:numFmt w:val="bullet"/>
      <w:lvlText w:val="•"/>
      <w:lvlJc w:val="left"/>
      <w:pPr>
        <w:ind w:left="914" w:hanging="135"/>
      </w:pPr>
      <w:rPr>
        <w:rFonts w:hint="default"/>
      </w:rPr>
    </w:lvl>
    <w:lvl w:ilvl="3">
      <w:start w:val="1"/>
      <w:numFmt w:val="bullet"/>
      <w:lvlText w:val="•"/>
      <w:lvlJc w:val="left"/>
      <w:pPr>
        <w:ind w:left="1321" w:hanging="135"/>
      </w:pPr>
      <w:rPr>
        <w:rFonts w:hint="default"/>
      </w:rPr>
    </w:lvl>
    <w:lvl w:ilvl="4">
      <w:start w:val="1"/>
      <w:numFmt w:val="bullet"/>
      <w:lvlText w:val="•"/>
      <w:lvlJc w:val="left"/>
      <w:pPr>
        <w:ind w:left="1728" w:hanging="135"/>
      </w:pPr>
      <w:rPr>
        <w:rFonts w:hint="default"/>
      </w:rPr>
    </w:lvl>
    <w:lvl w:ilvl="5">
      <w:start w:val="1"/>
      <w:numFmt w:val="bullet"/>
      <w:lvlText w:val="•"/>
      <w:lvlJc w:val="left"/>
      <w:pPr>
        <w:ind w:left="2135" w:hanging="135"/>
      </w:pPr>
      <w:rPr>
        <w:rFonts w:hint="default"/>
      </w:rPr>
    </w:lvl>
    <w:lvl w:ilvl="6">
      <w:start w:val="1"/>
      <w:numFmt w:val="bullet"/>
      <w:lvlText w:val="•"/>
      <w:lvlJc w:val="left"/>
      <w:pPr>
        <w:ind w:left="2542" w:hanging="135"/>
      </w:pPr>
      <w:rPr>
        <w:rFonts w:hint="default"/>
      </w:rPr>
    </w:lvl>
    <w:lvl w:ilvl="7">
      <w:start w:val="1"/>
      <w:numFmt w:val="bullet"/>
      <w:lvlText w:val="•"/>
      <w:lvlJc w:val="left"/>
      <w:pPr>
        <w:ind w:left="2949" w:hanging="135"/>
      </w:pPr>
      <w:rPr>
        <w:rFonts w:hint="default"/>
      </w:rPr>
    </w:lvl>
    <w:lvl w:ilvl="8">
      <w:start w:val="1"/>
      <w:numFmt w:val="bullet"/>
      <w:lvlText w:val="•"/>
      <w:lvlJc w:val="left"/>
      <w:pPr>
        <w:ind w:left="3357" w:hanging="135"/>
      </w:pPr>
      <w:rPr>
        <w:rFonts w:hint="default"/>
      </w:rPr>
    </w:lvl>
  </w:abstractNum>
  <w:abstractNum w:abstractNumId="12">
    <w:multiLevelType w:val="hybridMultilevel"/>
    <w:lvl w:ilvl="0">
      <w:start w:val="6"/>
      <w:numFmt w:val="upperRoman"/>
      <w:lvlText w:val="%1."/>
      <w:lvlJc w:val="left"/>
      <w:pPr>
        <w:ind w:left="463" w:hanging="362"/>
        <w:jc w:val="right"/>
      </w:pPr>
      <w:rPr>
        <w:rFonts w:hint="default" w:ascii="Arial" w:hAnsi="Arial" w:eastAsia="Arial" w:cs="Arial"/>
        <w:b/>
        <w:bCs/>
        <w:spacing w:val="-2"/>
        <w:w w:val="99"/>
        <w:sz w:val="24"/>
        <w:szCs w:val="24"/>
      </w:rPr>
    </w:lvl>
    <w:lvl w:ilvl="1">
      <w:start w:val="1"/>
      <w:numFmt w:val="bullet"/>
      <w:lvlText w:val="•"/>
      <w:lvlJc w:val="left"/>
      <w:pPr>
        <w:ind w:left="1320" w:hanging="362"/>
      </w:pPr>
      <w:rPr>
        <w:rFonts w:hint="default"/>
      </w:rPr>
    </w:lvl>
    <w:lvl w:ilvl="2">
      <w:start w:val="1"/>
      <w:numFmt w:val="bullet"/>
      <w:lvlText w:val="•"/>
      <w:lvlJc w:val="left"/>
      <w:pPr>
        <w:ind w:left="2180" w:hanging="362"/>
      </w:pPr>
      <w:rPr>
        <w:rFonts w:hint="default"/>
      </w:rPr>
    </w:lvl>
    <w:lvl w:ilvl="3">
      <w:start w:val="1"/>
      <w:numFmt w:val="bullet"/>
      <w:lvlText w:val="•"/>
      <w:lvlJc w:val="left"/>
      <w:pPr>
        <w:ind w:left="3040" w:hanging="362"/>
      </w:pPr>
      <w:rPr>
        <w:rFonts w:hint="default"/>
      </w:rPr>
    </w:lvl>
    <w:lvl w:ilvl="4">
      <w:start w:val="1"/>
      <w:numFmt w:val="bullet"/>
      <w:lvlText w:val="•"/>
      <w:lvlJc w:val="left"/>
      <w:pPr>
        <w:ind w:left="3900" w:hanging="362"/>
      </w:pPr>
      <w:rPr>
        <w:rFonts w:hint="default"/>
      </w:rPr>
    </w:lvl>
    <w:lvl w:ilvl="5">
      <w:start w:val="1"/>
      <w:numFmt w:val="bullet"/>
      <w:lvlText w:val="•"/>
      <w:lvlJc w:val="left"/>
      <w:pPr>
        <w:ind w:left="4760" w:hanging="362"/>
      </w:pPr>
      <w:rPr>
        <w:rFonts w:hint="default"/>
      </w:rPr>
    </w:lvl>
    <w:lvl w:ilvl="6">
      <w:start w:val="1"/>
      <w:numFmt w:val="bullet"/>
      <w:lvlText w:val="•"/>
      <w:lvlJc w:val="left"/>
      <w:pPr>
        <w:ind w:left="5620" w:hanging="362"/>
      </w:pPr>
      <w:rPr>
        <w:rFonts w:hint="default"/>
      </w:rPr>
    </w:lvl>
    <w:lvl w:ilvl="7">
      <w:start w:val="1"/>
      <w:numFmt w:val="bullet"/>
      <w:lvlText w:val="•"/>
      <w:lvlJc w:val="left"/>
      <w:pPr>
        <w:ind w:left="6480" w:hanging="362"/>
      </w:pPr>
      <w:rPr>
        <w:rFonts w:hint="default"/>
      </w:rPr>
    </w:lvl>
    <w:lvl w:ilvl="8">
      <w:start w:val="1"/>
      <w:numFmt w:val="bullet"/>
      <w:lvlText w:val="•"/>
      <w:lvlJc w:val="left"/>
      <w:pPr>
        <w:ind w:left="7340" w:hanging="362"/>
      </w:pPr>
      <w:rPr>
        <w:rFonts w:hint="default"/>
      </w:rPr>
    </w:lvl>
  </w:abstractNum>
  <w:abstractNum w:abstractNumId="11">
    <w:multiLevelType w:val="hybridMultilevel"/>
    <w:lvl w:ilvl="0">
      <w:start w:val="5"/>
      <w:numFmt w:val="upperRoman"/>
      <w:lvlText w:val="%1."/>
      <w:lvlJc w:val="left"/>
      <w:pPr>
        <w:ind w:left="396" w:hanging="295"/>
        <w:jc w:val="right"/>
      </w:pPr>
      <w:rPr>
        <w:rFonts w:hint="default" w:ascii="Arial" w:hAnsi="Arial" w:eastAsia="Arial" w:cs="Arial"/>
        <w:b/>
        <w:bCs/>
        <w:spacing w:val="-2"/>
        <w:w w:val="99"/>
        <w:sz w:val="24"/>
        <w:szCs w:val="24"/>
      </w:rPr>
    </w:lvl>
    <w:lvl w:ilvl="1">
      <w:start w:val="1"/>
      <w:numFmt w:val="bullet"/>
      <w:lvlText w:val="•"/>
      <w:lvlJc w:val="left"/>
      <w:pPr>
        <w:ind w:left="1264" w:hanging="295"/>
      </w:pPr>
      <w:rPr>
        <w:rFonts w:hint="default"/>
      </w:rPr>
    </w:lvl>
    <w:lvl w:ilvl="2">
      <w:start w:val="1"/>
      <w:numFmt w:val="bullet"/>
      <w:lvlText w:val="•"/>
      <w:lvlJc w:val="left"/>
      <w:pPr>
        <w:ind w:left="2128" w:hanging="295"/>
      </w:pPr>
      <w:rPr>
        <w:rFonts w:hint="default"/>
      </w:rPr>
    </w:lvl>
    <w:lvl w:ilvl="3">
      <w:start w:val="1"/>
      <w:numFmt w:val="bullet"/>
      <w:lvlText w:val="•"/>
      <w:lvlJc w:val="left"/>
      <w:pPr>
        <w:ind w:left="2992" w:hanging="295"/>
      </w:pPr>
      <w:rPr>
        <w:rFonts w:hint="default"/>
      </w:rPr>
    </w:lvl>
    <w:lvl w:ilvl="4">
      <w:start w:val="1"/>
      <w:numFmt w:val="bullet"/>
      <w:lvlText w:val="•"/>
      <w:lvlJc w:val="left"/>
      <w:pPr>
        <w:ind w:left="3856" w:hanging="295"/>
      </w:pPr>
      <w:rPr>
        <w:rFonts w:hint="default"/>
      </w:rPr>
    </w:lvl>
    <w:lvl w:ilvl="5">
      <w:start w:val="1"/>
      <w:numFmt w:val="bullet"/>
      <w:lvlText w:val="•"/>
      <w:lvlJc w:val="left"/>
      <w:pPr>
        <w:ind w:left="4720" w:hanging="295"/>
      </w:pPr>
      <w:rPr>
        <w:rFonts w:hint="default"/>
      </w:rPr>
    </w:lvl>
    <w:lvl w:ilvl="6">
      <w:start w:val="1"/>
      <w:numFmt w:val="bullet"/>
      <w:lvlText w:val="•"/>
      <w:lvlJc w:val="left"/>
      <w:pPr>
        <w:ind w:left="5584" w:hanging="295"/>
      </w:pPr>
      <w:rPr>
        <w:rFonts w:hint="default"/>
      </w:rPr>
    </w:lvl>
    <w:lvl w:ilvl="7">
      <w:start w:val="1"/>
      <w:numFmt w:val="bullet"/>
      <w:lvlText w:val="•"/>
      <w:lvlJc w:val="left"/>
      <w:pPr>
        <w:ind w:left="6448" w:hanging="295"/>
      </w:pPr>
      <w:rPr>
        <w:rFonts w:hint="default"/>
      </w:rPr>
    </w:lvl>
    <w:lvl w:ilvl="8">
      <w:start w:val="1"/>
      <w:numFmt w:val="bullet"/>
      <w:lvlText w:val="•"/>
      <w:lvlJc w:val="left"/>
      <w:pPr>
        <w:ind w:left="7312" w:hanging="295"/>
      </w:pPr>
      <w:rPr>
        <w:rFonts w:hint="default"/>
      </w:rPr>
    </w:lvl>
  </w:abstractNum>
  <w:abstractNum w:abstractNumId="10">
    <w:multiLevelType w:val="hybridMultilevel"/>
    <w:lvl w:ilvl="0">
      <w:start w:val="2"/>
      <w:numFmt w:val="upperRoman"/>
      <w:lvlText w:val="%1"/>
      <w:lvlJc w:val="left"/>
      <w:pPr>
        <w:ind w:left="1321" w:hanging="1220"/>
        <w:jc w:val="left"/>
      </w:pPr>
      <w:rPr>
        <w:rFonts w:hint="default"/>
      </w:rPr>
    </w:lvl>
    <w:lvl w:ilvl="1">
      <w:start w:val="11"/>
      <w:numFmt w:val="decimal"/>
      <w:lvlText w:val="%1.%2"/>
      <w:lvlJc w:val="left"/>
      <w:pPr>
        <w:ind w:left="1321" w:hanging="1220"/>
        <w:jc w:val="left"/>
      </w:pPr>
      <w:rPr>
        <w:rFonts w:hint="default"/>
      </w:rPr>
    </w:lvl>
    <w:lvl w:ilvl="2">
      <w:start w:val="1"/>
      <w:numFmt w:val="decimal"/>
      <w:lvlText w:val="%1.%2.%3"/>
      <w:lvlJc w:val="left"/>
      <w:pPr>
        <w:ind w:left="1321" w:hanging="1220"/>
        <w:jc w:val="left"/>
      </w:pPr>
      <w:rPr>
        <w:rFonts w:hint="default"/>
      </w:rPr>
    </w:lvl>
    <w:lvl w:ilvl="3">
      <w:start w:val="2"/>
      <w:numFmt w:val="decimal"/>
      <w:lvlText w:val="%1.%2.%3.%4"/>
      <w:lvlJc w:val="left"/>
      <w:pPr>
        <w:ind w:left="1321" w:hanging="1220"/>
        <w:jc w:val="left"/>
      </w:pPr>
      <w:rPr>
        <w:rFonts w:hint="default"/>
      </w:rPr>
    </w:lvl>
    <w:lvl w:ilvl="4">
      <w:start w:val="2"/>
      <w:numFmt w:val="lowerLetter"/>
      <w:lvlText w:val="%1.%2.%3.%4.%5"/>
      <w:lvlJc w:val="left"/>
      <w:pPr>
        <w:ind w:left="1321" w:hanging="1220"/>
        <w:jc w:val="left"/>
      </w:pPr>
      <w:rPr>
        <w:rFonts w:hint="default" w:ascii="Arial" w:hAnsi="Arial" w:eastAsia="Arial" w:cs="Arial"/>
        <w:b/>
        <w:bCs/>
        <w:spacing w:val="-8"/>
        <w:w w:val="99"/>
        <w:sz w:val="24"/>
        <w:szCs w:val="24"/>
      </w:rPr>
    </w:lvl>
    <w:lvl w:ilvl="5">
      <w:start w:val="1"/>
      <w:numFmt w:val="bullet"/>
      <w:lvlText w:val="•"/>
      <w:lvlJc w:val="left"/>
      <w:pPr>
        <w:ind w:left="5190" w:hanging="1220"/>
      </w:pPr>
      <w:rPr>
        <w:rFonts w:hint="default"/>
      </w:rPr>
    </w:lvl>
    <w:lvl w:ilvl="6">
      <w:start w:val="1"/>
      <w:numFmt w:val="bullet"/>
      <w:lvlText w:val="•"/>
      <w:lvlJc w:val="left"/>
      <w:pPr>
        <w:ind w:left="5964" w:hanging="1220"/>
      </w:pPr>
      <w:rPr>
        <w:rFonts w:hint="default"/>
      </w:rPr>
    </w:lvl>
    <w:lvl w:ilvl="7">
      <w:start w:val="1"/>
      <w:numFmt w:val="bullet"/>
      <w:lvlText w:val="•"/>
      <w:lvlJc w:val="left"/>
      <w:pPr>
        <w:ind w:left="6738" w:hanging="1220"/>
      </w:pPr>
      <w:rPr>
        <w:rFonts w:hint="default"/>
      </w:rPr>
    </w:lvl>
    <w:lvl w:ilvl="8">
      <w:start w:val="1"/>
      <w:numFmt w:val="bullet"/>
      <w:lvlText w:val="•"/>
      <w:lvlJc w:val="left"/>
      <w:pPr>
        <w:ind w:left="7512" w:hanging="1220"/>
      </w:pPr>
      <w:rPr>
        <w:rFonts w:hint="default"/>
      </w:rPr>
    </w:lvl>
  </w:abstractNum>
  <w:abstractNum w:abstractNumId="9">
    <w:multiLevelType w:val="hybridMultilevel"/>
    <w:lvl w:ilvl="0">
      <w:start w:val="2"/>
      <w:numFmt w:val="upperRoman"/>
      <w:lvlText w:val="%1."/>
      <w:lvlJc w:val="left"/>
      <w:pPr>
        <w:ind w:left="370" w:hanging="269"/>
        <w:jc w:val="right"/>
      </w:pPr>
      <w:rPr>
        <w:rFonts w:hint="default" w:ascii="Arial" w:hAnsi="Arial" w:eastAsia="Arial" w:cs="Arial"/>
        <w:b/>
        <w:bCs/>
        <w:spacing w:val="-4"/>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8">
    <w:multiLevelType w:val="hybridMultilevel"/>
    <w:lvl w:ilvl="0">
      <w:start w:val="1"/>
      <w:numFmt w:val="bullet"/>
      <w:lvlText w:val="-"/>
      <w:lvlJc w:val="left"/>
      <w:pPr>
        <w:ind w:left="102" w:hanging="214"/>
      </w:pPr>
      <w:rPr>
        <w:rFonts w:hint="default" w:ascii="Arial" w:hAnsi="Arial" w:eastAsia="Arial" w:cs="Arial"/>
        <w:spacing w:val="-3"/>
        <w:w w:val="99"/>
        <w:sz w:val="24"/>
        <w:szCs w:val="24"/>
      </w:rPr>
    </w:lvl>
    <w:lvl w:ilvl="1">
      <w:start w:val="1"/>
      <w:numFmt w:val="bullet"/>
      <w:lvlText w:val="•"/>
      <w:lvlJc w:val="left"/>
      <w:pPr>
        <w:ind w:left="996" w:hanging="214"/>
      </w:pPr>
      <w:rPr>
        <w:rFonts w:hint="default"/>
      </w:rPr>
    </w:lvl>
    <w:lvl w:ilvl="2">
      <w:start w:val="1"/>
      <w:numFmt w:val="bullet"/>
      <w:lvlText w:val="•"/>
      <w:lvlJc w:val="left"/>
      <w:pPr>
        <w:ind w:left="1892" w:hanging="214"/>
      </w:pPr>
      <w:rPr>
        <w:rFonts w:hint="default"/>
      </w:rPr>
    </w:lvl>
    <w:lvl w:ilvl="3">
      <w:start w:val="1"/>
      <w:numFmt w:val="bullet"/>
      <w:lvlText w:val="•"/>
      <w:lvlJc w:val="left"/>
      <w:pPr>
        <w:ind w:left="2788" w:hanging="214"/>
      </w:pPr>
      <w:rPr>
        <w:rFonts w:hint="default"/>
      </w:rPr>
    </w:lvl>
    <w:lvl w:ilvl="4">
      <w:start w:val="1"/>
      <w:numFmt w:val="bullet"/>
      <w:lvlText w:val="•"/>
      <w:lvlJc w:val="left"/>
      <w:pPr>
        <w:ind w:left="3684" w:hanging="214"/>
      </w:pPr>
      <w:rPr>
        <w:rFonts w:hint="default"/>
      </w:rPr>
    </w:lvl>
    <w:lvl w:ilvl="5">
      <w:start w:val="1"/>
      <w:numFmt w:val="bullet"/>
      <w:lvlText w:val="•"/>
      <w:lvlJc w:val="left"/>
      <w:pPr>
        <w:ind w:left="4580" w:hanging="214"/>
      </w:pPr>
      <w:rPr>
        <w:rFonts w:hint="default"/>
      </w:rPr>
    </w:lvl>
    <w:lvl w:ilvl="6">
      <w:start w:val="1"/>
      <w:numFmt w:val="bullet"/>
      <w:lvlText w:val="•"/>
      <w:lvlJc w:val="left"/>
      <w:pPr>
        <w:ind w:left="5476" w:hanging="214"/>
      </w:pPr>
      <w:rPr>
        <w:rFonts w:hint="default"/>
      </w:rPr>
    </w:lvl>
    <w:lvl w:ilvl="7">
      <w:start w:val="1"/>
      <w:numFmt w:val="bullet"/>
      <w:lvlText w:val="•"/>
      <w:lvlJc w:val="left"/>
      <w:pPr>
        <w:ind w:left="6372" w:hanging="214"/>
      </w:pPr>
      <w:rPr>
        <w:rFonts w:hint="default"/>
      </w:rPr>
    </w:lvl>
    <w:lvl w:ilvl="8">
      <w:start w:val="1"/>
      <w:numFmt w:val="bullet"/>
      <w:lvlText w:val="•"/>
      <w:lvlJc w:val="left"/>
      <w:pPr>
        <w:ind w:left="7268" w:hanging="214"/>
      </w:pPr>
      <w:rPr>
        <w:rFonts w:hint="default"/>
      </w:rPr>
    </w:lvl>
  </w:abstractNum>
  <w:abstractNum w:abstractNumId="7">
    <w:multiLevelType w:val="hybridMultilevel"/>
    <w:lvl w:ilvl="0">
      <w:start w:val="1"/>
      <w:numFmt w:val="bullet"/>
      <w:lvlText w:val="•"/>
      <w:lvlJc w:val="left"/>
      <w:pPr>
        <w:ind w:left="102" w:hanging="151"/>
      </w:pPr>
      <w:rPr>
        <w:rFonts w:hint="default" w:ascii="Arial" w:hAnsi="Arial" w:eastAsia="Arial" w:cs="Arial"/>
        <w:w w:val="99"/>
        <w:sz w:val="24"/>
        <w:szCs w:val="24"/>
      </w:rPr>
    </w:lvl>
    <w:lvl w:ilvl="1">
      <w:start w:val="1"/>
      <w:numFmt w:val="bullet"/>
      <w:lvlText w:val="•"/>
      <w:lvlJc w:val="left"/>
      <w:pPr>
        <w:ind w:left="996" w:hanging="151"/>
      </w:pPr>
      <w:rPr>
        <w:rFonts w:hint="default"/>
      </w:rPr>
    </w:lvl>
    <w:lvl w:ilvl="2">
      <w:start w:val="1"/>
      <w:numFmt w:val="bullet"/>
      <w:lvlText w:val="•"/>
      <w:lvlJc w:val="left"/>
      <w:pPr>
        <w:ind w:left="1892" w:hanging="151"/>
      </w:pPr>
      <w:rPr>
        <w:rFonts w:hint="default"/>
      </w:rPr>
    </w:lvl>
    <w:lvl w:ilvl="3">
      <w:start w:val="1"/>
      <w:numFmt w:val="bullet"/>
      <w:lvlText w:val="•"/>
      <w:lvlJc w:val="left"/>
      <w:pPr>
        <w:ind w:left="2788" w:hanging="151"/>
      </w:pPr>
      <w:rPr>
        <w:rFonts w:hint="default"/>
      </w:rPr>
    </w:lvl>
    <w:lvl w:ilvl="4">
      <w:start w:val="1"/>
      <w:numFmt w:val="bullet"/>
      <w:lvlText w:val="•"/>
      <w:lvlJc w:val="left"/>
      <w:pPr>
        <w:ind w:left="3684" w:hanging="151"/>
      </w:pPr>
      <w:rPr>
        <w:rFonts w:hint="default"/>
      </w:rPr>
    </w:lvl>
    <w:lvl w:ilvl="5">
      <w:start w:val="1"/>
      <w:numFmt w:val="bullet"/>
      <w:lvlText w:val="•"/>
      <w:lvlJc w:val="left"/>
      <w:pPr>
        <w:ind w:left="4580" w:hanging="151"/>
      </w:pPr>
      <w:rPr>
        <w:rFonts w:hint="default"/>
      </w:rPr>
    </w:lvl>
    <w:lvl w:ilvl="6">
      <w:start w:val="1"/>
      <w:numFmt w:val="bullet"/>
      <w:lvlText w:val="•"/>
      <w:lvlJc w:val="left"/>
      <w:pPr>
        <w:ind w:left="5476" w:hanging="151"/>
      </w:pPr>
      <w:rPr>
        <w:rFonts w:hint="default"/>
      </w:rPr>
    </w:lvl>
    <w:lvl w:ilvl="7">
      <w:start w:val="1"/>
      <w:numFmt w:val="bullet"/>
      <w:lvlText w:val="•"/>
      <w:lvlJc w:val="left"/>
      <w:pPr>
        <w:ind w:left="6372" w:hanging="151"/>
      </w:pPr>
      <w:rPr>
        <w:rFonts w:hint="default"/>
      </w:rPr>
    </w:lvl>
    <w:lvl w:ilvl="8">
      <w:start w:val="1"/>
      <w:numFmt w:val="bullet"/>
      <w:lvlText w:val="•"/>
      <w:lvlJc w:val="left"/>
      <w:pPr>
        <w:ind w:left="7268" w:hanging="151"/>
      </w:pPr>
      <w:rPr>
        <w:rFonts w:hint="default"/>
      </w:rPr>
    </w:lvl>
  </w:abstractNum>
  <w:abstractNum w:abstractNumId="6">
    <w:multiLevelType w:val="hybridMultilevel"/>
    <w:lvl w:ilvl="0">
      <w:start w:val="2"/>
      <w:numFmt w:val="upperRoman"/>
      <w:lvlText w:val="%1"/>
      <w:lvlJc w:val="left"/>
      <w:pPr>
        <w:ind w:left="706" w:hanging="605"/>
        <w:jc w:val="left"/>
      </w:pPr>
      <w:rPr>
        <w:rFonts w:hint="default"/>
      </w:rPr>
    </w:lvl>
    <w:lvl w:ilvl="1">
      <w:start w:val="9"/>
      <w:numFmt w:val="decimal"/>
      <w:lvlText w:val="%1.%2"/>
      <w:lvlJc w:val="left"/>
      <w:pPr>
        <w:ind w:left="706" w:hanging="605"/>
        <w:jc w:val="left"/>
      </w:pPr>
      <w:rPr>
        <w:rFonts w:hint="default"/>
      </w:rPr>
    </w:lvl>
    <w:lvl w:ilvl="2">
      <w:start w:val="1"/>
      <w:numFmt w:val="decimal"/>
      <w:lvlText w:val="%1.%2.%3"/>
      <w:lvlJc w:val="left"/>
      <w:pPr>
        <w:ind w:left="706" w:hanging="605"/>
        <w:jc w:val="left"/>
      </w:pPr>
      <w:rPr>
        <w:rFonts w:hint="default" w:ascii="Arial" w:hAnsi="Arial" w:eastAsia="Arial" w:cs="Arial"/>
        <w:b/>
        <w:bCs/>
        <w:spacing w:val="-2"/>
        <w:w w:val="99"/>
        <w:sz w:val="24"/>
        <w:szCs w:val="24"/>
      </w:rPr>
    </w:lvl>
    <w:lvl w:ilvl="3">
      <w:start w:val="1"/>
      <w:numFmt w:val="bullet"/>
      <w:lvlText w:val="•"/>
      <w:lvlJc w:val="left"/>
      <w:pPr>
        <w:ind w:left="3202" w:hanging="605"/>
      </w:pPr>
      <w:rPr>
        <w:rFonts w:hint="default"/>
      </w:rPr>
    </w:lvl>
    <w:lvl w:ilvl="4">
      <w:start w:val="1"/>
      <w:numFmt w:val="bullet"/>
      <w:lvlText w:val="•"/>
      <w:lvlJc w:val="left"/>
      <w:pPr>
        <w:ind w:left="4036" w:hanging="605"/>
      </w:pPr>
      <w:rPr>
        <w:rFonts w:hint="default"/>
      </w:rPr>
    </w:lvl>
    <w:lvl w:ilvl="5">
      <w:start w:val="1"/>
      <w:numFmt w:val="bullet"/>
      <w:lvlText w:val="•"/>
      <w:lvlJc w:val="left"/>
      <w:pPr>
        <w:ind w:left="4870" w:hanging="605"/>
      </w:pPr>
      <w:rPr>
        <w:rFonts w:hint="default"/>
      </w:rPr>
    </w:lvl>
    <w:lvl w:ilvl="6">
      <w:start w:val="1"/>
      <w:numFmt w:val="bullet"/>
      <w:lvlText w:val="•"/>
      <w:lvlJc w:val="left"/>
      <w:pPr>
        <w:ind w:left="5704" w:hanging="605"/>
      </w:pPr>
      <w:rPr>
        <w:rFonts w:hint="default"/>
      </w:rPr>
    </w:lvl>
    <w:lvl w:ilvl="7">
      <w:start w:val="1"/>
      <w:numFmt w:val="bullet"/>
      <w:lvlText w:val="•"/>
      <w:lvlJc w:val="left"/>
      <w:pPr>
        <w:ind w:left="6538" w:hanging="605"/>
      </w:pPr>
      <w:rPr>
        <w:rFonts w:hint="default"/>
      </w:rPr>
    </w:lvl>
    <w:lvl w:ilvl="8">
      <w:start w:val="1"/>
      <w:numFmt w:val="bullet"/>
      <w:lvlText w:val="•"/>
      <w:lvlJc w:val="left"/>
      <w:pPr>
        <w:ind w:left="7372" w:hanging="605"/>
      </w:pPr>
      <w:rPr>
        <w:rFonts w:hint="default"/>
      </w:rPr>
    </w:lvl>
  </w:abstractNum>
  <w:abstractNum w:abstractNumId="5">
    <w:multiLevelType w:val="hybridMultilevel"/>
    <w:lvl w:ilvl="0">
      <w:start w:val="2"/>
      <w:numFmt w:val="upperRoman"/>
      <w:lvlText w:val="%1"/>
      <w:lvlJc w:val="left"/>
      <w:pPr>
        <w:ind w:left="558" w:hanging="456"/>
        <w:jc w:val="left"/>
      </w:pPr>
      <w:rPr>
        <w:rFonts w:hint="default"/>
      </w:rPr>
    </w:lvl>
    <w:lvl w:ilvl="1">
      <w:start w:val="9"/>
      <w:numFmt w:val="decimal"/>
      <w:lvlText w:val="%1.%2."/>
      <w:lvlJc w:val="left"/>
      <w:pPr>
        <w:ind w:left="558" w:hanging="456"/>
        <w:jc w:val="left"/>
      </w:pPr>
      <w:rPr>
        <w:rFonts w:hint="default" w:ascii="Arial" w:hAnsi="Arial" w:eastAsia="Arial" w:cs="Arial"/>
        <w:b/>
        <w:bCs/>
        <w:w w:val="99"/>
        <w:sz w:val="24"/>
        <w:szCs w:val="24"/>
      </w:rPr>
    </w:lvl>
    <w:lvl w:ilvl="2">
      <w:start w:val="1"/>
      <w:numFmt w:val="bullet"/>
      <w:lvlText w:val="•"/>
      <w:lvlJc w:val="left"/>
      <w:pPr>
        <w:ind w:left="2260" w:hanging="456"/>
      </w:pPr>
      <w:rPr>
        <w:rFonts w:hint="default"/>
      </w:rPr>
    </w:lvl>
    <w:lvl w:ilvl="3">
      <w:start w:val="1"/>
      <w:numFmt w:val="bullet"/>
      <w:lvlText w:val="•"/>
      <w:lvlJc w:val="left"/>
      <w:pPr>
        <w:ind w:left="3110" w:hanging="456"/>
      </w:pPr>
      <w:rPr>
        <w:rFonts w:hint="default"/>
      </w:rPr>
    </w:lvl>
    <w:lvl w:ilvl="4">
      <w:start w:val="1"/>
      <w:numFmt w:val="bullet"/>
      <w:lvlText w:val="•"/>
      <w:lvlJc w:val="left"/>
      <w:pPr>
        <w:ind w:left="3960" w:hanging="456"/>
      </w:pPr>
      <w:rPr>
        <w:rFonts w:hint="default"/>
      </w:rPr>
    </w:lvl>
    <w:lvl w:ilvl="5">
      <w:start w:val="1"/>
      <w:numFmt w:val="bullet"/>
      <w:lvlText w:val="•"/>
      <w:lvlJc w:val="left"/>
      <w:pPr>
        <w:ind w:left="4810" w:hanging="456"/>
      </w:pPr>
      <w:rPr>
        <w:rFonts w:hint="default"/>
      </w:rPr>
    </w:lvl>
    <w:lvl w:ilvl="6">
      <w:start w:val="1"/>
      <w:numFmt w:val="bullet"/>
      <w:lvlText w:val="•"/>
      <w:lvlJc w:val="left"/>
      <w:pPr>
        <w:ind w:left="5660" w:hanging="456"/>
      </w:pPr>
      <w:rPr>
        <w:rFonts w:hint="default"/>
      </w:rPr>
    </w:lvl>
    <w:lvl w:ilvl="7">
      <w:start w:val="1"/>
      <w:numFmt w:val="bullet"/>
      <w:lvlText w:val="•"/>
      <w:lvlJc w:val="left"/>
      <w:pPr>
        <w:ind w:left="6510" w:hanging="456"/>
      </w:pPr>
      <w:rPr>
        <w:rFonts w:hint="default"/>
      </w:rPr>
    </w:lvl>
    <w:lvl w:ilvl="8">
      <w:start w:val="1"/>
      <w:numFmt w:val="bullet"/>
      <w:lvlText w:val="•"/>
      <w:lvlJc w:val="left"/>
      <w:pPr>
        <w:ind w:left="7360" w:hanging="456"/>
      </w:pPr>
      <w:rPr>
        <w:rFonts w:hint="default"/>
      </w:rPr>
    </w:lvl>
  </w:abstractNum>
  <w:abstractNum w:abstractNumId="4">
    <w:multiLevelType w:val="hybridMultilevel"/>
    <w:lvl w:ilvl="0">
      <w:start w:val="1"/>
      <w:numFmt w:val="upperLetter"/>
      <w:lvlText w:val="%1)"/>
      <w:lvlJc w:val="left"/>
      <w:pPr>
        <w:ind w:left="159" w:hanging="274"/>
        <w:jc w:val="left"/>
      </w:pPr>
      <w:rPr>
        <w:rFonts w:hint="default" w:ascii="Arial" w:hAnsi="Arial" w:eastAsia="Arial" w:cs="Arial"/>
        <w:spacing w:val="-1"/>
        <w:w w:val="100"/>
        <w:sz w:val="22"/>
        <w:szCs w:val="22"/>
      </w:rPr>
    </w:lvl>
    <w:lvl w:ilvl="1">
      <w:start w:val="1"/>
      <w:numFmt w:val="bullet"/>
      <w:lvlText w:val="•"/>
      <w:lvlJc w:val="left"/>
      <w:pPr>
        <w:ind w:left="597" w:hanging="274"/>
      </w:pPr>
      <w:rPr>
        <w:rFonts w:hint="default"/>
      </w:rPr>
    </w:lvl>
    <w:lvl w:ilvl="2">
      <w:start w:val="1"/>
      <w:numFmt w:val="bullet"/>
      <w:lvlText w:val="•"/>
      <w:lvlJc w:val="left"/>
      <w:pPr>
        <w:ind w:left="1035" w:hanging="274"/>
      </w:pPr>
      <w:rPr>
        <w:rFonts w:hint="default"/>
      </w:rPr>
    </w:lvl>
    <w:lvl w:ilvl="3">
      <w:start w:val="1"/>
      <w:numFmt w:val="bullet"/>
      <w:lvlText w:val="•"/>
      <w:lvlJc w:val="left"/>
      <w:pPr>
        <w:ind w:left="1473" w:hanging="274"/>
      </w:pPr>
      <w:rPr>
        <w:rFonts w:hint="default"/>
      </w:rPr>
    </w:lvl>
    <w:lvl w:ilvl="4">
      <w:start w:val="1"/>
      <w:numFmt w:val="bullet"/>
      <w:lvlText w:val="•"/>
      <w:lvlJc w:val="left"/>
      <w:pPr>
        <w:ind w:left="1911" w:hanging="274"/>
      </w:pPr>
      <w:rPr>
        <w:rFonts w:hint="default"/>
      </w:rPr>
    </w:lvl>
    <w:lvl w:ilvl="5">
      <w:start w:val="1"/>
      <w:numFmt w:val="bullet"/>
      <w:lvlText w:val="•"/>
      <w:lvlJc w:val="left"/>
      <w:pPr>
        <w:ind w:left="2349" w:hanging="274"/>
      </w:pPr>
      <w:rPr>
        <w:rFonts w:hint="default"/>
      </w:rPr>
    </w:lvl>
    <w:lvl w:ilvl="6">
      <w:start w:val="1"/>
      <w:numFmt w:val="bullet"/>
      <w:lvlText w:val="•"/>
      <w:lvlJc w:val="left"/>
      <w:pPr>
        <w:ind w:left="2787" w:hanging="274"/>
      </w:pPr>
      <w:rPr>
        <w:rFonts w:hint="default"/>
      </w:rPr>
    </w:lvl>
    <w:lvl w:ilvl="7">
      <w:start w:val="1"/>
      <w:numFmt w:val="bullet"/>
      <w:lvlText w:val="•"/>
      <w:lvlJc w:val="left"/>
      <w:pPr>
        <w:ind w:left="3224" w:hanging="274"/>
      </w:pPr>
      <w:rPr>
        <w:rFonts w:hint="default"/>
      </w:rPr>
    </w:lvl>
    <w:lvl w:ilvl="8">
      <w:start w:val="1"/>
      <w:numFmt w:val="bullet"/>
      <w:lvlText w:val="•"/>
      <w:lvlJc w:val="left"/>
      <w:pPr>
        <w:ind w:left="3662" w:hanging="274"/>
      </w:pPr>
      <w:rPr>
        <w:rFonts w:hint="default"/>
      </w:rPr>
    </w:lvl>
  </w:abstractNum>
  <w:abstractNum w:abstractNumId="3">
    <w:multiLevelType w:val="hybridMultilevel"/>
    <w:lvl w:ilvl="0">
      <w:start w:val="2"/>
      <w:numFmt w:val="upperRoman"/>
      <w:lvlText w:val="%1"/>
      <w:lvlJc w:val="left"/>
      <w:pPr>
        <w:ind w:left="637" w:hanging="536"/>
        <w:jc w:val="left"/>
      </w:pPr>
      <w:rPr>
        <w:rFonts w:hint="default"/>
      </w:rPr>
    </w:lvl>
    <w:lvl w:ilvl="1">
      <w:start w:val="2"/>
      <w:numFmt w:val="decimal"/>
      <w:lvlText w:val="%1.%2."/>
      <w:lvlJc w:val="left"/>
      <w:pPr>
        <w:ind w:left="637" w:hanging="536"/>
        <w:jc w:val="left"/>
      </w:pPr>
      <w:rPr>
        <w:rFonts w:hint="default" w:ascii="Arial" w:hAnsi="Arial" w:eastAsia="Arial" w:cs="Arial"/>
        <w:b/>
        <w:bCs/>
        <w:spacing w:val="-7"/>
        <w:w w:val="99"/>
        <w:sz w:val="24"/>
        <w:szCs w:val="24"/>
      </w:rPr>
    </w:lvl>
    <w:lvl w:ilvl="2">
      <w:start w:val="1"/>
      <w:numFmt w:val="bullet"/>
      <w:lvlText w:val="•"/>
      <w:lvlJc w:val="left"/>
      <w:pPr>
        <w:ind w:left="2324" w:hanging="536"/>
      </w:pPr>
      <w:rPr>
        <w:rFonts w:hint="default"/>
      </w:rPr>
    </w:lvl>
    <w:lvl w:ilvl="3">
      <w:start w:val="1"/>
      <w:numFmt w:val="bullet"/>
      <w:lvlText w:val="•"/>
      <w:lvlJc w:val="left"/>
      <w:pPr>
        <w:ind w:left="3166" w:hanging="536"/>
      </w:pPr>
      <w:rPr>
        <w:rFonts w:hint="default"/>
      </w:rPr>
    </w:lvl>
    <w:lvl w:ilvl="4">
      <w:start w:val="1"/>
      <w:numFmt w:val="bullet"/>
      <w:lvlText w:val="•"/>
      <w:lvlJc w:val="left"/>
      <w:pPr>
        <w:ind w:left="4008" w:hanging="536"/>
      </w:pPr>
      <w:rPr>
        <w:rFonts w:hint="default"/>
      </w:rPr>
    </w:lvl>
    <w:lvl w:ilvl="5">
      <w:start w:val="1"/>
      <w:numFmt w:val="bullet"/>
      <w:lvlText w:val="•"/>
      <w:lvlJc w:val="left"/>
      <w:pPr>
        <w:ind w:left="4850" w:hanging="536"/>
      </w:pPr>
      <w:rPr>
        <w:rFonts w:hint="default"/>
      </w:rPr>
    </w:lvl>
    <w:lvl w:ilvl="6">
      <w:start w:val="1"/>
      <w:numFmt w:val="bullet"/>
      <w:lvlText w:val="•"/>
      <w:lvlJc w:val="left"/>
      <w:pPr>
        <w:ind w:left="5692" w:hanging="536"/>
      </w:pPr>
      <w:rPr>
        <w:rFonts w:hint="default"/>
      </w:rPr>
    </w:lvl>
    <w:lvl w:ilvl="7">
      <w:start w:val="1"/>
      <w:numFmt w:val="bullet"/>
      <w:lvlText w:val="•"/>
      <w:lvlJc w:val="left"/>
      <w:pPr>
        <w:ind w:left="6534" w:hanging="536"/>
      </w:pPr>
      <w:rPr>
        <w:rFonts w:hint="default"/>
      </w:rPr>
    </w:lvl>
    <w:lvl w:ilvl="8">
      <w:start w:val="1"/>
      <w:numFmt w:val="bullet"/>
      <w:lvlText w:val="•"/>
      <w:lvlJc w:val="left"/>
      <w:pPr>
        <w:ind w:left="7376" w:hanging="536"/>
      </w:pPr>
      <w:rPr>
        <w:rFonts w:hint="default"/>
      </w:rPr>
    </w:lvl>
  </w:abstractNum>
  <w:abstractNum w:abstractNumId="2">
    <w:multiLevelType w:val="hybridMultilevel"/>
    <w:lvl w:ilvl="0">
      <w:start w:val="1"/>
      <w:numFmt w:val="upperRoman"/>
      <w:lvlText w:val="%1."/>
      <w:lvlJc w:val="left"/>
      <w:pPr>
        <w:ind w:left="3687" w:hanging="201"/>
        <w:jc w:val="right"/>
      </w:pPr>
      <w:rPr>
        <w:rFonts w:hint="default" w:ascii="Arial" w:hAnsi="Arial" w:eastAsia="Arial" w:cs="Arial"/>
        <w:b/>
        <w:bCs/>
        <w:spacing w:val="-1"/>
        <w:w w:val="99"/>
        <w:sz w:val="24"/>
        <w:szCs w:val="24"/>
      </w:rPr>
    </w:lvl>
    <w:lvl w:ilvl="1">
      <w:start w:val="1"/>
      <w:numFmt w:val="bullet"/>
      <w:lvlText w:val="•"/>
      <w:lvlJc w:val="left"/>
      <w:pPr>
        <w:ind w:left="4218" w:hanging="201"/>
      </w:pPr>
      <w:rPr>
        <w:rFonts w:hint="default"/>
      </w:rPr>
    </w:lvl>
    <w:lvl w:ilvl="2">
      <w:start w:val="1"/>
      <w:numFmt w:val="bullet"/>
      <w:lvlText w:val="•"/>
      <w:lvlJc w:val="left"/>
      <w:pPr>
        <w:ind w:left="4756" w:hanging="201"/>
      </w:pPr>
      <w:rPr>
        <w:rFonts w:hint="default"/>
      </w:rPr>
    </w:lvl>
    <w:lvl w:ilvl="3">
      <w:start w:val="1"/>
      <w:numFmt w:val="bullet"/>
      <w:lvlText w:val="•"/>
      <w:lvlJc w:val="left"/>
      <w:pPr>
        <w:ind w:left="5294" w:hanging="201"/>
      </w:pPr>
      <w:rPr>
        <w:rFonts w:hint="default"/>
      </w:rPr>
    </w:lvl>
    <w:lvl w:ilvl="4">
      <w:start w:val="1"/>
      <w:numFmt w:val="bullet"/>
      <w:lvlText w:val="•"/>
      <w:lvlJc w:val="left"/>
      <w:pPr>
        <w:ind w:left="5832" w:hanging="201"/>
      </w:pPr>
      <w:rPr>
        <w:rFonts w:hint="default"/>
      </w:rPr>
    </w:lvl>
    <w:lvl w:ilvl="5">
      <w:start w:val="1"/>
      <w:numFmt w:val="bullet"/>
      <w:lvlText w:val="•"/>
      <w:lvlJc w:val="left"/>
      <w:pPr>
        <w:ind w:left="6370" w:hanging="201"/>
      </w:pPr>
      <w:rPr>
        <w:rFonts w:hint="default"/>
      </w:rPr>
    </w:lvl>
    <w:lvl w:ilvl="6">
      <w:start w:val="1"/>
      <w:numFmt w:val="bullet"/>
      <w:lvlText w:val="•"/>
      <w:lvlJc w:val="left"/>
      <w:pPr>
        <w:ind w:left="6908" w:hanging="201"/>
      </w:pPr>
      <w:rPr>
        <w:rFonts w:hint="default"/>
      </w:rPr>
    </w:lvl>
    <w:lvl w:ilvl="7">
      <w:start w:val="1"/>
      <w:numFmt w:val="bullet"/>
      <w:lvlText w:val="•"/>
      <w:lvlJc w:val="left"/>
      <w:pPr>
        <w:ind w:left="7446" w:hanging="201"/>
      </w:pPr>
      <w:rPr>
        <w:rFonts w:hint="default"/>
      </w:rPr>
    </w:lvl>
    <w:lvl w:ilvl="8">
      <w:start w:val="1"/>
      <w:numFmt w:val="bullet"/>
      <w:lvlText w:val="•"/>
      <w:lvlJc w:val="left"/>
      <w:pPr>
        <w:ind w:left="7984" w:hanging="201"/>
      </w:pPr>
      <w:rPr>
        <w:rFonts w:hint="default"/>
      </w:rPr>
    </w:lvl>
  </w:abstractNum>
  <w:abstractNum w:abstractNumId="1">
    <w:multiLevelType w:val="hybridMultilevel"/>
    <w:lvl w:ilvl="0">
      <w:start w:val="2"/>
      <w:numFmt w:val="upperRoman"/>
      <w:lvlText w:val="%1"/>
      <w:lvlJc w:val="left"/>
      <w:pPr>
        <w:ind w:left="1589" w:hanging="528"/>
        <w:jc w:val="left"/>
      </w:pPr>
      <w:rPr>
        <w:rFonts w:hint="default"/>
      </w:rPr>
    </w:lvl>
    <w:lvl w:ilvl="1">
      <w:start w:val="10"/>
      <w:numFmt w:val="decimal"/>
      <w:lvlText w:val="%1.%2"/>
      <w:lvlJc w:val="left"/>
      <w:pPr>
        <w:ind w:left="1589" w:hanging="528"/>
        <w:jc w:val="left"/>
      </w:pPr>
      <w:rPr>
        <w:rFonts w:hint="default" w:ascii="Arial" w:hAnsi="Arial" w:eastAsia="Arial" w:cs="Arial"/>
        <w:w w:val="99"/>
        <w:sz w:val="24"/>
        <w:szCs w:val="24"/>
      </w:rPr>
    </w:lvl>
    <w:lvl w:ilvl="2">
      <w:start w:val="1"/>
      <w:numFmt w:val="bullet"/>
      <w:lvlText w:val="•"/>
      <w:lvlJc w:val="left"/>
      <w:pPr>
        <w:ind w:left="3052" w:hanging="528"/>
      </w:pPr>
      <w:rPr>
        <w:rFonts w:hint="default"/>
      </w:rPr>
    </w:lvl>
    <w:lvl w:ilvl="3">
      <w:start w:val="1"/>
      <w:numFmt w:val="bullet"/>
      <w:lvlText w:val="•"/>
      <w:lvlJc w:val="left"/>
      <w:pPr>
        <w:ind w:left="3788" w:hanging="528"/>
      </w:pPr>
      <w:rPr>
        <w:rFonts w:hint="default"/>
      </w:rPr>
    </w:lvl>
    <w:lvl w:ilvl="4">
      <w:start w:val="1"/>
      <w:numFmt w:val="bullet"/>
      <w:lvlText w:val="•"/>
      <w:lvlJc w:val="left"/>
      <w:pPr>
        <w:ind w:left="4524" w:hanging="528"/>
      </w:pPr>
      <w:rPr>
        <w:rFonts w:hint="default"/>
      </w:rPr>
    </w:lvl>
    <w:lvl w:ilvl="5">
      <w:start w:val="1"/>
      <w:numFmt w:val="bullet"/>
      <w:lvlText w:val="•"/>
      <w:lvlJc w:val="left"/>
      <w:pPr>
        <w:ind w:left="5260" w:hanging="528"/>
      </w:pPr>
      <w:rPr>
        <w:rFonts w:hint="default"/>
      </w:rPr>
    </w:lvl>
    <w:lvl w:ilvl="6">
      <w:start w:val="1"/>
      <w:numFmt w:val="bullet"/>
      <w:lvlText w:val="•"/>
      <w:lvlJc w:val="left"/>
      <w:pPr>
        <w:ind w:left="5996" w:hanging="528"/>
      </w:pPr>
      <w:rPr>
        <w:rFonts w:hint="default"/>
      </w:rPr>
    </w:lvl>
    <w:lvl w:ilvl="7">
      <w:start w:val="1"/>
      <w:numFmt w:val="bullet"/>
      <w:lvlText w:val="•"/>
      <w:lvlJc w:val="left"/>
      <w:pPr>
        <w:ind w:left="6732" w:hanging="528"/>
      </w:pPr>
      <w:rPr>
        <w:rFonts w:hint="default"/>
      </w:rPr>
    </w:lvl>
    <w:lvl w:ilvl="8">
      <w:start w:val="1"/>
      <w:numFmt w:val="bullet"/>
      <w:lvlText w:val="•"/>
      <w:lvlJc w:val="left"/>
      <w:pPr>
        <w:ind w:left="7468" w:hanging="528"/>
      </w:pPr>
      <w:rPr>
        <w:rFonts w:hint="default"/>
      </w:rPr>
    </w:lvl>
  </w:abstractNum>
  <w:abstractNum w:abstractNumId="0">
    <w:multiLevelType w:val="hybridMultilevel"/>
    <w:lvl w:ilvl="0">
      <w:start w:val="1"/>
      <w:numFmt w:val="upperRoman"/>
      <w:lvlText w:val="%1."/>
      <w:lvlJc w:val="left"/>
      <w:pPr>
        <w:ind w:left="1062" w:hanging="720"/>
        <w:jc w:val="left"/>
      </w:pPr>
      <w:rPr>
        <w:rFonts w:hint="default" w:ascii="Arial" w:hAnsi="Arial" w:eastAsia="Arial" w:cs="Arial"/>
        <w:w w:val="100"/>
        <w:sz w:val="24"/>
        <w:szCs w:val="24"/>
      </w:rPr>
    </w:lvl>
    <w:lvl w:ilvl="1">
      <w:start w:val="2"/>
      <w:numFmt w:val="decimal"/>
      <w:lvlText w:val="%1.%2."/>
      <w:lvlJc w:val="left"/>
      <w:pPr>
        <w:ind w:left="1062" w:hanging="468"/>
        <w:jc w:val="left"/>
      </w:pPr>
      <w:rPr>
        <w:rFonts w:hint="default" w:ascii="Arial" w:hAnsi="Arial" w:eastAsia="Arial" w:cs="Arial"/>
        <w:w w:val="100"/>
        <w:sz w:val="24"/>
        <w:szCs w:val="24"/>
      </w:rPr>
    </w:lvl>
    <w:lvl w:ilvl="2">
      <w:start w:val="1"/>
      <w:numFmt w:val="decimal"/>
      <w:lvlText w:val="%1.%2.%3"/>
      <w:lvlJc w:val="left"/>
      <w:pPr>
        <w:ind w:left="2196" w:hanging="600"/>
        <w:jc w:val="left"/>
      </w:pPr>
      <w:rPr>
        <w:rFonts w:hint="default" w:ascii="Arial" w:hAnsi="Arial" w:eastAsia="Arial" w:cs="Arial"/>
        <w:spacing w:val="-2"/>
        <w:w w:val="99"/>
        <w:sz w:val="24"/>
        <w:szCs w:val="24"/>
      </w:rPr>
    </w:lvl>
    <w:lvl w:ilvl="3">
      <w:start w:val="1"/>
      <w:numFmt w:val="decimal"/>
      <w:lvlText w:val="%1.%2.%3.%4"/>
      <w:lvlJc w:val="left"/>
      <w:pPr>
        <w:ind w:left="2397" w:hanging="801"/>
        <w:jc w:val="left"/>
      </w:pPr>
      <w:rPr>
        <w:rFonts w:hint="default" w:ascii="Arial" w:hAnsi="Arial" w:eastAsia="Arial" w:cs="Arial"/>
        <w:spacing w:val="-2"/>
        <w:w w:val="99"/>
        <w:sz w:val="24"/>
        <w:szCs w:val="24"/>
      </w:rPr>
    </w:lvl>
    <w:lvl w:ilvl="4">
      <w:start w:val="1"/>
      <w:numFmt w:val="bullet"/>
      <w:lvlText w:val="•"/>
      <w:lvlJc w:val="left"/>
      <w:pPr>
        <w:ind w:left="4035" w:hanging="801"/>
      </w:pPr>
      <w:rPr>
        <w:rFonts w:hint="default"/>
      </w:rPr>
    </w:lvl>
    <w:lvl w:ilvl="5">
      <w:start w:val="1"/>
      <w:numFmt w:val="bullet"/>
      <w:lvlText w:val="•"/>
      <w:lvlJc w:val="left"/>
      <w:pPr>
        <w:ind w:left="4852" w:hanging="801"/>
      </w:pPr>
      <w:rPr>
        <w:rFonts w:hint="default"/>
      </w:rPr>
    </w:lvl>
    <w:lvl w:ilvl="6">
      <w:start w:val="1"/>
      <w:numFmt w:val="bullet"/>
      <w:lvlText w:val="•"/>
      <w:lvlJc w:val="left"/>
      <w:pPr>
        <w:ind w:left="5670" w:hanging="801"/>
      </w:pPr>
      <w:rPr>
        <w:rFonts w:hint="default"/>
      </w:rPr>
    </w:lvl>
    <w:lvl w:ilvl="7">
      <w:start w:val="1"/>
      <w:numFmt w:val="bullet"/>
      <w:lvlText w:val="•"/>
      <w:lvlJc w:val="left"/>
      <w:pPr>
        <w:ind w:left="6487" w:hanging="801"/>
      </w:pPr>
      <w:rPr>
        <w:rFonts w:hint="default"/>
      </w:rPr>
    </w:lvl>
    <w:lvl w:ilvl="8">
      <w:start w:val="1"/>
      <w:numFmt w:val="bullet"/>
      <w:lvlText w:val="•"/>
      <w:lvlJc w:val="left"/>
      <w:pPr>
        <w:ind w:left="7305" w:hanging="801"/>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102" w:right="1913" w:hanging="3059"/>
      <w:outlineLvl w:val="1"/>
    </w:pPr>
    <w:rPr>
      <w:rFonts w:ascii="Georgia" w:hAnsi="Georgia" w:eastAsia="Georgia" w:cs="Georgia"/>
      <w:b/>
      <w:bCs/>
      <w:sz w:val="28"/>
      <w:szCs w:val="28"/>
    </w:rPr>
  </w:style>
  <w:style w:styleId="Heading2" w:type="paragraph">
    <w:name w:val="Heading 2"/>
    <w:basedOn w:val="Normal"/>
    <w:uiPriority w:val="1"/>
    <w:qFormat/>
    <w:pPr>
      <w:spacing w:line="281" w:lineRule="exact"/>
      <w:outlineLvl w:val="2"/>
    </w:pPr>
    <w:rPr>
      <w:rFonts w:ascii="Calibri" w:hAnsi="Calibri" w:eastAsia="Calibri" w:cs="Calibri"/>
      <w:sz w:val="28"/>
      <w:szCs w:val="28"/>
    </w:rPr>
  </w:style>
  <w:style w:styleId="Heading3" w:type="paragraph">
    <w:name w:val="Heading 3"/>
    <w:basedOn w:val="Normal"/>
    <w:uiPriority w:val="1"/>
    <w:qFormat/>
    <w:pPr>
      <w:ind w:left="102"/>
      <w:jc w:val="both"/>
      <w:outlineLvl w:val="3"/>
    </w:pPr>
    <w:rPr>
      <w:rFonts w:ascii="Georgia" w:hAnsi="Georgia" w:eastAsia="Georgia" w:cs="Georgia"/>
      <w:b/>
      <w:bCs/>
      <w:sz w:val="26"/>
      <w:szCs w:val="26"/>
    </w:rPr>
  </w:style>
  <w:style w:styleId="Heading4" w:type="paragraph">
    <w:name w:val="Heading 4"/>
    <w:basedOn w:val="Normal"/>
    <w:uiPriority w:val="1"/>
    <w:qFormat/>
    <w:pPr>
      <w:spacing w:before="54"/>
      <w:ind w:left="102"/>
      <w:outlineLvl w:val="4"/>
    </w:pPr>
    <w:rPr>
      <w:rFonts w:ascii="Arial" w:hAnsi="Arial" w:eastAsia="Arial" w:cs="Arial"/>
      <w:b/>
      <w:bCs/>
      <w:sz w:val="24"/>
      <w:szCs w:val="24"/>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ind w:left="694"/>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footer" Target="footer4.xml"/><Relationship Id="rId12" Type="http://schemas.openxmlformats.org/officeDocument/2006/relationships/image" Target="media/image4.jpeg"/><Relationship Id="rId13" Type="http://schemas.openxmlformats.org/officeDocument/2006/relationships/footer" Target="footer5.xml"/><Relationship Id="rId14" Type="http://schemas.openxmlformats.org/officeDocument/2006/relationships/image" Target="media/image5.jpeg"/><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image" Target="media/image6.jpe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image" Target="media/image7.png"/><Relationship Id="rId21" Type="http://schemas.openxmlformats.org/officeDocument/2006/relationships/footer" Target="footer10.xml"/><Relationship Id="rId22" Type="http://schemas.openxmlformats.org/officeDocument/2006/relationships/footer" Target="footer11.xml"/><Relationship Id="rId23" Type="http://schemas.openxmlformats.org/officeDocument/2006/relationships/image" Target="media/image8.jpeg"/><Relationship Id="rId24" Type="http://schemas.openxmlformats.org/officeDocument/2006/relationships/footer" Target="footer12.xml"/><Relationship Id="rId25" Type="http://schemas.openxmlformats.org/officeDocument/2006/relationships/footer" Target="footer13.xml"/><Relationship Id="rId26" Type="http://schemas.openxmlformats.org/officeDocument/2006/relationships/image" Target="media/image9.jpeg"/><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image" Target="media/image10.jpeg"/><Relationship Id="rId30" Type="http://schemas.openxmlformats.org/officeDocument/2006/relationships/footer" Target="footer16.xml"/><Relationship Id="rId31" Type="http://schemas.openxmlformats.org/officeDocument/2006/relationships/footer" Target="footer17.xml"/><Relationship Id="rId32" Type="http://schemas.openxmlformats.org/officeDocument/2006/relationships/image" Target="media/image11.jpeg"/><Relationship Id="rId33" Type="http://schemas.openxmlformats.org/officeDocument/2006/relationships/footer" Target="footer18.xml"/><Relationship Id="rId34" Type="http://schemas.openxmlformats.org/officeDocument/2006/relationships/image" Target="media/image12.jpeg"/><Relationship Id="rId35" Type="http://schemas.openxmlformats.org/officeDocument/2006/relationships/image" Target="media/image13.jpeg"/><Relationship Id="rId36" Type="http://schemas.openxmlformats.org/officeDocument/2006/relationships/image" Target="media/image14.jpeg"/><Relationship Id="rId37" Type="http://schemas.openxmlformats.org/officeDocument/2006/relationships/footer" Target="footer19.xml"/><Relationship Id="rId38" Type="http://schemas.openxmlformats.org/officeDocument/2006/relationships/footer" Target="footer20.xml"/><Relationship Id="rId39" Type="http://schemas.openxmlformats.org/officeDocument/2006/relationships/footer" Target="footer21.xml"/><Relationship Id="rId40" Type="http://schemas.openxmlformats.org/officeDocument/2006/relationships/footer" Target="footer22.xml"/><Relationship Id="rId41" Type="http://schemas.openxmlformats.org/officeDocument/2006/relationships/footer" Target="footer23.xml"/><Relationship Id="rId42" Type="http://schemas.openxmlformats.org/officeDocument/2006/relationships/image" Target="media/image15.jpeg"/><Relationship Id="rId43" Type="http://schemas.openxmlformats.org/officeDocument/2006/relationships/footer" Target="footer24.xml"/><Relationship Id="rId44" Type="http://schemas.openxmlformats.org/officeDocument/2006/relationships/footer" Target="footer25.xml"/><Relationship Id="rId45" Type="http://schemas.openxmlformats.org/officeDocument/2006/relationships/footer" Target="footer26.xml"/><Relationship Id="rId46" Type="http://schemas.openxmlformats.org/officeDocument/2006/relationships/image" Target="media/image16.png"/><Relationship Id="rId47" Type="http://schemas.openxmlformats.org/officeDocument/2006/relationships/footer" Target="footer27.xml"/><Relationship Id="rId48" Type="http://schemas.openxmlformats.org/officeDocument/2006/relationships/image" Target="media/image17.jpeg"/><Relationship Id="rId49" Type="http://schemas.openxmlformats.org/officeDocument/2006/relationships/image" Target="media/image18.jpeg"/><Relationship Id="rId50" Type="http://schemas.openxmlformats.org/officeDocument/2006/relationships/image" Target="media/image19.jpeg"/><Relationship Id="rId51" Type="http://schemas.openxmlformats.org/officeDocument/2006/relationships/footer" Target="footer28.xml"/><Relationship Id="rId52" Type="http://schemas.openxmlformats.org/officeDocument/2006/relationships/image" Target="media/image20.jpeg"/><Relationship Id="rId53" Type="http://schemas.openxmlformats.org/officeDocument/2006/relationships/image" Target="media/image21.jpeg"/><Relationship Id="rId54" Type="http://schemas.openxmlformats.org/officeDocument/2006/relationships/footer" Target="footer29.xml"/><Relationship Id="rId55" Type="http://schemas.openxmlformats.org/officeDocument/2006/relationships/footer" Target="footer30.xml"/><Relationship Id="rId56" Type="http://schemas.openxmlformats.org/officeDocument/2006/relationships/image" Target="media/image22.png"/><Relationship Id="rId57" Type="http://schemas.openxmlformats.org/officeDocument/2006/relationships/image" Target="media/image23.png"/><Relationship Id="rId58" Type="http://schemas.openxmlformats.org/officeDocument/2006/relationships/image" Target="media/image24.png"/><Relationship Id="rId59" Type="http://schemas.openxmlformats.org/officeDocument/2006/relationships/image" Target="media/image25.png"/><Relationship Id="rId60" Type="http://schemas.openxmlformats.org/officeDocument/2006/relationships/image" Target="media/image26.png"/><Relationship Id="rId61" Type="http://schemas.openxmlformats.org/officeDocument/2006/relationships/image" Target="media/image27.png"/><Relationship Id="rId62" Type="http://schemas.openxmlformats.org/officeDocument/2006/relationships/image" Target="media/image28.png"/><Relationship Id="rId63" Type="http://schemas.openxmlformats.org/officeDocument/2006/relationships/image" Target="media/image29.png"/><Relationship Id="rId64" Type="http://schemas.openxmlformats.org/officeDocument/2006/relationships/image" Target="media/image30.png"/><Relationship Id="rId65" Type="http://schemas.openxmlformats.org/officeDocument/2006/relationships/image" Target="media/image31.png"/><Relationship Id="rId66" Type="http://schemas.openxmlformats.org/officeDocument/2006/relationships/image" Target="media/image32.png"/><Relationship Id="rId67" Type="http://schemas.openxmlformats.org/officeDocument/2006/relationships/image" Target="media/image33.png"/><Relationship Id="rId68" Type="http://schemas.openxmlformats.org/officeDocument/2006/relationships/image" Target="media/image34.png"/><Relationship Id="rId69" Type="http://schemas.openxmlformats.org/officeDocument/2006/relationships/image" Target="media/image35.png"/><Relationship Id="rId70" Type="http://schemas.openxmlformats.org/officeDocument/2006/relationships/image" Target="media/image36.png"/><Relationship Id="rId71" Type="http://schemas.openxmlformats.org/officeDocument/2006/relationships/image" Target="media/image37.png"/><Relationship Id="rId72" Type="http://schemas.openxmlformats.org/officeDocument/2006/relationships/image" Target="media/image38.png"/><Relationship Id="rId73" Type="http://schemas.openxmlformats.org/officeDocument/2006/relationships/image" Target="media/image39.png"/><Relationship Id="rId74" Type="http://schemas.openxmlformats.org/officeDocument/2006/relationships/image" Target="media/image40.png"/><Relationship Id="rId75" Type="http://schemas.openxmlformats.org/officeDocument/2006/relationships/image" Target="media/image41.png"/><Relationship Id="rId76" Type="http://schemas.openxmlformats.org/officeDocument/2006/relationships/image" Target="media/image42.png"/><Relationship Id="rId77" Type="http://schemas.openxmlformats.org/officeDocument/2006/relationships/image" Target="media/image43.png"/><Relationship Id="rId78" Type="http://schemas.openxmlformats.org/officeDocument/2006/relationships/image" Target="media/image44.png"/><Relationship Id="rId79" Type="http://schemas.openxmlformats.org/officeDocument/2006/relationships/image" Target="media/image45.png"/><Relationship Id="rId80" Type="http://schemas.openxmlformats.org/officeDocument/2006/relationships/image" Target="media/image46.png"/><Relationship Id="rId81" Type="http://schemas.openxmlformats.org/officeDocument/2006/relationships/image" Target="media/image47.png"/><Relationship Id="rId82" Type="http://schemas.openxmlformats.org/officeDocument/2006/relationships/image" Target="media/image48.png"/><Relationship Id="rId83" Type="http://schemas.openxmlformats.org/officeDocument/2006/relationships/image" Target="media/image49.png"/><Relationship Id="rId84" Type="http://schemas.openxmlformats.org/officeDocument/2006/relationships/image" Target="media/image50.png"/><Relationship Id="rId85" Type="http://schemas.openxmlformats.org/officeDocument/2006/relationships/image" Target="media/image51.png"/><Relationship Id="rId86" Type="http://schemas.openxmlformats.org/officeDocument/2006/relationships/image" Target="media/image52.png"/><Relationship Id="rId87" Type="http://schemas.openxmlformats.org/officeDocument/2006/relationships/image" Target="media/image53.png"/><Relationship Id="rId88" Type="http://schemas.openxmlformats.org/officeDocument/2006/relationships/image" Target="media/image54.png"/><Relationship Id="rId89" Type="http://schemas.openxmlformats.org/officeDocument/2006/relationships/image" Target="media/image55.png"/><Relationship Id="rId90" Type="http://schemas.openxmlformats.org/officeDocument/2006/relationships/image" Target="media/image56.png"/><Relationship Id="rId91" Type="http://schemas.openxmlformats.org/officeDocument/2006/relationships/image" Target="media/image57.png"/><Relationship Id="rId92" Type="http://schemas.openxmlformats.org/officeDocument/2006/relationships/image" Target="media/image58.png"/><Relationship Id="rId93" Type="http://schemas.openxmlformats.org/officeDocument/2006/relationships/image" Target="media/image59.png"/><Relationship Id="rId94" Type="http://schemas.openxmlformats.org/officeDocument/2006/relationships/image" Target="media/image60.png"/><Relationship Id="rId95" Type="http://schemas.openxmlformats.org/officeDocument/2006/relationships/image" Target="media/image61.png"/><Relationship Id="rId96" Type="http://schemas.openxmlformats.org/officeDocument/2006/relationships/image" Target="media/image62.png"/><Relationship Id="rId97" Type="http://schemas.openxmlformats.org/officeDocument/2006/relationships/image" Target="media/image63.png"/><Relationship Id="rId98" Type="http://schemas.openxmlformats.org/officeDocument/2006/relationships/image" Target="media/image64.png"/><Relationship Id="rId99" Type="http://schemas.openxmlformats.org/officeDocument/2006/relationships/image" Target="media/image65.png"/><Relationship Id="rId100" Type="http://schemas.openxmlformats.org/officeDocument/2006/relationships/image" Target="media/image66.png"/><Relationship Id="rId101" Type="http://schemas.openxmlformats.org/officeDocument/2006/relationships/image" Target="media/image67.png"/><Relationship Id="rId102" Type="http://schemas.openxmlformats.org/officeDocument/2006/relationships/image" Target="media/image68.png"/><Relationship Id="rId103" Type="http://schemas.openxmlformats.org/officeDocument/2006/relationships/image" Target="media/image69.png"/><Relationship Id="rId104" Type="http://schemas.openxmlformats.org/officeDocument/2006/relationships/image" Target="media/image70.png"/><Relationship Id="rId105" Type="http://schemas.openxmlformats.org/officeDocument/2006/relationships/image" Target="media/image71.png"/><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png"/><Relationship Id="rId111" Type="http://schemas.openxmlformats.org/officeDocument/2006/relationships/image" Target="media/image77.png"/><Relationship Id="rId112" Type="http://schemas.openxmlformats.org/officeDocument/2006/relationships/image" Target="media/image78.png"/><Relationship Id="rId113" Type="http://schemas.openxmlformats.org/officeDocument/2006/relationships/image" Target="media/image79.png"/><Relationship Id="rId114" Type="http://schemas.openxmlformats.org/officeDocument/2006/relationships/image" Target="media/image80.png"/><Relationship Id="rId115" Type="http://schemas.openxmlformats.org/officeDocument/2006/relationships/image" Target="media/image81.png"/><Relationship Id="rId116" Type="http://schemas.openxmlformats.org/officeDocument/2006/relationships/image" Target="media/image82.png"/><Relationship Id="rId117" Type="http://schemas.openxmlformats.org/officeDocument/2006/relationships/image" Target="media/image83.png"/><Relationship Id="rId118" Type="http://schemas.openxmlformats.org/officeDocument/2006/relationships/image" Target="media/image84.png"/><Relationship Id="rId119" Type="http://schemas.openxmlformats.org/officeDocument/2006/relationships/image" Target="media/image85.png"/><Relationship Id="rId120" Type="http://schemas.openxmlformats.org/officeDocument/2006/relationships/image" Target="media/image86.png"/><Relationship Id="rId121" Type="http://schemas.openxmlformats.org/officeDocument/2006/relationships/image" Target="media/image87.png"/><Relationship Id="rId122" Type="http://schemas.openxmlformats.org/officeDocument/2006/relationships/image" Target="media/image88.png"/><Relationship Id="rId123" Type="http://schemas.openxmlformats.org/officeDocument/2006/relationships/image" Target="media/image89.png"/><Relationship Id="rId124" Type="http://schemas.openxmlformats.org/officeDocument/2006/relationships/image" Target="media/image90.png"/><Relationship Id="rId125" Type="http://schemas.openxmlformats.org/officeDocument/2006/relationships/image" Target="media/image91.png"/><Relationship Id="rId126" Type="http://schemas.openxmlformats.org/officeDocument/2006/relationships/image" Target="media/image92.png"/><Relationship Id="rId127" Type="http://schemas.openxmlformats.org/officeDocument/2006/relationships/image" Target="media/image93.png"/><Relationship Id="rId128" Type="http://schemas.openxmlformats.org/officeDocument/2006/relationships/image" Target="media/image94.png"/><Relationship Id="rId129" Type="http://schemas.openxmlformats.org/officeDocument/2006/relationships/image" Target="media/image95.png"/><Relationship Id="rId130" Type="http://schemas.openxmlformats.org/officeDocument/2006/relationships/image" Target="media/image96.png"/><Relationship Id="rId131" Type="http://schemas.openxmlformats.org/officeDocument/2006/relationships/image" Target="media/image97.png"/><Relationship Id="rId132" Type="http://schemas.openxmlformats.org/officeDocument/2006/relationships/image" Target="media/image98.png"/><Relationship Id="rId133" Type="http://schemas.openxmlformats.org/officeDocument/2006/relationships/image" Target="media/image99.png"/><Relationship Id="rId134" Type="http://schemas.openxmlformats.org/officeDocument/2006/relationships/image" Target="media/image100.png"/><Relationship Id="rId135" Type="http://schemas.openxmlformats.org/officeDocument/2006/relationships/image" Target="media/image101.png"/><Relationship Id="rId136" Type="http://schemas.openxmlformats.org/officeDocument/2006/relationships/image" Target="media/image102.png"/><Relationship Id="rId137" Type="http://schemas.openxmlformats.org/officeDocument/2006/relationships/image" Target="media/image103.png"/><Relationship Id="rId138" Type="http://schemas.openxmlformats.org/officeDocument/2006/relationships/image" Target="media/image104.png"/><Relationship Id="rId139" Type="http://schemas.openxmlformats.org/officeDocument/2006/relationships/image" Target="media/image105.png"/><Relationship Id="rId140" Type="http://schemas.openxmlformats.org/officeDocument/2006/relationships/image" Target="media/image106.png"/><Relationship Id="rId141" Type="http://schemas.openxmlformats.org/officeDocument/2006/relationships/image" Target="media/image107.png"/><Relationship Id="rId142" Type="http://schemas.openxmlformats.org/officeDocument/2006/relationships/image" Target="media/image108.png"/><Relationship Id="rId143" Type="http://schemas.openxmlformats.org/officeDocument/2006/relationships/image" Target="media/image109.png"/><Relationship Id="rId144" Type="http://schemas.openxmlformats.org/officeDocument/2006/relationships/image" Target="media/image110.png"/><Relationship Id="rId145" Type="http://schemas.openxmlformats.org/officeDocument/2006/relationships/image" Target="media/image111.png"/><Relationship Id="rId146" Type="http://schemas.openxmlformats.org/officeDocument/2006/relationships/image" Target="media/image112.png"/><Relationship Id="rId147" Type="http://schemas.openxmlformats.org/officeDocument/2006/relationships/image" Target="media/image113.png"/><Relationship Id="rId148" Type="http://schemas.openxmlformats.org/officeDocument/2006/relationships/image" Target="media/image114.png"/><Relationship Id="rId149" Type="http://schemas.openxmlformats.org/officeDocument/2006/relationships/image" Target="media/image115.png"/><Relationship Id="rId150" Type="http://schemas.openxmlformats.org/officeDocument/2006/relationships/image" Target="media/image116.png"/><Relationship Id="rId151" Type="http://schemas.openxmlformats.org/officeDocument/2006/relationships/image" Target="media/image117.png"/><Relationship Id="rId152" Type="http://schemas.openxmlformats.org/officeDocument/2006/relationships/image" Target="media/image118.png"/><Relationship Id="rId153" Type="http://schemas.openxmlformats.org/officeDocument/2006/relationships/image" Target="media/image119.png"/><Relationship Id="rId154" Type="http://schemas.openxmlformats.org/officeDocument/2006/relationships/image" Target="media/image120.png"/><Relationship Id="rId155" Type="http://schemas.openxmlformats.org/officeDocument/2006/relationships/image" Target="media/image121.png"/><Relationship Id="rId156" Type="http://schemas.openxmlformats.org/officeDocument/2006/relationships/image" Target="media/image122.png"/><Relationship Id="rId157" Type="http://schemas.openxmlformats.org/officeDocument/2006/relationships/image" Target="media/image123.png"/><Relationship Id="rId158" Type="http://schemas.openxmlformats.org/officeDocument/2006/relationships/image" Target="media/image124.png"/><Relationship Id="rId159" Type="http://schemas.openxmlformats.org/officeDocument/2006/relationships/image" Target="media/image125.png"/><Relationship Id="rId160" Type="http://schemas.openxmlformats.org/officeDocument/2006/relationships/image" Target="media/image126.png"/><Relationship Id="rId161" Type="http://schemas.openxmlformats.org/officeDocument/2006/relationships/image" Target="media/image127.png"/><Relationship Id="rId162" Type="http://schemas.openxmlformats.org/officeDocument/2006/relationships/image" Target="media/image128.png"/><Relationship Id="rId163" Type="http://schemas.openxmlformats.org/officeDocument/2006/relationships/image" Target="media/image129.png"/><Relationship Id="rId164" Type="http://schemas.openxmlformats.org/officeDocument/2006/relationships/image" Target="media/image130.png"/><Relationship Id="rId165" Type="http://schemas.openxmlformats.org/officeDocument/2006/relationships/image" Target="media/image131.png"/><Relationship Id="rId166" Type="http://schemas.openxmlformats.org/officeDocument/2006/relationships/image" Target="media/image132.png"/><Relationship Id="rId167" Type="http://schemas.openxmlformats.org/officeDocument/2006/relationships/image" Target="media/image133.png"/><Relationship Id="rId168" Type="http://schemas.openxmlformats.org/officeDocument/2006/relationships/image" Target="media/image134.png"/><Relationship Id="rId169" Type="http://schemas.openxmlformats.org/officeDocument/2006/relationships/image" Target="media/image135.png"/><Relationship Id="rId170" Type="http://schemas.openxmlformats.org/officeDocument/2006/relationships/image" Target="media/image136.png"/><Relationship Id="rId171" Type="http://schemas.openxmlformats.org/officeDocument/2006/relationships/image" Target="media/image137.png"/><Relationship Id="rId172" Type="http://schemas.openxmlformats.org/officeDocument/2006/relationships/image" Target="media/image138.png"/><Relationship Id="rId173" Type="http://schemas.openxmlformats.org/officeDocument/2006/relationships/image" Target="media/image139.png"/><Relationship Id="rId174" Type="http://schemas.openxmlformats.org/officeDocument/2006/relationships/image" Target="media/image140.png"/><Relationship Id="rId175" Type="http://schemas.openxmlformats.org/officeDocument/2006/relationships/image" Target="media/image141.png"/><Relationship Id="rId176" Type="http://schemas.openxmlformats.org/officeDocument/2006/relationships/image" Target="media/image142.png"/><Relationship Id="rId177" Type="http://schemas.openxmlformats.org/officeDocument/2006/relationships/image" Target="media/image143.png"/><Relationship Id="rId178" Type="http://schemas.openxmlformats.org/officeDocument/2006/relationships/image" Target="media/image144.png"/><Relationship Id="rId179" Type="http://schemas.openxmlformats.org/officeDocument/2006/relationships/image" Target="media/image145.png"/><Relationship Id="rId180" Type="http://schemas.openxmlformats.org/officeDocument/2006/relationships/image" Target="media/image146.png"/><Relationship Id="rId181" Type="http://schemas.openxmlformats.org/officeDocument/2006/relationships/image" Target="media/image147.png"/><Relationship Id="rId182" Type="http://schemas.openxmlformats.org/officeDocument/2006/relationships/image" Target="media/image148.png"/><Relationship Id="rId183" Type="http://schemas.openxmlformats.org/officeDocument/2006/relationships/image" Target="media/image149.png"/><Relationship Id="rId184" Type="http://schemas.openxmlformats.org/officeDocument/2006/relationships/image" Target="media/image150.png"/><Relationship Id="rId185" Type="http://schemas.openxmlformats.org/officeDocument/2006/relationships/image" Target="media/image151.png"/><Relationship Id="rId186" Type="http://schemas.openxmlformats.org/officeDocument/2006/relationships/image" Target="media/image152.png"/><Relationship Id="rId187" Type="http://schemas.openxmlformats.org/officeDocument/2006/relationships/image" Target="media/image153.png"/><Relationship Id="rId188" Type="http://schemas.openxmlformats.org/officeDocument/2006/relationships/image" Target="media/image154.png"/><Relationship Id="rId189" Type="http://schemas.openxmlformats.org/officeDocument/2006/relationships/image" Target="media/image155.png"/><Relationship Id="rId190" Type="http://schemas.openxmlformats.org/officeDocument/2006/relationships/image" Target="media/image156.png"/><Relationship Id="rId191" Type="http://schemas.openxmlformats.org/officeDocument/2006/relationships/image" Target="media/image157.png"/><Relationship Id="rId192" Type="http://schemas.openxmlformats.org/officeDocument/2006/relationships/image" Target="media/image158.png"/><Relationship Id="rId193" Type="http://schemas.openxmlformats.org/officeDocument/2006/relationships/image" Target="media/image159.png"/><Relationship Id="rId194" Type="http://schemas.openxmlformats.org/officeDocument/2006/relationships/image" Target="media/image160.png"/><Relationship Id="rId195" Type="http://schemas.openxmlformats.org/officeDocument/2006/relationships/image" Target="media/image161.png"/><Relationship Id="rId196" Type="http://schemas.openxmlformats.org/officeDocument/2006/relationships/image" Target="media/image162.png"/><Relationship Id="rId197" Type="http://schemas.openxmlformats.org/officeDocument/2006/relationships/image" Target="media/image163.png"/><Relationship Id="rId198" Type="http://schemas.openxmlformats.org/officeDocument/2006/relationships/image" Target="media/image164.png"/><Relationship Id="rId199" Type="http://schemas.openxmlformats.org/officeDocument/2006/relationships/image" Target="media/image165.png"/><Relationship Id="rId200" Type="http://schemas.openxmlformats.org/officeDocument/2006/relationships/image" Target="media/image166.png"/><Relationship Id="rId201" Type="http://schemas.openxmlformats.org/officeDocument/2006/relationships/image" Target="media/image167.png"/><Relationship Id="rId202" Type="http://schemas.openxmlformats.org/officeDocument/2006/relationships/image" Target="media/image168.png"/><Relationship Id="rId203" Type="http://schemas.openxmlformats.org/officeDocument/2006/relationships/image" Target="media/image169.png"/><Relationship Id="rId204" Type="http://schemas.openxmlformats.org/officeDocument/2006/relationships/image" Target="media/image170.png"/><Relationship Id="rId205" Type="http://schemas.openxmlformats.org/officeDocument/2006/relationships/image" Target="media/image171.png"/><Relationship Id="rId206" Type="http://schemas.openxmlformats.org/officeDocument/2006/relationships/image" Target="media/image172.png"/><Relationship Id="rId207" Type="http://schemas.openxmlformats.org/officeDocument/2006/relationships/image" Target="media/image173.png"/><Relationship Id="rId208" Type="http://schemas.openxmlformats.org/officeDocument/2006/relationships/image" Target="media/image174.png"/><Relationship Id="rId209" Type="http://schemas.openxmlformats.org/officeDocument/2006/relationships/image" Target="media/image175.png"/><Relationship Id="rId210" Type="http://schemas.openxmlformats.org/officeDocument/2006/relationships/image" Target="media/image176.png"/><Relationship Id="rId211" Type="http://schemas.openxmlformats.org/officeDocument/2006/relationships/image" Target="media/image177.png"/><Relationship Id="rId212" Type="http://schemas.openxmlformats.org/officeDocument/2006/relationships/image" Target="media/image178.png"/><Relationship Id="rId213" Type="http://schemas.openxmlformats.org/officeDocument/2006/relationships/image" Target="media/image179.png"/><Relationship Id="rId214" Type="http://schemas.openxmlformats.org/officeDocument/2006/relationships/image" Target="media/image180.png"/><Relationship Id="rId215" Type="http://schemas.openxmlformats.org/officeDocument/2006/relationships/image" Target="media/image181.png"/><Relationship Id="rId216" Type="http://schemas.openxmlformats.org/officeDocument/2006/relationships/image" Target="media/image182.png"/><Relationship Id="rId217" Type="http://schemas.openxmlformats.org/officeDocument/2006/relationships/image" Target="media/image183.png"/><Relationship Id="rId218" Type="http://schemas.openxmlformats.org/officeDocument/2006/relationships/image" Target="media/image184.png"/><Relationship Id="rId219" Type="http://schemas.openxmlformats.org/officeDocument/2006/relationships/image" Target="media/image185.png"/><Relationship Id="rId220" Type="http://schemas.openxmlformats.org/officeDocument/2006/relationships/image" Target="media/image186.png"/><Relationship Id="rId221" Type="http://schemas.openxmlformats.org/officeDocument/2006/relationships/image" Target="media/image187.png"/><Relationship Id="rId222" Type="http://schemas.openxmlformats.org/officeDocument/2006/relationships/image" Target="media/image188.png"/><Relationship Id="rId223" Type="http://schemas.openxmlformats.org/officeDocument/2006/relationships/image" Target="media/image189.png"/><Relationship Id="rId224" Type="http://schemas.openxmlformats.org/officeDocument/2006/relationships/image" Target="media/image190.png"/><Relationship Id="rId225" Type="http://schemas.openxmlformats.org/officeDocument/2006/relationships/image" Target="media/image191.png"/><Relationship Id="rId226" Type="http://schemas.openxmlformats.org/officeDocument/2006/relationships/image" Target="media/image192.png"/><Relationship Id="rId227" Type="http://schemas.openxmlformats.org/officeDocument/2006/relationships/image" Target="media/image193.png"/><Relationship Id="rId228" Type="http://schemas.openxmlformats.org/officeDocument/2006/relationships/image" Target="media/image194.png"/><Relationship Id="rId229" Type="http://schemas.openxmlformats.org/officeDocument/2006/relationships/image" Target="media/image195.png"/><Relationship Id="rId230" Type="http://schemas.openxmlformats.org/officeDocument/2006/relationships/image" Target="media/image196.png"/><Relationship Id="rId231" Type="http://schemas.openxmlformats.org/officeDocument/2006/relationships/image" Target="media/image197.png"/><Relationship Id="rId232" Type="http://schemas.openxmlformats.org/officeDocument/2006/relationships/image" Target="media/image198.png"/><Relationship Id="rId233" Type="http://schemas.openxmlformats.org/officeDocument/2006/relationships/image" Target="media/image199.png"/><Relationship Id="rId234" Type="http://schemas.openxmlformats.org/officeDocument/2006/relationships/image" Target="media/image200.png"/><Relationship Id="rId235" Type="http://schemas.openxmlformats.org/officeDocument/2006/relationships/image" Target="media/image201.png"/><Relationship Id="rId236" Type="http://schemas.openxmlformats.org/officeDocument/2006/relationships/image" Target="media/image202.png"/><Relationship Id="rId237" Type="http://schemas.openxmlformats.org/officeDocument/2006/relationships/image" Target="media/image203.png"/><Relationship Id="rId238" Type="http://schemas.openxmlformats.org/officeDocument/2006/relationships/image" Target="media/image204.png"/><Relationship Id="rId239" Type="http://schemas.openxmlformats.org/officeDocument/2006/relationships/image" Target="media/image205.png"/><Relationship Id="rId240" Type="http://schemas.openxmlformats.org/officeDocument/2006/relationships/image" Target="media/image206.png"/><Relationship Id="rId241" Type="http://schemas.openxmlformats.org/officeDocument/2006/relationships/image" Target="media/image207.png"/><Relationship Id="rId242" Type="http://schemas.openxmlformats.org/officeDocument/2006/relationships/image" Target="media/image208.png"/><Relationship Id="rId243" Type="http://schemas.openxmlformats.org/officeDocument/2006/relationships/image" Target="media/image209.png"/><Relationship Id="rId244" Type="http://schemas.openxmlformats.org/officeDocument/2006/relationships/image" Target="media/image210.png"/><Relationship Id="rId245" Type="http://schemas.openxmlformats.org/officeDocument/2006/relationships/image" Target="media/image211.png"/><Relationship Id="rId246" Type="http://schemas.openxmlformats.org/officeDocument/2006/relationships/image" Target="media/image212.png"/><Relationship Id="rId247" Type="http://schemas.openxmlformats.org/officeDocument/2006/relationships/image" Target="media/image213.png"/><Relationship Id="rId248" Type="http://schemas.openxmlformats.org/officeDocument/2006/relationships/footer" Target="footer31.xml"/><Relationship Id="rId249" Type="http://schemas.openxmlformats.org/officeDocument/2006/relationships/image" Target="media/image214.png"/><Relationship Id="rId250" Type="http://schemas.openxmlformats.org/officeDocument/2006/relationships/image" Target="media/image215.png"/><Relationship Id="rId251" Type="http://schemas.openxmlformats.org/officeDocument/2006/relationships/image" Target="media/image216.png"/><Relationship Id="rId252" Type="http://schemas.openxmlformats.org/officeDocument/2006/relationships/image" Target="media/image217.png"/><Relationship Id="rId253" Type="http://schemas.openxmlformats.org/officeDocument/2006/relationships/image" Target="media/image218.png"/><Relationship Id="rId254" Type="http://schemas.openxmlformats.org/officeDocument/2006/relationships/image" Target="media/image219.png"/><Relationship Id="rId255" Type="http://schemas.openxmlformats.org/officeDocument/2006/relationships/image" Target="media/image220.png"/><Relationship Id="rId256" Type="http://schemas.openxmlformats.org/officeDocument/2006/relationships/image" Target="media/image221.png"/><Relationship Id="rId257" Type="http://schemas.openxmlformats.org/officeDocument/2006/relationships/image" Target="media/image222.png"/><Relationship Id="rId258" Type="http://schemas.openxmlformats.org/officeDocument/2006/relationships/image" Target="media/image223.png"/><Relationship Id="rId259" Type="http://schemas.openxmlformats.org/officeDocument/2006/relationships/image" Target="media/image224.png"/><Relationship Id="rId260" Type="http://schemas.openxmlformats.org/officeDocument/2006/relationships/image" Target="media/image225.png"/><Relationship Id="rId261" Type="http://schemas.openxmlformats.org/officeDocument/2006/relationships/image" Target="media/image226.png"/><Relationship Id="rId262" Type="http://schemas.openxmlformats.org/officeDocument/2006/relationships/image" Target="media/image227.png"/><Relationship Id="rId263" Type="http://schemas.openxmlformats.org/officeDocument/2006/relationships/image" Target="media/image228.png"/><Relationship Id="rId264" Type="http://schemas.openxmlformats.org/officeDocument/2006/relationships/image" Target="media/image229.png"/><Relationship Id="rId265" Type="http://schemas.openxmlformats.org/officeDocument/2006/relationships/image" Target="media/image230.png"/><Relationship Id="rId266" Type="http://schemas.openxmlformats.org/officeDocument/2006/relationships/image" Target="media/image231.png"/><Relationship Id="rId267" Type="http://schemas.openxmlformats.org/officeDocument/2006/relationships/image" Target="media/image232.png"/><Relationship Id="rId268" Type="http://schemas.openxmlformats.org/officeDocument/2006/relationships/image" Target="media/image233.png"/><Relationship Id="rId269" Type="http://schemas.openxmlformats.org/officeDocument/2006/relationships/image" Target="media/image234.png"/><Relationship Id="rId270" Type="http://schemas.openxmlformats.org/officeDocument/2006/relationships/image" Target="media/image235.png"/><Relationship Id="rId271" Type="http://schemas.openxmlformats.org/officeDocument/2006/relationships/image" Target="media/image236.png"/><Relationship Id="rId272" Type="http://schemas.openxmlformats.org/officeDocument/2006/relationships/image" Target="media/image237.png"/><Relationship Id="rId273" Type="http://schemas.openxmlformats.org/officeDocument/2006/relationships/image" Target="media/image238.png"/><Relationship Id="rId274" Type="http://schemas.openxmlformats.org/officeDocument/2006/relationships/footer" Target="footer32.xml"/><Relationship Id="rId275" Type="http://schemas.openxmlformats.org/officeDocument/2006/relationships/footer" Target="footer33.xml"/><Relationship Id="rId276" Type="http://schemas.openxmlformats.org/officeDocument/2006/relationships/image" Target="media/image239.jpeg"/><Relationship Id="rId277" Type="http://schemas.openxmlformats.org/officeDocument/2006/relationships/footer" Target="footer34.xml"/><Relationship Id="rId278" Type="http://schemas.openxmlformats.org/officeDocument/2006/relationships/footer" Target="footer35.xml"/><Relationship Id="rId279" Type="http://schemas.openxmlformats.org/officeDocument/2006/relationships/hyperlink" Target="http://www.ncbi.nlm.nih.gov/pubmed/?term=Beck%20CE%5BAuthor%5D&amp;amp;cauthor=true&amp;amp;cauthor_uid=17840536" TargetMode="External"/><Relationship Id="rId280" Type="http://schemas.openxmlformats.org/officeDocument/2006/relationships/hyperlink" Target="http://www.ncbi.nlm.nih.gov/pubmed/?term=Wyckoff%20RW%5BAuthor%5D&amp;amp;cauthor=true&amp;amp;cauthor_uid=17840536" TargetMode="External"/><Relationship Id="rId281" Type="http://schemas.openxmlformats.org/officeDocument/2006/relationships/hyperlink" Target="http://www.ncbi.nlm.nih.gov/pubmed/17840536" TargetMode="External"/><Relationship Id="rId282" Type="http://schemas.openxmlformats.org/officeDocument/2006/relationships/footer" Target="footer36.xml"/><Relationship Id="rId283" Type="http://schemas.openxmlformats.org/officeDocument/2006/relationships/hyperlink" Target="http://www.ceniap.gov.ve/bdigital/congresos/jornadas/web/mhi" TargetMode="External"/><Relationship Id="rId284" Type="http://schemas.openxmlformats.org/officeDocument/2006/relationships/footer" Target="footer37.xml"/><Relationship Id="rId285" Type="http://schemas.openxmlformats.org/officeDocument/2006/relationships/footer" Target="footer38.xml"/><Relationship Id="rId286" Type="http://schemas.openxmlformats.org/officeDocument/2006/relationships/image" Target="media/image240.jpeg"/><Relationship Id="rId287" Type="http://schemas.openxmlformats.org/officeDocument/2006/relationships/image" Target="media/image241.jpeg"/><Relationship Id="rId288" Type="http://schemas.openxmlformats.org/officeDocument/2006/relationships/image" Target="media/image242.jpeg"/><Relationship Id="rId289" Type="http://schemas.openxmlformats.org/officeDocument/2006/relationships/image" Target="media/image243.jpeg"/><Relationship Id="rId290" Type="http://schemas.openxmlformats.org/officeDocument/2006/relationships/image" Target="media/image244.jpeg"/><Relationship Id="rId291" Type="http://schemas.openxmlformats.org/officeDocument/2006/relationships/image" Target="media/image245.jpeg"/><Relationship Id="rId292" Type="http://schemas.openxmlformats.org/officeDocument/2006/relationships/image" Target="media/image246.jpeg"/><Relationship Id="rId293" Type="http://schemas.openxmlformats.org/officeDocument/2006/relationships/footer" Target="footer39.xml"/><Relationship Id="rId294" Type="http://schemas.openxmlformats.org/officeDocument/2006/relationships/image" Target="media/image247.jpeg"/><Relationship Id="rId295" Type="http://schemas.openxmlformats.org/officeDocument/2006/relationships/image" Target="media/image248.jpeg"/><Relationship Id="rId296" Type="http://schemas.openxmlformats.org/officeDocument/2006/relationships/footer" Target="footer40.xml"/><Relationship Id="rId297" Type="http://schemas.openxmlformats.org/officeDocument/2006/relationships/image" Target="media/image249.jpeg"/><Relationship Id="rId298" Type="http://schemas.openxmlformats.org/officeDocument/2006/relationships/footer" Target="footer41.xml"/><Relationship Id="rId299" Type="http://schemas.openxmlformats.org/officeDocument/2006/relationships/footer" Target="footer42.xml"/><Relationship Id="rId300" Type="http://schemas.openxmlformats.org/officeDocument/2006/relationships/footer" Target="footer43.xml"/><Relationship Id="rId301" Type="http://schemas.openxmlformats.org/officeDocument/2006/relationships/footer" Target="footer44.xml"/><Relationship Id="rId302" Type="http://schemas.openxmlformats.org/officeDocument/2006/relationships/image" Target="media/image250.png"/><Relationship Id="rId303" Type="http://schemas.openxmlformats.org/officeDocument/2006/relationships/footer" Target="footer45.xml"/><Relationship Id="rId304" Type="http://schemas.openxmlformats.org/officeDocument/2006/relationships/image" Target="media/image251.jpeg"/><Relationship Id="rId305" Type="http://schemas.openxmlformats.org/officeDocument/2006/relationships/footer" Target="footer46.xml"/><Relationship Id="rId306" Type="http://schemas.openxmlformats.org/officeDocument/2006/relationships/footer" Target="footer47.xml"/><Relationship Id="rId30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 F</dc:creator>
  <dcterms:created xsi:type="dcterms:W3CDTF">2017-05-19T03:28:23Z</dcterms:created>
  <dcterms:modified xsi:type="dcterms:W3CDTF">2017-05-19T03:28:23Z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2016-04-18T00:00:00Z</vt:filetime>
  </property>
  <property fmtid="{D5CDD505-2E9C-101B-9397-08002B2CF9AE}" pid="3" name="Creator">
    <vt:lpwstr>Microsoft® Word 2013</vt:lpwstr>
  </property>
  <property fmtid="{D5CDD505-2E9C-101B-9397-08002B2CF9AE}" pid="4" name="LastSaved">
    <vt:filetime>2017-05-19T00:00:00Z</vt:filetime>
  </property>
</Properties>
</file>