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spacing w:line="420" w:lineRule="auto" w:before="66"/>
        <w:ind w:left="3404" w:right="2181" w:firstLine="0"/>
        <w:jc w:val="center"/>
        <w:rPr>
          <w:b/>
          <w:sz w:val="31"/>
        </w:rPr>
      </w:pPr>
      <w:r>
        <w:rPr/>
        <w:drawing>
          <wp:anchor distT="0" distB="0" distL="0" distR="0" allowOverlap="1" layoutInCell="1" locked="0" behindDoc="0" simplePos="0" relativeHeight="0">
            <wp:simplePos x="0" y="0"/>
            <wp:positionH relativeFrom="page">
              <wp:posOffset>448055</wp:posOffset>
            </wp:positionH>
            <wp:positionV relativeFrom="paragraph">
              <wp:posOffset>-419622</wp:posOffset>
            </wp:positionV>
            <wp:extent cx="1335024" cy="117957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35024" cy="1179576"/>
                    </a:xfrm>
                    <a:prstGeom prst="rect">
                      <a:avLst/>
                    </a:prstGeom>
                  </pic:spPr>
                </pic:pic>
              </a:graphicData>
            </a:graphic>
          </wp:anchor>
        </w:drawing>
      </w:r>
      <w:r>
        <w:rPr>
          <w:b/>
          <w:sz w:val="31"/>
        </w:rPr>
        <w:t>UNIVERSIDAD AUTÓNOMA DEL ESTADO  DE MÉXICO</w:t>
      </w:r>
    </w:p>
    <w:p>
      <w:pPr>
        <w:spacing w:line="319" w:lineRule="exact" w:before="0"/>
        <w:ind w:left="2167" w:right="0" w:firstLine="0"/>
        <w:jc w:val="left"/>
        <w:rPr>
          <w:i/>
          <w:sz w:val="28"/>
        </w:rPr>
      </w:pPr>
      <w:r>
        <w:rPr>
          <w:i/>
          <w:sz w:val="28"/>
        </w:rPr>
        <w:t>Maestría en Ciencias Agropecuarias y Recursos Naturales</w:t>
      </w:r>
    </w:p>
    <w:p>
      <w:pPr>
        <w:pStyle w:val="BodyText"/>
        <w:rPr>
          <w:i/>
          <w:sz w:val="28"/>
        </w:rPr>
      </w:pPr>
    </w:p>
    <w:p>
      <w:pPr>
        <w:pStyle w:val="BodyText"/>
        <w:rPr>
          <w:i/>
          <w:sz w:val="28"/>
        </w:rPr>
      </w:pPr>
    </w:p>
    <w:p>
      <w:pPr>
        <w:pStyle w:val="BodyText"/>
        <w:rPr>
          <w:i/>
          <w:sz w:val="30"/>
        </w:rPr>
      </w:pPr>
    </w:p>
    <w:p>
      <w:pPr>
        <w:spacing w:line="312" w:lineRule="auto" w:before="0"/>
        <w:ind w:left="1339" w:right="113" w:firstLine="0"/>
        <w:jc w:val="center"/>
        <w:rPr>
          <w:b/>
          <w:sz w:val="26"/>
        </w:rPr>
      </w:pPr>
      <w:r>
        <w:rPr>
          <w:b/>
          <w:sz w:val="31"/>
        </w:rPr>
        <w:t>E</w:t>
      </w:r>
      <w:r>
        <w:rPr>
          <w:b/>
          <w:sz w:val="26"/>
        </w:rPr>
        <w:t>FECTO DE HONGOS NEMATÓFAGOS SOBRE LA DISPONIBILIDAD DE NUTRIMENTOS EN EL SUELO</w:t>
      </w:r>
    </w:p>
    <w:p>
      <w:pPr>
        <w:pStyle w:val="BodyText"/>
        <w:rPr>
          <w:b/>
          <w:sz w:val="26"/>
        </w:rPr>
      </w:pPr>
    </w:p>
    <w:p>
      <w:pPr>
        <w:pStyle w:val="BodyText"/>
        <w:rPr>
          <w:b/>
          <w:sz w:val="26"/>
        </w:rPr>
      </w:pPr>
    </w:p>
    <w:p>
      <w:pPr>
        <w:pStyle w:val="BodyText"/>
        <w:rPr>
          <w:b/>
          <w:sz w:val="26"/>
        </w:rPr>
      </w:pPr>
    </w:p>
    <w:p>
      <w:pPr>
        <w:spacing w:before="160"/>
        <w:ind w:left="3403" w:right="2181" w:firstLine="0"/>
        <w:jc w:val="center"/>
        <w:rPr>
          <w:b/>
          <w:sz w:val="40"/>
        </w:rPr>
      </w:pPr>
      <w:r>
        <w:rPr>
          <w:b/>
          <w:sz w:val="40"/>
        </w:rPr>
        <w:t>T E S I   S</w:t>
      </w:r>
    </w:p>
    <w:p>
      <w:pPr>
        <w:pStyle w:val="BodyText"/>
        <w:rPr>
          <w:b/>
          <w:sz w:val="40"/>
        </w:rPr>
      </w:pPr>
    </w:p>
    <w:p>
      <w:pPr>
        <w:pStyle w:val="BodyText"/>
        <w:rPr>
          <w:b/>
          <w:sz w:val="40"/>
        </w:rPr>
      </w:pPr>
    </w:p>
    <w:p>
      <w:pPr>
        <w:pStyle w:val="BodyText"/>
        <w:spacing w:before="4"/>
        <w:rPr>
          <w:b/>
          <w:sz w:val="38"/>
        </w:rPr>
      </w:pPr>
    </w:p>
    <w:p>
      <w:pPr>
        <w:spacing w:before="0"/>
        <w:ind w:left="1333" w:right="113" w:firstLine="0"/>
        <w:jc w:val="center"/>
        <w:rPr>
          <w:sz w:val="21"/>
        </w:rPr>
      </w:pPr>
      <w:r>
        <w:rPr>
          <w:w w:val="105"/>
          <w:sz w:val="28"/>
        </w:rPr>
        <w:t>Q</w:t>
      </w:r>
      <w:r>
        <w:rPr>
          <w:w w:val="105"/>
          <w:sz w:val="21"/>
        </w:rPr>
        <w:t>UE PARA OBTENER EL GRADO DE </w:t>
      </w:r>
      <w:r>
        <w:rPr>
          <w:w w:val="105"/>
          <w:sz w:val="28"/>
        </w:rPr>
        <w:t>M</w:t>
      </w:r>
      <w:r>
        <w:rPr>
          <w:w w:val="105"/>
          <w:sz w:val="21"/>
        </w:rPr>
        <w:t>AESTRA EN </w:t>
      </w:r>
      <w:r>
        <w:rPr>
          <w:w w:val="105"/>
          <w:sz w:val="28"/>
        </w:rPr>
        <w:t>C</w:t>
      </w:r>
      <w:r>
        <w:rPr>
          <w:w w:val="105"/>
          <w:sz w:val="21"/>
        </w:rPr>
        <w:t>IENCIAS </w:t>
      </w:r>
      <w:r>
        <w:rPr>
          <w:w w:val="105"/>
          <w:sz w:val="28"/>
        </w:rPr>
        <w:t>A</w:t>
      </w:r>
      <w:r>
        <w:rPr>
          <w:w w:val="105"/>
          <w:sz w:val="21"/>
        </w:rPr>
        <w:t>GROPECUARIAS Y</w:t>
      </w:r>
    </w:p>
    <w:p>
      <w:pPr>
        <w:spacing w:before="163"/>
        <w:ind w:left="3404" w:right="2181" w:firstLine="0"/>
        <w:jc w:val="center"/>
        <w:rPr>
          <w:sz w:val="21"/>
        </w:rPr>
      </w:pPr>
      <w:r>
        <w:rPr>
          <w:sz w:val="28"/>
        </w:rPr>
        <w:t>R</w:t>
      </w:r>
      <w:r>
        <w:rPr>
          <w:sz w:val="21"/>
        </w:rPr>
        <w:t>ECURSOS  </w:t>
      </w:r>
      <w:r>
        <w:rPr>
          <w:sz w:val="28"/>
        </w:rPr>
        <w:t>N</w:t>
      </w:r>
      <w:r>
        <w:rPr>
          <w:sz w:val="21"/>
        </w:rPr>
        <w:t>ATURALES</w:t>
      </w:r>
    </w:p>
    <w:p>
      <w:pPr>
        <w:pStyle w:val="BodyText"/>
        <w:rPr>
          <w:sz w:val="28"/>
        </w:rPr>
      </w:pPr>
    </w:p>
    <w:p>
      <w:pPr>
        <w:spacing w:before="162"/>
        <w:ind w:left="3403" w:right="2181" w:firstLine="0"/>
        <w:jc w:val="center"/>
        <w:rPr>
          <w:sz w:val="28"/>
        </w:rPr>
      </w:pPr>
      <w:r>
        <w:rPr>
          <w:sz w:val="21"/>
        </w:rPr>
        <w:t>PRESENTA</w:t>
      </w:r>
      <w:r>
        <w:rPr>
          <w:sz w:val="28"/>
        </w:rPr>
        <w:t>:</w:t>
      </w:r>
    </w:p>
    <w:p>
      <w:pPr>
        <w:pStyle w:val="BodyText"/>
        <w:rPr>
          <w:sz w:val="28"/>
        </w:rPr>
      </w:pPr>
    </w:p>
    <w:p>
      <w:pPr>
        <w:spacing w:before="162"/>
        <w:ind w:left="3401" w:right="2181" w:firstLine="0"/>
        <w:jc w:val="center"/>
        <w:rPr>
          <w:b/>
          <w:sz w:val="21"/>
        </w:rPr>
      </w:pPr>
      <w:r>
        <w:rPr>
          <w:b/>
          <w:sz w:val="28"/>
        </w:rPr>
        <w:t>D</w:t>
      </w:r>
      <w:r>
        <w:rPr>
          <w:b/>
          <w:sz w:val="21"/>
        </w:rPr>
        <w:t>INORAH  </w:t>
      </w:r>
      <w:r>
        <w:rPr>
          <w:b/>
          <w:sz w:val="28"/>
        </w:rPr>
        <w:t>L</w:t>
      </w:r>
      <w:r>
        <w:rPr>
          <w:b/>
          <w:sz w:val="21"/>
        </w:rPr>
        <w:t>ISSETTE  </w:t>
      </w:r>
      <w:r>
        <w:rPr>
          <w:b/>
          <w:sz w:val="28"/>
        </w:rPr>
        <w:t>L</w:t>
      </w:r>
      <w:r>
        <w:rPr>
          <w:b/>
          <w:sz w:val="21"/>
        </w:rPr>
        <w:t>IMA </w:t>
      </w:r>
      <w:r>
        <w:rPr>
          <w:b/>
          <w:sz w:val="28"/>
        </w:rPr>
        <w:t>R</w:t>
      </w:r>
      <w:r>
        <w:rPr>
          <w:b/>
          <w:sz w:val="21"/>
        </w:rPr>
        <w:t>IVERA</w:t>
      </w:r>
    </w:p>
    <w:p>
      <w:pPr>
        <w:pStyle w:val="BodyText"/>
        <w:rPr>
          <w:b/>
          <w:sz w:val="28"/>
        </w:rPr>
      </w:pPr>
    </w:p>
    <w:p>
      <w:pPr>
        <w:pStyle w:val="BodyText"/>
        <w:spacing w:before="9"/>
        <w:rPr>
          <w:b/>
          <w:sz w:val="37"/>
        </w:rPr>
      </w:pPr>
    </w:p>
    <w:p>
      <w:pPr>
        <w:pStyle w:val="BodyText"/>
        <w:ind w:left="3404" w:right="2181"/>
        <w:jc w:val="center"/>
      </w:pPr>
      <w:r>
        <w:rPr/>
        <w:t>COMITÉ DE TUTORES</w:t>
      </w:r>
    </w:p>
    <w:p>
      <w:pPr>
        <w:pStyle w:val="BodyText"/>
        <w:rPr>
          <w:sz w:val="21"/>
        </w:rPr>
      </w:pPr>
    </w:p>
    <w:p>
      <w:pPr>
        <w:spacing w:line="451" w:lineRule="auto" w:before="1"/>
        <w:ind w:left="3665" w:right="2442" w:hanging="1"/>
        <w:jc w:val="center"/>
        <w:rPr>
          <w:sz w:val="18"/>
        </w:rPr>
      </w:pPr>
      <w:r>
        <w:rPr>
          <w:w w:val="105"/>
          <w:sz w:val="24"/>
        </w:rPr>
        <w:t>D</w:t>
      </w:r>
      <w:r>
        <w:rPr>
          <w:w w:val="105"/>
          <w:sz w:val="18"/>
        </w:rPr>
        <w:t>RA</w:t>
      </w:r>
      <w:r>
        <w:rPr>
          <w:w w:val="105"/>
          <w:sz w:val="24"/>
        </w:rPr>
        <w:t>. A</w:t>
      </w:r>
      <w:r>
        <w:rPr>
          <w:w w:val="105"/>
          <w:sz w:val="18"/>
        </w:rPr>
        <w:t>LMA </w:t>
      </w:r>
      <w:r>
        <w:rPr>
          <w:w w:val="105"/>
          <w:sz w:val="24"/>
        </w:rPr>
        <w:t>S. V</w:t>
      </w:r>
      <w:r>
        <w:rPr>
          <w:w w:val="105"/>
          <w:sz w:val="18"/>
        </w:rPr>
        <w:t>ELÁZQUEZ </w:t>
      </w:r>
      <w:r>
        <w:rPr>
          <w:w w:val="105"/>
          <w:sz w:val="24"/>
        </w:rPr>
        <w:t>R</w:t>
      </w:r>
      <w:r>
        <w:rPr>
          <w:w w:val="105"/>
          <w:sz w:val="18"/>
        </w:rPr>
        <w:t>ODRÍGUEZ </w:t>
      </w:r>
      <w:r>
        <w:rPr>
          <w:w w:val="105"/>
          <w:sz w:val="24"/>
        </w:rPr>
        <w:t>D</w:t>
      </w:r>
      <w:r>
        <w:rPr>
          <w:w w:val="105"/>
          <w:sz w:val="18"/>
        </w:rPr>
        <w:t>RA</w:t>
      </w:r>
      <w:r>
        <w:rPr>
          <w:w w:val="105"/>
          <w:sz w:val="24"/>
        </w:rPr>
        <w:t>.</w:t>
      </w:r>
      <w:r>
        <w:rPr>
          <w:spacing w:val="-28"/>
          <w:w w:val="105"/>
          <w:sz w:val="24"/>
        </w:rPr>
        <w:t> </w:t>
      </w:r>
      <w:r>
        <w:rPr>
          <w:w w:val="105"/>
          <w:sz w:val="24"/>
        </w:rPr>
        <w:t>G</w:t>
      </w:r>
      <w:r>
        <w:rPr>
          <w:w w:val="105"/>
          <w:sz w:val="18"/>
        </w:rPr>
        <w:t>LORIA</w:t>
      </w:r>
      <w:r>
        <w:rPr>
          <w:spacing w:val="-10"/>
          <w:w w:val="105"/>
          <w:sz w:val="18"/>
        </w:rPr>
        <w:t> </w:t>
      </w:r>
      <w:r>
        <w:rPr>
          <w:w w:val="105"/>
          <w:sz w:val="24"/>
        </w:rPr>
        <w:t>L</w:t>
      </w:r>
      <w:r>
        <w:rPr>
          <w:w w:val="105"/>
          <w:sz w:val="18"/>
        </w:rPr>
        <w:t>UZ</w:t>
      </w:r>
      <w:r>
        <w:rPr>
          <w:spacing w:val="-10"/>
          <w:w w:val="105"/>
          <w:sz w:val="18"/>
        </w:rPr>
        <w:t> </w:t>
      </w:r>
      <w:r>
        <w:rPr>
          <w:w w:val="105"/>
          <w:sz w:val="24"/>
        </w:rPr>
        <w:t>L.</w:t>
      </w:r>
      <w:r>
        <w:rPr>
          <w:spacing w:val="-28"/>
          <w:w w:val="105"/>
          <w:sz w:val="24"/>
        </w:rPr>
        <w:t> </w:t>
      </w:r>
      <w:r>
        <w:rPr>
          <w:w w:val="105"/>
          <w:sz w:val="24"/>
        </w:rPr>
        <w:t>C</w:t>
      </w:r>
      <w:r>
        <w:rPr>
          <w:w w:val="105"/>
          <w:sz w:val="18"/>
        </w:rPr>
        <w:t>ARRIÓN</w:t>
      </w:r>
      <w:r>
        <w:rPr>
          <w:spacing w:val="-10"/>
          <w:w w:val="105"/>
          <w:sz w:val="18"/>
        </w:rPr>
        <w:t> </w:t>
      </w:r>
      <w:r>
        <w:rPr>
          <w:w w:val="105"/>
          <w:sz w:val="24"/>
        </w:rPr>
        <w:t>V</w:t>
      </w:r>
      <w:r>
        <w:rPr>
          <w:w w:val="105"/>
          <w:sz w:val="18"/>
        </w:rPr>
        <w:t>ILLARNOVO </w:t>
      </w:r>
      <w:r>
        <w:rPr>
          <w:w w:val="105"/>
          <w:sz w:val="24"/>
        </w:rPr>
        <w:t>D</w:t>
      </w:r>
      <w:r>
        <w:rPr>
          <w:w w:val="105"/>
          <w:sz w:val="18"/>
        </w:rPr>
        <w:t>RA</w:t>
      </w:r>
      <w:r>
        <w:rPr>
          <w:w w:val="105"/>
          <w:sz w:val="24"/>
        </w:rPr>
        <w:t>.</w:t>
      </w:r>
      <w:r>
        <w:rPr>
          <w:spacing w:val="-52"/>
          <w:w w:val="105"/>
          <w:sz w:val="24"/>
        </w:rPr>
        <w:t> </w:t>
      </w:r>
      <w:r>
        <w:rPr>
          <w:w w:val="105"/>
          <w:sz w:val="24"/>
        </w:rPr>
        <w:t>P</w:t>
      </w:r>
      <w:r>
        <w:rPr>
          <w:w w:val="105"/>
          <w:sz w:val="18"/>
        </w:rPr>
        <w:t>ETRA </w:t>
      </w:r>
      <w:r>
        <w:rPr>
          <w:w w:val="105"/>
          <w:sz w:val="24"/>
        </w:rPr>
        <w:t>S</w:t>
      </w:r>
      <w:r>
        <w:rPr>
          <w:w w:val="105"/>
          <w:sz w:val="18"/>
        </w:rPr>
        <w:t>ÁNCHEZ </w:t>
      </w:r>
      <w:r>
        <w:rPr>
          <w:w w:val="105"/>
          <w:sz w:val="24"/>
        </w:rPr>
        <w:t>N</w:t>
      </w:r>
      <w:r>
        <w:rPr>
          <w:w w:val="105"/>
          <w:sz w:val="18"/>
        </w:rPr>
        <w:t>AVA</w:t>
      </w:r>
    </w:p>
    <w:p>
      <w:pPr>
        <w:pStyle w:val="BodyText"/>
      </w:pPr>
    </w:p>
    <w:p>
      <w:pPr>
        <w:pStyle w:val="BodyText"/>
      </w:pPr>
    </w:p>
    <w:p>
      <w:pPr>
        <w:pStyle w:val="BodyText"/>
      </w:pPr>
    </w:p>
    <w:p>
      <w:pPr>
        <w:pStyle w:val="BodyText"/>
        <w:spacing w:before="210"/>
        <w:ind w:left="1336" w:right="113"/>
        <w:jc w:val="center"/>
      </w:pPr>
      <w:r>
        <w:rPr/>
        <w:t>El Cerrillo Piedras Blancas, Toluca, Estado de México. Septiembre 2014</w:t>
      </w:r>
    </w:p>
    <w:p>
      <w:pPr>
        <w:spacing w:after="0"/>
        <w:jc w:val="center"/>
        <w:sectPr>
          <w:type w:val="continuous"/>
          <w:pgSz w:w="12240" w:h="15840"/>
          <w:pgMar w:top="700" w:bottom="280" w:left="600" w:right="126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Heading1"/>
      </w:pPr>
      <w:r>
        <w:rPr/>
        <w:t>Resumen</w:t>
      </w:r>
    </w:p>
    <w:p>
      <w:pPr>
        <w:pStyle w:val="Heading2"/>
      </w:pPr>
      <w:r>
        <w:rPr/>
        <w:t>Lima-Rivera D.L. (2014) Efecto de hongos nematófagos sobre la disponibilidad de nutrimentos en el suelo. Tesis de Maestría, Universidad Autónoma del Estado de México, 83 p.</w:t>
      </w:r>
    </w:p>
    <w:p>
      <w:pPr>
        <w:pStyle w:val="BodyText"/>
        <w:spacing w:line="276" w:lineRule="auto" w:before="199"/>
        <w:ind w:left="119" w:right="113"/>
        <w:jc w:val="both"/>
      </w:pPr>
      <w:r>
        <w:rPr/>
        <w:t>En el presente estudio se evaluó la capacidad </w:t>
      </w:r>
      <w:r>
        <w:rPr>
          <w:i/>
        </w:rPr>
        <w:t>in vitro </w:t>
      </w:r>
      <w:r>
        <w:rPr/>
        <w:t>de los hongos </w:t>
      </w:r>
      <w:r>
        <w:rPr>
          <w:i/>
        </w:rPr>
        <w:t>Geomyces </w:t>
      </w:r>
      <w:r>
        <w:rPr>
          <w:i/>
        </w:rPr>
        <w:t>pannorum</w:t>
      </w:r>
      <w:r>
        <w:rPr/>
        <w:t>, </w:t>
      </w:r>
      <w:r>
        <w:rPr>
          <w:i/>
        </w:rPr>
        <w:t>Paecilomyces carneus </w:t>
      </w:r>
      <w:r>
        <w:rPr/>
        <w:t>y </w:t>
      </w:r>
      <w:r>
        <w:rPr>
          <w:i/>
        </w:rPr>
        <w:t>Penicillium virgatum </w:t>
      </w:r>
      <w:r>
        <w:rPr/>
        <w:t>aislados del nematodo fitoparásito </w:t>
      </w:r>
      <w:r>
        <w:rPr>
          <w:i/>
        </w:rPr>
        <w:t>Globodera rostochiensis </w:t>
      </w:r>
      <w:r>
        <w:rPr/>
        <w:t>para solubilizar fosfatos de calcio y hierro.  En medio sólido, se calculó el índice de solubilización y en medio líquido se cuantificó porcentaje de fósforo solubilizado por los hongos. Asimismo se evaluó el porcentaje de germinación, la velocidad de crecimiento y las interacciones entre los tres hongos. Posteriormente se eligieron a </w:t>
      </w:r>
      <w:r>
        <w:rPr>
          <w:i/>
        </w:rPr>
        <w:t>G. pannorum </w:t>
      </w:r>
      <w:r>
        <w:rPr/>
        <w:t>y </w:t>
      </w:r>
      <w:r>
        <w:rPr>
          <w:i/>
        </w:rPr>
        <w:t>P. carneus </w:t>
      </w:r>
      <w:r>
        <w:rPr/>
        <w:t>para evaluar en invernadero su capacidad para solubilizar fosfatos directamente en el suelo, el efecto de éstos sobre el crecimiento de plantas de </w:t>
      </w:r>
      <w:r>
        <w:rPr>
          <w:i/>
        </w:rPr>
        <w:t>Avena sativa </w:t>
      </w:r>
      <w:r>
        <w:rPr/>
        <w:t>y la población de nematodos presente en el suelo. Los tres hongos mostraron capacidad para solubilizar fosfátos en medio sólido y líquido con fosfato de calcio, donde liberaron entre el 67 y 96% del fósfóro insoluble presente en el medio 18 días después de la inoculación. En el medio sólido con fosfato de hierro únicamente </w:t>
      </w:r>
      <w:r>
        <w:rPr>
          <w:i/>
        </w:rPr>
        <w:t>G. pannorum </w:t>
      </w:r>
      <w:r>
        <w:rPr/>
        <w:t>y </w:t>
      </w:r>
      <w:r>
        <w:rPr>
          <w:i/>
        </w:rPr>
        <w:t>P. carneus </w:t>
      </w:r>
      <w:r>
        <w:rPr/>
        <w:t>mostraron capacidad de solubilizar, sin embargo en el medio líquido los tres aislamientos solubilizaron entre el 2 y 13% de fosfato presente en el medio. </w:t>
      </w:r>
      <w:r>
        <w:rPr>
          <w:i/>
        </w:rPr>
        <w:t>G. pannorum </w:t>
      </w:r>
      <w:r>
        <w:rPr/>
        <w:t>y </w:t>
      </w:r>
      <w:r>
        <w:rPr>
          <w:i/>
        </w:rPr>
        <w:t>P. carneus </w:t>
      </w:r>
      <w:r>
        <w:rPr/>
        <w:t>mostraron alta capacidad de germinación mientras que </w:t>
      </w:r>
      <w:r>
        <w:rPr>
          <w:i/>
        </w:rPr>
        <w:t>P. virgatum </w:t>
      </w:r>
      <w:r>
        <w:rPr/>
        <w:t>mostró un reducido porcentaje de germinación. Asimismo, se encontró que el micelio tanto de </w:t>
      </w:r>
      <w:r>
        <w:rPr>
          <w:i/>
        </w:rPr>
        <w:t>G. pannorum </w:t>
      </w:r>
      <w:r>
        <w:rPr/>
        <w:t>como de </w:t>
      </w:r>
      <w:r>
        <w:rPr>
          <w:i/>
        </w:rPr>
        <w:t>P. carneus  </w:t>
      </w:r>
      <w:r>
        <w:rPr/>
        <w:t>pueden ejercer inhibición hacia </w:t>
      </w:r>
      <w:r>
        <w:rPr>
          <w:i/>
        </w:rPr>
        <w:t>P. virgatum</w:t>
      </w:r>
      <w:r>
        <w:rPr/>
        <w:t>. En los experimentos en invernadero, con la aplicación de </w:t>
      </w:r>
      <w:r>
        <w:rPr>
          <w:i/>
        </w:rPr>
        <w:t>G. pannorum </w:t>
      </w:r>
      <w:r>
        <w:rPr/>
        <w:t>y </w:t>
      </w:r>
      <w:r>
        <w:rPr>
          <w:i/>
        </w:rPr>
        <w:t>P. carneus </w:t>
      </w:r>
      <w:r>
        <w:rPr/>
        <w:t>el fósforo disponible en el suelo aumentó hasta 35% y 47% respectivamente. Las plantas tratadas con </w:t>
      </w:r>
      <w:r>
        <w:rPr>
          <w:i/>
        </w:rPr>
        <w:t>P. carneus </w:t>
      </w:r>
      <w:r>
        <w:rPr/>
        <w:t>tubieron más semillas que las tratadas con </w:t>
      </w:r>
      <w:r>
        <w:rPr>
          <w:i/>
        </w:rPr>
        <w:t>G. pannorum </w:t>
      </w:r>
      <w:r>
        <w:rPr/>
        <w:t>y el Testigo. Asimismo </w:t>
      </w:r>
      <w:r>
        <w:rPr>
          <w:i/>
        </w:rPr>
        <w:t>P. carneus </w:t>
      </w:r>
      <w:r>
        <w:rPr/>
        <w:t>redujo la población de nematodos en el suelo en un 71%. Este estudio muestra por primera vez la acción solubilizadora de fosfátos </w:t>
      </w:r>
      <w:r>
        <w:rPr>
          <w:i/>
        </w:rPr>
        <w:t>in vitro </w:t>
      </w:r>
      <w:r>
        <w:rPr/>
        <w:t>de </w:t>
      </w:r>
      <w:r>
        <w:rPr>
          <w:i/>
        </w:rPr>
        <w:t>G. pannorum </w:t>
      </w:r>
      <w:r>
        <w:rPr/>
        <w:t>y </w:t>
      </w:r>
      <w:r>
        <w:rPr>
          <w:i/>
        </w:rPr>
        <w:t>P. virgatum </w:t>
      </w:r>
      <w:r>
        <w:rPr/>
        <w:t>y, la capacidad de </w:t>
      </w:r>
      <w:r>
        <w:rPr>
          <w:i/>
        </w:rPr>
        <w:t>P. </w:t>
      </w:r>
      <w:r>
        <w:rPr>
          <w:i/>
        </w:rPr>
        <w:t>carneus </w:t>
      </w:r>
      <w:r>
        <w:rPr/>
        <w:t>para aumentar el nivel de fósforo disponible en el suelo y mejorar el  rendimiento de las plantas.</w:t>
      </w:r>
    </w:p>
    <w:p>
      <w:pPr>
        <w:spacing w:after="0" w:line="276" w:lineRule="auto"/>
        <w:jc w:val="both"/>
        <w:sectPr>
          <w:pgSz w:w="12240" w:h="15840"/>
          <w:pgMar w:top="1360" w:bottom="280" w:left="1580" w:right="1020"/>
        </w:sectPr>
      </w:pPr>
    </w:p>
    <w:p>
      <w:pPr>
        <w:pStyle w:val="Heading1"/>
      </w:pPr>
      <w:r>
        <w:rPr/>
        <w:t>Abstract</w:t>
      </w:r>
    </w:p>
    <w:p>
      <w:pPr>
        <w:pStyle w:val="Heading2"/>
        <w:spacing w:line="242" w:lineRule="auto"/>
      </w:pPr>
      <w:r>
        <w:rPr/>
        <w:t>Lima-Rivera DL (2014) Effect of the nematophagous fungi on the soil availability nutrients. Master´s Thesis, Universidad Autónoma del Estado de México, 83 p.</w:t>
      </w:r>
    </w:p>
    <w:p>
      <w:pPr>
        <w:pStyle w:val="BodyText"/>
        <w:spacing w:line="276" w:lineRule="auto" w:before="196"/>
        <w:ind w:left="119" w:right="113"/>
        <w:jc w:val="both"/>
      </w:pPr>
      <w:r>
        <w:rPr/>
        <w:t>In this study was evaluated the </w:t>
      </w:r>
      <w:r>
        <w:rPr>
          <w:i/>
        </w:rPr>
        <w:t>in vitro </w:t>
      </w:r>
      <w:r>
        <w:rPr/>
        <w:t>ability of the fungi </w:t>
      </w:r>
      <w:r>
        <w:rPr>
          <w:i/>
        </w:rPr>
        <w:t>Geomyces pannorum</w:t>
      </w:r>
      <w:r>
        <w:rPr/>
        <w:t>, </w:t>
      </w:r>
      <w:r>
        <w:rPr>
          <w:i/>
        </w:rPr>
        <w:t>Paecilomyces carneus </w:t>
      </w:r>
      <w:r>
        <w:rPr/>
        <w:t>and </w:t>
      </w:r>
      <w:r>
        <w:rPr>
          <w:i/>
        </w:rPr>
        <w:t>Penicillium virgatum </w:t>
      </w:r>
      <w:r>
        <w:rPr/>
        <w:t>isolated from plant parasitic nematode </w:t>
      </w:r>
      <w:r>
        <w:rPr>
          <w:i/>
        </w:rPr>
        <w:t>Globodera rostochiensis</w:t>
      </w:r>
      <w:r>
        <w:rPr/>
        <w:t>, for solubilize calcium and iron phosphates .In solid medium,  the solubilization index was calculated, also the phosphorus solubilized by fungi in liquid medium was quantified. Germination percentage, growth rate and interactions between the three fungi were also assessed. Subsequently were selected </w:t>
      </w:r>
      <w:r>
        <w:rPr>
          <w:i/>
        </w:rPr>
        <w:t>G. pannorum </w:t>
      </w:r>
      <w:r>
        <w:rPr/>
        <w:t>and </w:t>
      </w:r>
      <w:r>
        <w:rPr>
          <w:i/>
        </w:rPr>
        <w:t>P. </w:t>
      </w:r>
      <w:r>
        <w:rPr>
          <w:i/>
        </w:rPr>
        <w:t>carneus </w:t>
      </w:r>
      <w:r>
        <w:rPr/>
        <w:t>for evaluate in greenhouse experiments, their ability to solubilize phosphorus directly in the soil, their effect on the growth of </w:t>
      </w:r>
      <w:r>
        <w:rPr>
          <w:i/>
        </w:rPr>
        <w:t>Avena sativa </w:t>
      </w:r>
      <w:r>
        <w:rPr/>
        <w:t>plants and the nematode population in the soil. The three fungi showed phosphate solubilization capacity in the solid and liquid medium with calcium phosphate, where they released between 67% and 96% of the insoluble phosphorus present in the medium 18 days after inoculation. In solid medium with iron phosphate, only </w:t>
      </w:r>
      <w:r>
        <w:rPr>
          <w:i/>
        </w:rPr>
        <w:t>G. pannorum </w:t>
      </w:r>
      <w:r>
        <w:rPr/>
        <w:t>and </w:t>
      </w:r>
      <w:r>
        <w:rPr>
          <w:i/>
        </w:rPr>
        <w:t>P. carneus </w:t>
      </w:r>
      <w:r>
        <w:rPr/>
        <w:t>showed capacity of solubilization, nevertheless the three isolations solubilized between 2 and 13% of phosphate present in the liquid medium. </w:t>
      </w:r>
      <w:r>
        <w:rPr>
          <w:i/>
        </w:rPr>
        <w:t>G. pannorum </w:t>
      </w:r>
      <w:r>
        <w:rPr/>
        <w:t>and </w:t>
      </w:r>
      <w:r>
        <w:rPr>
          <w:i/>
        </w:rPr>
        <w:t>P. carneus </w:t>
      </w:r>
      <w:r>
        <w:rPr/>
        <w:t>showed high germination percentage, while </w:t>
      </w:r>
      <w:r>
        <w:rPr>
          <w:i/>
        </w:rPr>
        <w:t>P. virgatum </w:t>
      </w:r>
      <w:r>
        <w:rPr/>
        <w:t>showed a low germination percentage. Also was found that </w:t>
      </w:r>
      <w:r>
        <w:rPr>
          <w:i/>
        </w:rPr>
        <w:t>P. virgatum </w:t>
      </w:r>
      <w:r>
        <w:rPr/>
        <w:t>mycelium can be inhibited by </w:t>
      </w:r>
      <w:r>
        <w:rPr>
          <w:i/>
        </w:rPr>
        <w:t>G. pannorum </w:t>
      </w:r>
      <w:r>
        <w:rPr/>
        <w:t>and </w:t>
      </w:r>
      <w:r>
        <w:rPr>
          <w:i/>
        </w:rPr>
        <w:t>P. carneus</w:t>
      </w:r>
      <w:r>
        <w:rPr/>
        <w:t>. In the greenhouse experiments, the available soil phosphorus was increased up to 35% and 47% with the application of </w:t>
      </w:r>
      <w:r>
        <w:rPr>
          <w:i/>
        </w:rPr>
        <w:t>G. pannorum </w:t>
      </w:r>
      <w:r>
        <w:rPr/>
        <w:t>and </w:t>
      </w:r>
      <w:r>
        <w:rPr>
          <w:i/>
        </w:rPr>
        <w:t>P. carneus </w:t>
      </w:r>
      <w:r>
        <w:rPr/>
        <w:t>respectively. Further, the plants with </w:t>
      </w:r>
      <w:r>
        <w:rPr>
          <w:i/>
        </w:rPr>
        <w:t>P. carneus </w:t>
      </w:r>
      <w:r>
        <w:rPr/>
        <w:t>application produced more seeds than </w:t>
      </w:r>
      <w:r>
        <w:rPr>
          <w:i/>
        </w:rPr>
        <w:t>G. pannorum </w:t>
      </w:r>
      <w:r>
        <w:rPr/>
        <w:t>and Control plants. In addition, the phytoparasitic nematode population density in the soil was reduced up to 71% with the </w:t>
      </w:r>
      <w:r>
        <w:rPr>
          <w:i/>
        </w:rPr>
        <w:t>P. carneus </w:t>
      </w:r>
      <w:r>
        <w:rPr/>
        <w:t>application. This work showed for the first time the action of </w:t>
      </w:r>
      <w:r>
        <w:rPr>
          <w:i/>
        </w:rPr>
        <w:t>G. pannorum </w:t>
      </w:r>
      <w:r>
        <w:rPr/>
        <w:t>and </w:t>
      </w:r>
      <w:r>
        <w:rPr>
          <w:i/>
        </w:rPr>
        <w:t>P. virgatum </w:t>
      </w:r>
      <w:r>
        <w:rPr/>
        <w:t>for the </w:t>
      </w:r>
      <w:r>
        <w:rPr>
          <w:i/>
        </w:rPr>
        <w:t>in vitro </w:t>
      </w:r>
      <w:r>
        <w:rPr/>
        <w:t>phosphate solubilized and the capacity of </w:t>
      </w:r>
      <w:r>
        <w:rPr>
          <w:i/>
        </w:rPr>
        <w:t>P. carneus </w:t>
      </w:r>
      <w:r>
        <w:rPr/>
        <w:t>for increased the available phosphorus in the soil and improve  the plants yield.</w:t>
      </w:r>
    </w:p>
    <w:p>
      <w:pPr>
        <w:spacing w:after="0" w:line="276" w:lineRule="auto"/>
        <w:jc w:val="both"/>
        <w:sectPr>
          <w:pgSz w:w="12240" w:h="15840"/>
          <w:pgMar w:top="13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34"/>
        <w:jc w:val="left"/>
      </w:pPr>
      <w:r>
        <w:rPr/>
        <w:t>Dedicatoria</w:t>
      </w:r>
    </w:p>
    <w:p>
      <w:pPr>
        <w:pStyle w:val="BodyText"/>
        <w:rPr>
          <w:b/>
          <w:sz w:val="28"/>
        </w:rPr>
      </w:pPr>
    </w:p>
    <w:p>
      <w:pPr>
        <w:pStyle w:val="BodyText"/>
        <w:rPr>
          <w:b/>
          <w:sz w:val="28"/>
        </w:rPr>
      </w:pPr>
    </w:p>
    <w:p>
      <w:pPr>
        <w:pStyle w:val="BodyText"/>
        <w:rPr>
          <w:b/>
          <w:sz w:val="28"/>
        </w:rPr>
      </w:pPr>
    </w:p>
    <w:p>
      <w:pPr>
        <w:pStyle w:val="BodyText"/>
        <w:spacing w:before="10"/>
        <w:rPr>
          <w:b/>
          <w:sz w:val="36"/>
        </w:rPr>
      </w:pPr>
    </w:p>
    <w:p>
      <w:pPr>
        <w:pStyle w:val="BodyText"/>
        <w:spacing w:line="273" w:lineRule="auto" w:before="1"/>
        <w:ind w:left="572" w:right="113" w:hanging="254"/>
        <w:jc w:val="right"/>
      </w:pPr>
      <w:r>
        <w:rPr/>
        <w:t>A mi hijo Eduardo por quien cada día tiene sentido mi vida, mil gracias porque muchas cosas de mi cambiaron con tu llegada. Ilusiones trajiste a mi vida y junto con ellas la dicha para mí de saber el significado de la palabra "MAMA”.</w:t>
      </w:r>
    </w:p>
    <w:p>
      <w:pPr>
        <w:pStyle w:val="BodyText"/>
        <w:spacing w:line="273" w:lineRule="auto" w:before="209"/>
        <w:ind w:left="238" w:right="113" w:firstLine="214"/>
        <w:jc w:val="right"/>
      </w:pPr>
      <w:r>
        <w:rPr/>
        <w:t>A mi esposo Daniel por estar conmigo en todo momento, por tu sonrisa que calma mi cansancio, por tus brazos que me consuelan cuando siento que todo va mal. Compartir mi vida contigo es una de las mejores decisiones que he tomado en mi vida.</w:t>
      </w:r>
    </w:p>
    <w:p>
      <w:pPr>
        <w:pStyle w:val="BodyText"/>
        <w:spacing w:before="205"/>
        <w:ind w:right="113"/>
        <w:jc w:val="right"/>
      </w:pPr>
      <w:r>
        <w:rPr/>
        <w:t>Los amo.</w:t>
      </w:r>
    </w:p>
    <w:p>
      <w:pPr>
        <w:spacing w:after="0"/>
        <w:jc w:val="right"/>
        <w:sectPr>
          <w:pgSz w:w="12240" w:h="15840"/>
          <w:pgMar w:top="1500" w:bottom="280" w:left="1580" w:right="1020"/>
        </w:sectPr>
      </w:pPr>
    </w:p>
    <w:p>
      <w:pPr>
        <w:pStyle w:val="Heading1"/>
      </w:pPr>
      <w:r>
        <w:rPr/>
        <w:t>Agradecimientos</w:t>
      </w:r>
    </w:p>
    <w:p>
      <w:pPr>
        <w:pStyle w:val="BodyText"/>
        <w:rPr>
          <w:b/>
          <w:sz w:val="28"/>
        </w:rPr>
      </w:pPr>
    </w:p>
    <w:p>
      <w:pPr>
        <w:pStyle w:val="BodyText"/>
        <w:rPr>
          <w:b/>
          <w:sz w:val="28"/>
        </w:rPr>
      </w:pPr>
    </w:p>
    <w:p>
      <w:pPr>
        <w:pStyle w:val="BodyText"/>
        <w:spacing w:line="273" w:lineRule="auto" w:before="175"/>
        <w:ind w:left="119" w:right="113"/>
        <w:jc w:val="both"/>
      </w:pPr>
      <w:r>
        <w:rPr/>
        <w:t>A mis padres María y Casto. Se que no existe una forma de agradecer una vida de sacrificio y esfuerzo, por su cariño y apoyo moral sin condiciones, gracias al cual logré concluir otra etapa de mi formación como profesionista, que es para mí la mejor de las herencias y sobre todo por ser mis mejores compañeros y amigos.</w:t>
      </w:r>
    </w:p>
    <w:p>
      <w:pPr>
        <w:pStyle w:val="BodyText"/>
        <w:spacing w:line="273" w:lineRule="auto" w:before="209"/>
        <w:ind w:left="119" w:right="113"/>
        <w:jc w:val="both"/>
      </w:pPr>
      <w:r>
        <w:rPr/>
        <w:t>Al Consejo Nacional de Ciencia y Tecnología (CONACyT) por la beca (238333/350769) otorgada para la realización de mis estudios de Maestría en la Universidad Autónoma del Estado de México.</w:t>
      </w:r>
    </w:p>
    <w:p>
      <w:pPr>
        <w:pStyle w:val="BodyText"/>
        <w:spacing w:line="273" w:lineRule="auto" w:before="209"/>
        <w:ind w:left="119" w:right="113"/>
        <w:jc w:val="both"/>
      </w:pPr>
      <w:r>
        <w:rPr/>
        <w:t>A la Dra. Gloria Carrión Villarnovo por apoyarme en la investigación y en la formación  de este trabajo, la paciencia, dedicación, enseñanza, la amistad brindada y sobre todo por ser una confidente y una buena</w:t>
      </w:r>
      <w:r>
        <w:rPr>
          <w:spacing w:val="-1"/>
        </w:rPr>
        <w:t> </w:t>
      </w:r>
      <w:r>
        <w:rPr/>
        <w:t>consejera.</w:t>
      </w:r>
    </w:p>
    <w:p>
      <w:pPr>
        <w:pStyle w:val="BodyText"/>
        <w:spacing w:line="273" w:lineRule="auto" w:before="209"/>
        <w:ind w:left="119" w:right="113"/>
        <w:jc w:val="both"/>
      </w:pPr>
      <w:r>
        <w:rPr/>
        <w:t>A la Dra. Alma S. Velázquez Rodríguez por la confianza que depositó en mí, por apoyarme dentro de esta etapa de mi formación, por los conocimientos brindados, por su paciencia y aportaciones a este trabajo, por prestarme sus valioso libros y sobre todo por brindarme tan linda amistad.</w:t>
      </w:r>
    </w:p>
    <w:p>
      <w:pPr>
        <w:pStyle w:val="BodyText"/>
        <w:spacing w:line="273" w:lineRule="auto" w:before="209"/>
        <w:ind w:left="119" w:right="113"/>
        <w:jc w:val="both"/>
      </w:pPr>
      <w:r>
        <w:rPr/>
        <w:t>A la Dra. Petra Sánchez Nava por formar parte de este proyecto, por las sugerencias durante los tutoriales, por permitirme trabajar en sus laboratorios durante mi estancia en Toluca y sobre todo por su amistad y consejos.</w:t>
      </w:r>
    </w:p>
    <w:p>
      <w:pPr>
        <w:pStyle w:val="BodyText"/>
        <w:spacing w:line="276" w:lineRule="auto" w:before="209"/>
        <w:ind w:left="119" w:right="113"/>
        <w:jc w:val="both"/>
      </w:pPr>
      <w:r>
        <w:rPr/>
        <w:t>Al M. en C. Ángel Enrique Núñez Sánchez por apoyarme ciegamente en todo momento, la amistad brindada y las enseñanzas que aun estando fuera de su aula me sigue  dando día a día, por escucharme en los momentos de debilidad, por formar parte de mi formación y por su apoyo en este</w:t>
      </w:r>
      <w:r>
        <w:rPr>
          <w:spacing w:val="-2"/>
        </w:rPr>
        <w:t> </w:t>
      </w:r>
      <w:r>
        <w:rPr/>
        <w:t>trabajo.</w:t>
      </w:r>
    </w:p>
    <w:p>
      <w:pPr>
        <w:pStyle w:val="BodyText"/>
        <w:spacing w:line="276" w:lineRule="auto" w:before="202"/>
        <w:ind w:left="119" w:right="113"/>
        <w:jc w:val="both"/>
      </w:pPr>
      <w:r>
        <w:rPr/>
        <w:t>Al M. en C. Daniel López Lima, por su infinito apoyo, confianza y aportaciones al  trabajo, por hacer amenas las largas horas en el laboratorio, por ser una amigo, confidente y cómplice.</w:t>
      </w:r>
    </w:p>
    <w:p>
      <w:pPr>
        <w:pStyle w:val="BodyText"/>
        <w:spacing w:line="276" w:lineRule="auto" w:before="202"/>
        <w:ind w:left="119" w:right="113"/>
        <w:jc w:val="both"/>
      </w:pPr>
      <w:r>
        <w:rPr/>
        <w:t>A la Bióloga Magda Gómez Columna por su apoyo en las diversas actividades llevadas a cabo en el Laboratorio de Biodiversidad y Sistemática del Instituto de Ecología, A.C. Además le agradezco por darme ánimos en todo momento, confiar en mí y sobre todo por la amistad brindada durante estos años.</w:t>
      </w:r>
    </w:p>
    <w:p>
      <w:pPr>
        <w:pStyle w:val="BodyText"/>
        <w:spacing w:line="278" w:lineRule="auto" w:before="202"/>
        <w:ind w:left="119" w:right="113"/>
        <w:jc w:val="both"/>
      </w:pPr>
      <w:r>
        <w:rPr/>
        <w:t>A las químicas Ariadna Martínez Virúes y Daniela Cela Cadena, por el apoyo en la cuantificación del fósforo disponible en el laboratorio de Ecología Funcional del Instituto de Ecología, A.C. Les agradezco también por la paciencia y dedicación,      </w:t>
      </w:r>
      <w:r>
        <w:rPr>
          <w:spacing w:val="58"/>
        </w:rPr>
        <w:t> </w:t>
      </w:r>
      <w:r>
        <w:rPr/>
        <w:t>así como la</w:t>
      </w:r>
    </w:p>
    <w:p>
      <w:pPr>
        <w:spacing w:after="0" w:line="278" w:lineRule="auto"/>
        <w:jc w:val="both"/>
        <w:sectPr>
          <w:pgSz w:w="12240" w:h="15840"/>
          <w:pgMar w:top="1360" w:bottom="280" w:left="1580" w:right="1020"/>
        </w:sectPr>
      </w:pPr>
    </w:p>
    <w:p>
      <w:pPr>
        <w:pStyle w:val="BodyText"/>
        <w:spacing w:line="271" w:lineRule="auto" w:before="51"/>
        <w:ind w:left="119" w:right="113"/>
        <w:jc w:val="both"/>
      </w:pPr>
      <w:r>
        <w:rPr/>
        <w:t>confianza depositada en mí y sobre todo por hacerme sentir que en ellas encuentro una amiga a todas horas.</w:t>
      </w:r>
    </w:p>
    <w:p>
      <w:pPr>
        <w:pStyle w:val="BodyText"/>
        <w:spacing w:line="273" w:lineRule="auto" w:before="212"/>
        <w:ind w:left="119" w:right="113"/>
        <w:jc w:val="both"/>
      </w:pPr>
      <w:r>
        <w:rPr/>
        <w:t>A las técnicos del Laboratorio de Análisis de Suelos del Instituto de Ecología, A.C. Sandra Rocha Ortíz, Ninfa Portilla Loeza y Lourdes Cruz Huerta por la realización de los análisis de suelos para este experimento. También les agradezco por brindarme su amistad.</w:t>
      </w:r>
    </w:p>
    <w:p>
      <w:pPr>
        <w:pStyle w:val="BodyText"/>
        <w:spacing w:line="273" w:lineRule="auto" w:before="209"/>
        <w:ind w:left="119" w:right="113"/>
        <w:jc w:val="both"/>
      </w:pPr>
      <w:r>
        <w:rPr/>
        <w:t>Al personal del Jardín Botánico Francisco Javier Clavijero del Instituto de Ecología, A.C. por facilitarme las instalaciones para realizar el experimento de invernadero, así como su apoyo incondicional en todo momento.</w:t>
      </w:r>
    </w:p>
    <w:p>
      <w:pPr>
        <w:pStyle w:val="BodyText"/>
        <w:spacing w:line="271" w:lineRule="auto" w:before="209"/>
        <w:ind w:left="119" w:right="113"/>
        <w:jc w:val="both"/>
      </w:pPr>
      <w:r>
        <w:rPr/>
        <w:t>A mi hermana Itzel porque a pesar de mis malos momentos sigue ahí para apoyarme, por darme la dicha de ser tía y por su amistad incondicional.</w:t>
      </w:r>
    </w:p>
    <w:p>
      <w:pPr>
        <w:pStyle w:val="BodyText"/>
        <w:spacing w:line="271" w:lineRule="auto" w:before="212"/>
        <w:ind w:left="119" w:right="113"/>
        <w:jc w:val="both"/>
      </w:pPr>
      <w:r>
        <w:rPr/>
        <w:t>A la familia Aguirre Lima por brindarme su casa, apoyarme, consentirme, y sobre todo hacerme sentir  en todo momento como en casa.</w:t>
      </w:r>
    </w:p>
    <w:p>
      <w:pPr>
        <w:pStyle w:val="BodyText"/>
        <w:spacing w:line="271" w:lineRule="auto" w:before="212"/>
        <w:ind w:left="119" w:right="113"/>
        <w:jc w:val="both"/>
      </w:pPr>
      <w:r>
        <w:rPr/>
        <w:t>A la M. en C. Damaris Desgarenes por su amistad y palabras de aliento en todo momento, la distancia nunca fue impedimento para brindarme su apoyo.</w:t>
      </w:r>
    </w:p>
    <w:p>
      <w:pPr>
        <w:pStyle w:val="BodyText"/>
        <w:spacing w:line="271" w:lineRule="auto" w:before="212"/>
        <w:ind w:left="119" w:right="113"/>
        <w:jc w:val="both"/>
      </w:pPr>
      <w:r>
        <w:rPr/>
        <w:t>A la M. en C. Tania Hernández por su apoyo y aportaciones al trabajo, así como su amistad brindada todo este tiempo.</w:t>
      </w:r>
    </w:p>
    <w:p>
      <w:pPr>
        <w:pStyle w:val="BodyText"/>
        <w:spacing w:line="273" w:lineRule="auto" w:before="212"/>
        <w:ind w:left="119" w:right="113"/>
        <w:jc w:val="both"/>
      </w:pPr>
      <w:r>
        <w:rPr/>
        <w:t>A los chicos del laboratorio, Ing. Agr. Jesús Aguirre, Ing. Agr. Concepción Rodríguez, porque esas horas que compartimos estando en ese pequeño espacio se hicieran amenas y placenteras, por brindarme su amistad y sobre todo su confianza.</w:t>
      </w:r>
    </w:p>
    <w:p>
      <w:pPr>
        <w:pStyle w:val="Heading2"/>
        <w:spacing w:line="271" w:lineRule="auto" w:before="209"/>
      </w:pPr>
      <w:r>
        <w:rPr/>
        <w:t>Este trabajo es parte de los resultados obtenidos en el proyecto 000000000174936 financiado por el Fondo Sectorial de Innovación (FINNOVA) del CONACyT.</w:t>
      </w:r>
    </w:p>
    <w:p>
      <w:pPr>
        <w:spacing w:after="0" w:line="271" w:lineRule="auto"/>
        <w:sectPr>
          <w:pgSz w:w="12240" w:h="15840"/>
          <w:pgMar w:top="1360" w:bottom="280" w:left="1580" w:right="1020"/>
        </w:sectPr>
      </w:pPr>
    </w:p>
    <w:p>
      <w:pPr>
        <w:tabs>
          <w:tab w:pos="8431" w:val="left" w:leader="none"/>
        </w:tabs>
        <w:spacing w:before="47"/>
        <w:ind w:left="3442" w:right="0" w:firstLine="0"/>
        <w:jc w:val="left"/>
        <w:rPr>
          <w:b/>
          <w:sz w:val="24"/>
        </w:rPr>
      </w:pPr>
      <w:r>
        <w:rPr>
          <w:b/>
          <w:sz w:val="24"/>
        </w:rPr>
        <w:t>CONTENIDO</w:t>
        <w:tab/>
        <w:t>Página</w:t>
      </w:r>
    </w:p>
    <w:p>
      <w:pPr>
        <w:pStyle w:val="BodyText"/>
        <w:rPr>
          <w:b/>
          <w:sz w:val="20"/>
        </w:rPr>
      </w:pPr>
    </w:p>
    <w:p>
      <w:pPr>
        <w:pStyle w:val="BodyText"/>
        <w:rPr>
          <w:b/>
          <w:sz w:val="20"/>
        </w:rPr>
      </w:pPr>
    </w:p>
    <w:p>
      <w:pPr>
        <w:pStyle w:val="BodyText"/>
        <w:spacing w:before="2" w:after="1"/>
        <w:rPr>
          <w:b/>
          <w:sz w:val="20"/>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81"/>
        <w:gridCol w:w="401"/>
      </w:tblGrid>
      <w:tr>
        <w:trPr>
          <w:trHeight w:val="894" w:hRule="exact"/>
        </w:trPr>
        <w:tc>
          <w:tcPr>
            <w:tcW w:w="8681" w:type="dxa"/>
          </w:tcPr>
          <w:p>
            <w:pPr>
              <w:pStyle w:val="TableParagraph"/>
              <w:spacing w:before="81"/>
              <w:ind w:left="35" w:right="0"/>
              <w:jc w:val="left"/>
              <w:rPr>
                <w:b/>
                <w:sz w:val="19"/>
              </w:rPr>
            </w:pPr>
            <w:r>
              <w:rPr>
                <w:b/>
                <w:sz w:val="19"/>
              </w:rPr>
              <w:t>Lista    de   cuadros............................................................................................................................</w:t>
            </w:r>
          </w:p>
          <w:p>
            <w:pPr>
              <w:pStyle w:val="TableParagraph"/>
              <w:spacing w:before="5"/>
              <w:ind w:right="0"/>
              <w:jc w:val="left"/>
              <w:rPr>
                <w:b/>
                <w:sz w:val="21"/>
              </w:rPr>
            </w:pPr>
          </w:p>
          <w:p>
            <w:pPr>
              <w:pStyle w:val="TableParagraph"/>
              <w:spacing w:before="0"/>
              <w:ind w:left="35" w:right="0"/>
              <w:jc w:val="left"/>
              <w:rPr>
                <w:b/>
                <w:sz w:val="19"/>
              </w:rPr>
            </w:pPr>
            <w:r>
              <w:rPr>
                <w:b/>
                <w:sz w:val="19"/>
              </w:rPr>
              <w:t>Lista    de   figuras..............................................................................................................................</w:t>
            </w:r>
          </w:p>
        </w:tc>
        <w:tc>
          <w:tcPr>
            <w:tcW w:w="401" w:type="dxa"/>
          </w:tcPr>
          <w:p>
            <w:pPr>
              <w:pStyle w:val="TableParagraph"/>
              <w:spacing w:before="81"/>
              <w:ind w:left="199" w:right="0" w:firstLine="27"/>
              <w:jc w:val="left"/>
              <w:rPr>
                <w:b/>
                <w:sz w:val="19"/>
              </w:rPr>
            </w:pPr>
            <w:r>
              <w:rPr>
                <w:b/>
                <w:w w:val="103"/>
                <w:sz w:val="19"/>
              </w:rPr>
              <w:t>i</w:t>
            </w:r>
          </w:p>
          <w:p>
            <w:pPr>
              <w:pStyle w:val="TableParagraph"/>
              <w:spacing w:before="5"/>
              <w:ind w:right="0"/>
              <w:jc w:val="left"/>
              <w:rPr>
                <w:b/>
                <w:sz w:val="21"/>
              </w:rPr>
            </w:pPr>
          </w:p>
          <w:p>
            <w:pPr>
              <w:pStyle w:val="TableParagraph"/>
              <w:spacing w:before="0"/>
              <w:ind w:left="199" w:right="0"/>
              <w:jc w:val="left"/>
              <w:rPr>
                <w:b/>
                <w:sz w:val="19"/>
              </w:rPr>
            </w:pPr>
            <w:r>
              <w:rPr>
                <w:b/>
                <w:w w:val="105"/>
                <w:sz w:val="19"/>
              </w:rPr>
              <w:t>ii</w:t>
            </w:r>
          </w:p>
        </w:tc>
      </w:tr>
      <w:tr>
        <w:trPr>
          <w:trHeight w:val="463" w:hRule="exact"/>
        </w:trPr>
        <w:tc>
          <w:tcPr>
            <w:tcW w:w="8681" w:type="dxa"/>
          </w:tcPr>
          <w:p>
            <w:pPr>
              <w:pStyle w:val="TableParagraph"/>
              <w:spacing w:before="113"/>
              <w:ind w:right="154"/>
              <w:rPr>
                <w:b/>
                <w:sz w:val="19"/>
              </w:rPr>
            </w:pPr>
            <w:r>
              <w:rPr>
                <w:b/>
                <w:sz w:val="19"/>
              </w:rPr>
              <w:t>I.      Introducción................................................................................................................................</w:t>
            </w:r>
          </w:p>
        </w:tc>
        <w:tc>
          <w:tcPr>
            <w:tcW w:w="401" w:type="dxa"/>
          </w:tcPr>
          <w:p>
            <w:pPr>
              <w:pStyle w:val="TableParagraph"/>
              <w:spacing w:before="113"/>
              <w:rPr>
                <w:sz w:val="19"/>
              </w:rPr>
            </w:pPr>
            <w:r>
              <w:rPr>
                <w:w w:val="103"/>
                <w:sz w:val="19"/>
              </w:rPr>
              <w:t>1</w:t>
            </w:r>
          </w:p>
        </w:tc>
      </w:tr>
      <w:tr>
        <w:trPr>
          <w:trHeight w:val="466" w:hRule="exact"/>
        </w:trPr>
        <w:tc>
          <w:tcPr>
            <w:tcW w:w="8681" w:type="dxa"/>
          </w:tcPr>
          <w:p>
            <w:pPr>
              <w:pStyle w:val="TableParagraph"/>
              <w:ind w:right="164"/>
              <w:rPr>
                <w:b/>
                <w:sz w:val="19"/>
              </w:rPr>
            </w:pPr>
            <w:r>
              <w:rPr>
                <w:w w:val="105"/>
                <w:sz w:val="19"/>
              </w:rPr>
              <w:t>1.1 Importancia de la biota edáfica</w:t>
            </w:r>
            <w:r>
              <w:rPr>
                <w:b/>
                <w:w w:val="105"/>
                <w:sz w:val="19"/>
              </w:rPr>
              <w:t>………………………………………………………................</w:t>
            </w:r>
          </w:p>
        </w:tc>
        <w:tc>
          <w:tcPr>
            <w:tcW w:w="401" w:type="dxa"/>
          </w:tcPr>
          <w:p>
            <w:pPr>
              <w:pStyle w:val="TableParagraph"/>
              <w:rPr>
                <w:sz w:val="19"/>
              </w:rPr>
            </w:pPr>
            <w:r>
              <w:rPr>
                <w:w w:val="103"/>
                <w:sz w:val="19"/>
              </w:rPr>
              <w:t>1</w:t>
            </w:r>
          </w:p>
        </w:tc>
      </w:tr>
      <w:tr>
        <w:trPr>
          <w:trHeight w:val="466" w:hRule="exact"/>
        </w:trPr>
        <w:tc>
          <w:tcPr>
            <w:tcW w:w="8681" w:type="dxa"/>
          </w:tcPr>
          <w:p>
            <w:pPr>
              <w:pStyle w:val="TableParagraph"/>
              <w:ind w:right="142"/>
              <w:rPr>
                <w:b/>
                <w:sz w:val="19"/>
              </w:rPr>
            </w:pPr>
            <w:r>
              <w:rPr>
                <w:w w:val="105"/>
                <w:sz w:val="19"/>
              </w:rPr>
              <w:t>1.2 Importancia del fósforo</w:t>
            </w:r>
            <w:r>
              <w:rPr>
                <w:b/>
                <w:w w:val="105"/>
                <w:sz w:val="19"/>
              </w:rPr>
              <w:t>……………………………………….…………...................................</w:t>
            </w:r>
          </w:p>
        </w:tc>
        <w:tc>
          <w:tcPr>
            <w:tcW w:w="401" w:type="dxa"/>
          </w:tcPr>
          <w:p>
            <w:pPr>
              <w:pStyle w:val="TableParagraph"/>
              <w:rPr>
                <w:sz w:val="19"/>
              </w:rPr>
            </w:pPr>
            <w:r>
              <w:rPr>
                <w:w w:val="103"/>
                <w:sz w:val="19"/>
              </w:rPr>
              <w:t>1</w:t>
            </w:r>
          </w:p>
        </w:tc>
      </w:tr>
      <w:tr>
        <w:trPr>
          <w:trHeight w:val="463" w:hRule="exact"/>
        </w:trPr>
        <w:tc>
          <w:tcPr>
            <w:tcW w:w="8681" w:type="dxa"/>
          </w:tcPr>
          <w:p>
            <w:pPr>
              <w:pStyle w:val="TableParagraph"/>
              <w:ind w:right="152"/>
              <w:rPr>
                <w:b/>
                <w:sz w:val="19"/>
              </w:rPr>
            </w:pPr>
            <w:r>
              <w:rPr>
                <w:w w:val="105"/>
                <w:sz w:val="19"/>
              </w:rPr>
              <w:t>1.3 El fósforo en la agricultura convencional</w:t>
            </w:r>
            <w:r>
              <w:rPr>
                <w:b/>
                <w:w w:val="105"/>
                <w:sz w:val="19"/>
              </w:rPr>
              <w:t>.............................................................................</w:t>
            </w:r>
          </w:p>
        </w:tc>
        <w:tc>
          <w:tcPr>
            <w:tcW w:w="401" w:type="dxa"/>
          </w:tcPr>
          <w:p>
            <w:pPr>
              <w:pStyle w:val="TableParagraph"/>
              <w:rPr>
                <w:sz w:val="19"/>
              </w:rPr>
            </w:pPr>
            <w:r>
              <w:rPr>
                <w:w w:val="103"/>
                <w:sz w:val="19"/>
              </w:rPr>
              <w:t>2</w:t>
            </w:r>
          </w:p>
        </w:tc>
      </w:tr>
      <w:tr>
        <w:trPr>
          <w:trHeight w:val="463" w:hRule="exact"/>
        </w:trPr>
        <w:tc>
          <w:tcPr>
            <w:tcW w:w="8681" w:type="dxa"/>
          </w:tcPr>
          <w:p>
            <w:pPr>
              <w:pStyle w:val="TableParagraph"/>
              <w:spacing w:before="113"/>
              <w:ind w:right="153"/>
              <w:rPr>
                <w:b/>
                <w:sz w:val="19"/>
              </w:rPr>
            </w:pPr>
            <w:r>
              <w:rPr>
                <w:b/>
                <w:w w:val="105"/>
                <w:sz w:val="19"/>
              </w:rPr>
              <w:t>II. Revisión de Literatura...............................................................................................................</w:t>
            </w:r>
          </w:p>
        </w:tc>
        <w:tc>
          <w:tcPr>
            <w:tcW w:w="401" w:type="dxa"/>
          </w:tcPr>
          <w:p>
            <w:pPr>
              <w:pStyle w:val="TableParagraph"/>
              <w:spacing w:before="113"/>
              <w:rPr>
                <w:sz w:val="19"/>
              </w:rPr>
            </w:pPr>
            <w:r>
              <w:rPr>
                <w:w w:val="103"/>
                <w:sz w:val="19"/>
              </w:rPr>
              <w:t>3</w:t>
            </w:r>
          </w:p>
        </w:tc>
      </w:tr>
      <w:tr>
        <w:trPr>
          <w:trHeight w:val="466" w:hRule="exact"/>
        </w:trPr>
        <w:tc>
          <w:tcPr>
            <w:tcW w:w="8681" w:type="dxa"/>
          </w:tcPr>
          <w:p>
            <w:pPr>
              <w:pStyle w:val="TableParagraph"/>
              <w:ind w:right="141"/>
              <w:rPr>
                <w:b/>
                <w:sz w:val="19"/>
              </w:rPr>
            </w:pPr>
            <w:r>
              <w:rPr>
                <w:w w:val="105"/>
                <w:sz w:val="19"/>
              </w:rPr>
              <w:t>2.1 Hongos solubilizadores de fosfato</w:t>
            </w:r>
            <w:r>
              <w:rPr>
                <w:b/>
                <w:w w:val="105"/>
                <w:sz w:val="19"/>
              </w:rPr>
              <w:t>.......................................................................................</w:t>
            </w:r>
          </w:p>
        </w:tc>
        <w:tc>
          <w:tcPr>
            <w:tcW w:w="401" w:type="dxa"/>
          </w:tcPr>
          <w:p>
            <w:pPr>
              <w:pStyle w:val="TableParagraph"/>
              <w:rPr>
                <w:sz w:val="19"/>
              </w:rPr>
            </w:pPr>
            <w:r>
              <w:rPr>
                <w:w w:val="103"/>
                <w:sz w:val="19"/>
              </w:rPr>
              <w:t>3</w:t>
            </w:r>
          </w:p>
        </w:tc>
      </w:tr>
      <w:tr>
        <w:trPr>
          <w:trHeight w:val="466" w:hRule="exact"/>
        </w:trPr>
        <w:tc>
          <w:tcPr>
            <w:tcW w:w="8681" w:type="dxa"/>
          </w:tcPr>
          <w:p>
            <w:pPr>
              <w:pStyle w:val="TableParagraph"/>
              <w:ind w:right="186"/>
              <w:rPr>
                <w:b/>
                <w:sz w:val="19"/>
              </w:rPr>
            </w:pPr>
            <w:r>
              <w:rPr>
                <w:sz w:val="19"/>
              </w:rPr>
              <w:t>2.2    Hongos   nematófagos</w:t>
            </w:r>
            <w:r>
              <w:rPr>
                <w:b/>
                <w:sz w:val="19"/>
              </w:rPr>
              <w:t>..........................................................................................................</w:t>
            </w:r>
          </w:p>
        </w:tc>
        <w:tc>
          <w:tcPr>
            <w:tcW w:w="401" w:type="dxa"/>
          </w:tcPr>
          <w:p>
            <w:pPr>
              <w:pStyle w:val="TableParagraph"/>
              <w:rPr>
                <w:sz w:val="19"/>
              </w:rPr>
            </w:pPr>
            <w:r>
              <w:rPr>
                <w:w w:val="103"/>
                <w:sz w:val="19"/>
              </w:rPr>
              <w:t>4</w:t>
            </w:r>
          </w:p>
        </w:tc>
      </w:tr>
      <w:tr>
        <w:trPr>
          <w:trHeight w:val="463" w:hRule="exact"/>
        </w:trPr>
        <w:tc>
          <w:tcPr>
            <w:tcW w:w="8681" w:type="dxa"/>
          </w:tcPr>
          <w:p>
            <w:pPr>
              <w:pStyle w:val="TableParagraph"/>
              <w:ind w:right="142"/>
              <w:rPr>
                <w:b/>
                <w:sz w:val="19"/>
              </w:rPr>
            </w:pPr>
            <w:r>
              <w:rPr>
                <w:b/>
                <w:sz w:val="19"/>
              </w:rPr>
              <w:t>III.      Justificación..............................................................................................................................</w:t>
            </w:r>
          </w:p>
        </w:tc>
        <w:tc>
          <w:tcPr>
            <w:tcW w:w="401" w:type="dxa"/>
          </w:tcPr>
          <w:p>
            <w:pPr>
              <w:pStyle w:val="TableParagraph"/>
              <w:rPr>
                <w:sz w:val="19"/>
              </w:rPr>
            </w:pPr>
            <w:r>
              <w:rPr>
                <w:w w:val="103"/>
                <w:sz w:val="19"/>
              </w:rPr>
              <w:t>7</w:t>
            </w:r>
          </w:p>
        </w:tc>
      </w:tr>
      <w:tr>
        <w:trPr>
          <w:trHeight w:val="463" w:hRule="exact"/>
        </w:trPr>
        <w:tc>
          <w:tcPr>
            <w:tcW w:w="8681" w:type="dxa"/>
          </w:tcPr>
          <w:p>
            <w:pPr>
              <w:pStyle w:val="TableParagraph"/>
              <w:spacing w:before="113"/>
              <w:ind w:right="164"/>
              <w:rPr>
                <w:b/>
                <w:sz w:val="19"/>
              </w:rPr>
            </w:pPr>
            <w:r>
              <w:rPr>
                <w:b/>
                <w:sz w:val="19"/>
              </w:rPr>
              <w:t>IV.      Hipótesis...................................................................................................................................</w:t>
            </w:r>
          </w:p>
        </w:tc>
        <w:tc>
          <w:tcPr>
            <w:tcW w:w="401" w:type="dxa"/>
          </w:tcPr>
          <w:p>
            <w:pPr>
              <w:pStyle w:val="TableParagraph"/>
              <w:spacing w:before="113"/>
              <w:rPr>
                <w:sz w:val="19"/>
              </w:rPr>
            </w:pPr>
            <w:r>
              <w:rPr>
                <w:w w:val="103"/>
                <w:sz w:val="19"/>
              </w:rPr>
              <w:t>8</w:t>
            </w:r>
          </w:p>
        </w:tc>
      </w:tr>
      <w:tr>
        <w:trPr>
          <w:trHeight w:val="466" w:hRule="exact"/>
        </w:trPr>
        <w:tc>
          <w:tcPr>
            <w:tcW w:w="8681" w:type="dxa"/>
          </w:tcPr>
          <w:p>
            <w:pPr>
              <w:pStyle w:val="TableParagraph"/>
              <w:ind w:right="153"/>
              <w:rPr>
                <w:b/>
                <w:sz w:val="19"/>
              </w:rPr>
            </w:pPr>
            <w:r>
              <w:rPr>
                <w:b/>
                <w:sz w:val="19"/>
              </w:rPr>
              <w:t>V.      Objetivos....................................................................................................................................</w:t>
            </w:r>
          </w:p>
        </w:tc>
        <w:tc>
          <w:tcPr>
            <w:tcW w:w="401" w:type="dxa"/>
          </w:tcPr>
          <w:p>
            <w:pPr>
              <w:pStyle w:val="TableParagraph"/>
              <w:rPr>
                <w:sz w:val="19"/>
              </w:rPr>
            </w:pPr>
            <w:r>
              <w:rPr>
                <w:w w:val="103"/>
                <w:sz w:val="19"/>
              </w:rPr>
              <w:t>8</w:t>
            </w:r>
          </w:p>
        </w:tc>
      </w:tr>
      <w:tr>
        <w:trPr>
          <w:trHeight w:val="466" w:hRule="exact"/>
        </w:trPr>
        <w:tc>
          <w:tcPr>
            <w:tcW w:w="8681" w:type="dxa"/>
          </w:tcPr>
          <w:p>
            <w:pPr>
              <w:pStyle w:val="TableParagraph"/>
              <w:ind w:right="186"/>
              <w:rPr>
                <w:b/>
                <w:sz w:val="19"/>
              </w:rPr>
            </w:pPr>
            <w:r>
              <w:rPr>
                <w:sz w:val="19"/>
              </w:rPr>
              <w:t>5.1    Objetivo   general</w:t>
            </w:r>
            <w:r>
              <w:rPr>
                <w:b/>
                <w:sz w:val="19"/>
              </w:rPr>
              <w:t>..................................................................................................................</w:t>
            </w:r>
          </w:p>
        </w:tc>
        <w:tc>
          <w:tcPr>
            <w:tcW w:w="401" w:type="dxa"/>
          </w:tcPr>
          <w:p>
            <w:pPr>
              <w:pStyle w:val="TableParagraph"/>
              <w:rPr>
                <w:sz w:val="19"/>
              </w:rPr>
            </w:pPr>
            <w:r>
              <w:rPr>
                <w:w w:val="103"/>
                <w:sz w:val="19"/>
              </w:rPr>
              <w:t>8</w:t>
            </w:r>
          </w:p>
        </w:tc>
      </w:tr>
      <w:tr>
        <w:trPr>
          <w:trHeight w:val="466" w:hRule="exact"/>
        </w:trPr>
        <w:tc>
          <w:tcPr>
            <w:tcW w:w="8681" w:type="dxa"/>
          </w:tcPr>
          <w:p>
            <w:pPr>
              <w:pStyle w:val="TableParagraph"/>
              <w:ind w:right="164"/>
              <w:rPr>
                <w:b/>
                <w:sz w:val="19"/>
              </w:rPr>
            </w:pPr>
            <w:r>
              <w:rPr>
                <w:sz w:val="19"/>
              </w:rPr>
              <w:t>5.2    Objetivos   particulares</w:t>
            </w:r>
            <w:r>
              <w:rPr>
                <w:b/>
                <w:sz w:val="19"/>
              </w:rPr>
              <w:t>..........................................................................................................</w:t>
            </w:r>
          </w:p>
        </w:tc>
        <w:tc>
          <w:tcPr>
            <w:tcW w:w="401" w:type="dxa"/>
          </w:tcPr>
          <w:p>
            <w:pPr>
              <w:pStyle w:val="TableParagraph"/>
              <w:rPr>
                <w:sz w:val="19"/>
              </w:rPr>
            </w:pPr>
            <w:r>
              <w:rPr>
                <w:w w:val="103"/>
                <w:sz w:val="19"/>
              </w:rPr>
              <w:t>8</w:t>
            </w:r>
          </w:p>
        </w:tc>
      </w:tr>
      <w:tr>
        <w:trPr>
          <w:trHeight w:val="463" w:hRule="exact"/>
        </w:trPr>
        <w:tc>
          <w:tcPr>
            <w:tcW w:w="8681" w:type="dxa"/>
          </w:tcPr>
          <w:p>
            <w:pPr>
              <w:pStyle w:val="TableParagraph"/>
              <w:ind w:right="153"/>
              <w:rPr>
                <w:b/>
                <w:sz w:val="19"/>
              </w:rPr>
            </w:pPr>
            <w:r>
              <w:rPr>
                <w:b/>
                <w:w w:val="105"/>
                <w:sz w:val="19"/>
              </w:rPr>
              <w:t>VI. Materiales y Métodos...............................................................................................................</w:t>
            </w:r>
          </w:p>
        </w:tc>
        <w:tc>
          <w:tcPr>
            <w:tcW w:w="401" w:type="dxa"/>
          </w:tcPr>
          <w:p>
            <w:pPr>
              <w:pStyle w:val="TableParagraph"/>
              <w:rPr>
                <w:sz w:val="19"/>
              </w:rPr>
            </w:pPr>
            <w:r>
              <w:rPr>
                <w:w w:val="103"/>
                <w:sz w:val="19"/>
              </w:rPr>
              <w:t>9</w:t>
            </w:r>
          </w:p>
        </w:tc>
      </w:tr>
      <w:tr>
        <w:trPr>
          <w:trHeight w:val="463" w:hRule="exact"/>
        </w:trPr>
        <w:tc>
          <w:tcPr>
            <w:tcW w:w="8681" w:type="dxa"/>
          </w:tcPr>
          <w:p>
            <w:pPr>
              <w:pStyle w:val="TableParagraph"/>
              <w:spacing w:before="113"/>
              <w:ind w:right="175"/>
              <w:rPr>
                <w:b/>
                <w:sz w:val="19"/>
              </w:rPr>
            </w:pPr>
            <w:r>
              <w:rPr>
                <w:sz w:val="19"/>
              </w:rPr>
              <w:t>6.1      Microorganismos</w:t>
            </w:r>
            <w:r>
              <w:rPr>
                <w:b/>
                <w:sz w:val="19"/>
              </w:rPr>
              <w:t>.................................................................................................................</w:t>
            </w:r>
          </w:p>
        </w:tc>
        <w:tc>
          <w:tcPr>
            <w:tcW w:w="401" w:type="dxa"/>
          </w:tcPr>
          <w:p>
            <w:pPr>
              <w:pStyle w:val="TableParagraph"/>
              <w:spacing w:before="113"/>
              <w:rPr>
                <w:sz w:val="19"/>
              </w:rPr>
            </w:pPr>
            <w:r>
              <w:rPr>
                <w:w w:val="103"/>
                <w:sz w:val="19"/>
              </w:rPr>
              <w:t>9</w:t>
            </w:r>
          </w:p>
        </w:tc>
      </w:tr>
      <w:tr>
        <w:trPr>
          <w:trHeight w:val="466" w:hRule="exact"/>
        </w:trPr>
        <w:tc>
          <w:tcPr>
            <w:tcW w:w="8681" w:type="dxa"/>
          </w:tcPr>
          <w:p>
            <w:pPr>
              <w:pStyle w:val="TableParagraph"/>
              <w:ind w:right="152"/>
              <w:rPr>
                <w:b/>
                <w:sz w:val="19"/>
              </w:rPr>
            </w:pPr>
            <w:r>
              <w:rPr>
                <w:w w:val="105"/>
                <w:sz w:val="19"/>
              </w:rPr>
              <w:t>6.2 Solubilización de fosfato</w:t>
            </w:r>
            <w:r>
              <w:rPr>
                <w:b/>
                <w:w w:val="105"/>
                <w:sz w:val="19"/>
              </w:rPr>
              <w:t>......................................................................................................</w:t>
            </w:r>
          </w:p>
        </w:tc>
        <w:tc>
          <w:tcPr>
            <w:tcW w:w="401" w:type="dxa"/>
          </w:tcPr>
          <w:p>
            <w:pPr>
              <w:pStyle w:val="TableParagraph"/>
              <w:rPr>
                <w:sz w:val="19"/>
              </w:rPr>
            </w:pPr>
            <w:r>
              <w:rPr>
                <w:w w:val="103"/>
                <w:sz w:val="19"/>
              </w:rPr>
              <w:t>9</w:t>
            </w:r>
          </w:p>
        </w:tc>
      </w:tr>
      <w:tr>
        <w:trPr>
          <w:trHeight w:val="466" w:hRule="exact"/>
        </w:trPr>
        <w:tc>
          <w:tcPr>
            <w:tcW w:w="8681" w:type="dxa"/>
          </w:tcPr>
          <w:p>
            <w:pPr>
              <w:pStyle w:val="TableParagraph"/>
              <w:ind w:right="152"/>
              <w:rPr>
                <w:b/>
                <w:sz w:val="19"/>
              </w:rPr>
            </w:pPr>
            <w:r>
              <w:rPr>
                <w:w w:val="105"/>
                <w:sz w:val="19"/>
              </w:rPr>
              <w:t>6.2.1 Solubilización en medios sólidos</w:t>
            </w:r>
            <w:r>
              <w:rPr>
                <w:b/>
                <w:w w:val="105"/>
                <w:sz w:val="19"/>
              </w:rPr>
              <w:t>...................................................................................</w:t>
            </w:r>
          </w:p>
        </w:tc>
        <w:tc>
          <w:tcPr>
            <w:tcW w:w="401" w:type="dxa"/>
          </w:tcPr>
          <w:p>
            <w:pPr>
              <w:pStyle w:val="TableParagraph"/>
              <w:rPr>
                <w:sz w:val="19"/>
              </w:rPr>
            </w:pPr>
            <w:r>
              <w:rPr>
                <w:w w:val="103"/>
                <w:sz w:val="19"/>
              </w:rPr>
              <w:t>9</w:t>
            </w:r>
          </w:p>
        </w:tc>
      </w:tr>
      <w:tr>
        <w:trPr>
          <w:trHeight w:val="463" w:hRule="exact"/>
        </w:trPr>
        <w:tc>
          <w:tcPr>
            <w:tcW w:w="8681" w:type="dxa"/>
          </w:tcPr>
          <w:p>
            <w:pPr>
              <w:pStyle w:val="TableParagraph"/>
              <w:ind w:right="186"/>
              <w:rPr>
                <w:b/>
                <w:sz w:val="19"/>
              </w:rPr>
            </w:pPr>
            <w:r>
              <w:rPr>
                <w:w w:val="105"/>
                <w:sz w:val="19"/>
              </w:rPr>
              <w:t>6.2.2 Solubilización en medios líquidos</w:t>
            </w:r>
            <w:r>
              <w:rPr>
                <w:b/>
                <w:w w:val="105"/>
                <w:sz w:val="19"/>
              </w:rPr>
              <w:t>…………………………………………..………………</w:t>
            </w:r>
          </w:p>
        </w:tc>
        <w:tc>
          <w:tcPr>
            <w:tcW w:w="401" w:type="dxa"/>
          </w:tcPr>
          <w:p>
            <w:pPr>
              <w:pStyle w:val="TableParagraph"/>
              <w:ind w:right="33"/>
              <w:rPr>
                <w:sz w:val="19"/>
              </w:rPr>
            </w:pPr>
            <w:r>
              <w:rPr>
                <w:sz w:val="19"/>
              </w:rPr>
              <w:t>11</w:t>
            </w:r>
          </w:p>
        </w:tc>
      </w:tr>
      <w:tr>
        <w:trPr>
          <w:trHeight w:val="485" w:hRule="exact"/>
        </w:trPr>
        <w:tc>
          <w:tcPr>
            <w:tcW w:w="8681" w:type="dxa"/>
          </w:tcPr>
          <w:p>
            <w:pPr>
              <w:pStyle w:val="TableParagraph"/>
              <w:spacing w:before="113"/>
              <w:ind w:right="151"/>
              <w:rPr>
                <w:b/>
                <w:sz w:val="19"/>
              </w:rPr>
            </w:pPr>
            <w:r>
              <w:rPr>
                <w:w w:val="105"/>
                <w:sz w:val="19"/>
              </w:rPr>
              <w:t>6.3 Germinación de esporas e interacción entre micelios de hongos nematófagos</w:t>
            </w:r>
            <w:r>
              <w:rPr>
                <w:b/>
                <w:w w:val="105"/>
                <w:sz w:val="19"/>
              </w:rPr>
              <w:t>…………...</w:t>
            </w:r>
          </w:p>
        </w:tc>
        <w:tc>
          <w:tcPr>
            <w:tcW w:w="401" w:type="dxa"/>
          </w:tcPr>
          <w:p>
            <w:pPr>
              <w:pStyle w:val="TableParagraph"/>
              <w:spacing w:before="118"/>
              <w:ind w:right="33"/>
              <w:rPr>
                <w:sz w:val="19"/>
              </w:rPr>
            </w:pPr>
            <w:r>
              <w:rPr>
                <w:sz w:val="19"/>
              </w:rPr>
              <w:t>12</w:t>
            </w:r>
          </w:p>
        </w:tc>
      </w:tr>
      <w:tr>
        <w:trPr>
          <w:trHeight w:val="482" w:hRule="exact"/>
        </w:trPr>
        <w:tc>
          <w:tcPr>
            <w:tcW w:w="8681" w:type="dxa"/>
          </w:tcPr>
          <w:p>
            <w:pPr>
              <w:pStyle w:val="TableParagraph"/>
              <w:spacing w:before="132"/>
              <w:ind w:right="152"/>
              <w:rPr>
                <w:b/>
                <w:sz w:val="19"/>
              </w:rPr>
            </w:pPr>
            <w:r>
              <w:rPr>
                <w:w w:val="105"/>
                <w:sz w:val="19"/>
              </w:rPr>
              <w:t>6.3.1 Porcentaje de germinación</w:t>
            </w:r>
            <w:r>
              <w:rPr>
                <w:b/>
                <w:w w:val="105"/>
                <w:sz w:val="19"/>
              </w:rPr>
              <w:t>............................................................................................</w:t>
            </w:r>
          </w:p>
        </w:tc>
        <w:tc>
          <w:tcPr>
            <w:tcW w:w="401" w:type="dxa"/>
          </w:tcPr>
          <w:p>
            <w:pPr>
              <w:pStyle w:val="TableParagraph"/>
              <w:spacing w:before="132"/>
              <w:ind w:right="33"/>
              <w:rPr>
                <w:sz w:val="19"/>
              </w:rPr>
            </w:pPr>
            <w:r>
              <w:rPr>
                <w:sz w:val="19"/>
              </w:rPr>
              <w:t>12</w:t>
            </w:r>
          </w:p>
        </w:tc>
      </w:tr>
      <w:tr>
        <w:trPr>
          <w:trHeight w:val="487" w:hRule="exact"/>
        </w:trPr>
        <w:tc>
          <w:tcPr>
            <w:tcW w:w="8681" w:type="dxa"/>
          </w:tcPr>
          <w:p>
            <w:pPr>
              <w:pStyle w:val="TableParagraph"/>
              <w:ind w:right="152"/>
              <w:rPr>
                <w:b/>
                <w:sz w:val="19"/>
              </w:rPr>
            </w:pPr>
            <w:r>
              <w:rPr>
                <w:w w:val="105"/>
                <w:sz w:val="19"/>
              </w:rPr>
              <w:t>6.3.2 Crecimiento micelial e interacción de los hongos en cultivos duales</w:t>
            </w:r>
            <w:r>
              <w:rPr>
                <w:b/>
                <w:w w:val="105"/>
                <w:sz w:val="19"/>
              </w:rPr>
              <w:t>…………………...</w:t>
            </w:r>
          </w:p>
        </w:tc>
        <w:tc>
          <w:tcPr>
            <w:tcW w:w="401" w:type="dxa"/>
          </w:tcPr>
          <w:p>
            <w:pPr>
              <w:pStyle w:val="TableParagraph"/>
              <w:spacing w:before="120"/>
              <w:ind w:right="33"/>
              <w:rPr>
                <w:sz w:val="19"/>
              </w:rPr>
            </w:pPr>
            <w:r>
              <w:rPr>
                <w:sz w:val="19"/>
              </w:rPr>
              <w:t>13</w:t>
            </w:r>
          </w:p>
        </w:tc>
      </w:tr>
      <w:tr>
        <w:trPr>
          <w:trHeight w:val="482" w:hRule="exact"/>
        </w:trPr>
        <w:tc>
          <w:tcPr>
            <w:tcW w:w="8681" w:type="dxa"/>
          </w:tcPr>
          <w:p>
            <w:pPr>
              <w:pStyle w:val="TableParagraph"/>
              <w:spacing w:before="132"/>
              <w:ind w:left="368" w:right="0"/>
              <w:jc w:val="left"/>
              <w:rPr>
                <w:b/>
                <w:sz w:val="19"/>
              </w:rPr>
            </w:pPr>
            <w:r>
              <w:rPr>
                <w:w w:val="105"/>
                <w:sz w:val="19"/>
              </w:rPr>
              <w:t>6.4 Experimentos en invernadero</w:t>
            </w:r>
            <w:r>
              <w:rPr>
                <w:b/>
                <w:w w:val="105"/>
                <w:sz w:val="19"/>
              </w:rPr>
              <w:t>............................................................................................</w:t>
            </w:r>
          </w:p>
        </w:tc>
        <w:tc>
          <w:tcPr>
            <w:tcW w:w="401" w:type="dxa"/>
          </w:tcPr>
          <w:p>
            <w:pPr>
              <w:pStyle w:val="TableParagraph"/>
              <w:spacing w:before="132"/>
              <w:ind w:right="33"/>
              <w:rPr>
                <w:sz w:val="19"/>
              </w:rPr>
            </w:pPr>
            <w:r>
              <w:rPr>
                <w:sz w:val="19"/>
              </w:rPr>
              <w:t>15</w:t>
            </w:r>
          </w:p>
        </w:tc>
      </w:tr>
      <w:tr>
        <w:trPr>
          <w:trHeight w:val="431" w:hRule="exact"/>
        </w:trPr>
        <w:tc>
          <w:tcPr>
            <w:tcW w:w="8681" w:type="dxa"/>
          </w:tcPr>
          <w:p>
            <w:pPr>
              <w:pStyle w:val="TableParagraph"/>
              <w:ind w:right="152"/>
              <w:rPr>
                <w:b/>
                <w:sz w:val="19"/>
              </w:rPr>
            </w:pPr>
            <w:r>
              <w:rPr>
                <w:w w:val="105"/>
                <w:sz w:val="19"/>
              </w:rPr>
              <w:t>6.4.1 Cuantificación de nutrimentos del suelo</w:t>
            </w:r>
            <w:r>
              <w:rPr>
                <w:b/>
                <w:w w:val="105"/>
                <w:sz w:val="19"/>
              </w:rPr>
              <w:t>........................................................................</w:t>
            </w:r>
          </w:p>
        </w:tc>
        <w:tc>
          <w:tcPr>
            <w:tcW w:w="401" w:type="dxa"/>
          </w:tcPr>
          <w:p>
            <w:pPr>
              <w:pStyle w:val="TableParagraph"/>
              <w:ind w:right="34"/>
              <w:rPr>
                <w:sz w:val="19"/>
              </w:rPr>
            </w:pPr>
            <w:r>
              <w:rPr>
                <w:sz w:val="19"/>
              </w:rPr>
              <w:t>16</w:t>
            </w:r>
          </w:p>
        </w:tc>
      </w:tr>
    </w:tbl>
    <w:p>
      <w:pPr>
        <w:spacing w:after="0"/>
        <w:rPr>
          <w:sz w:val="19"/>
        </w:rPr>
        <w:sectPr>
          <w:pgSz w:w="12240" w:h="15840"/>
          <w:pgMar w:top="1360" w:bottom="280" w:left="1720" w:right="1200"/>
        </w:sectPr>
      </w:pPr>
    </w:p>
    <w:p>
      <w:pPr>
        <w:tabs>
          <w:tab w:pos="9159" w:val="right" w:leader="dot"/>
        </w:tabs>
        <w:spacing w:before="60"/>
        <w:ind w:left="647" w:right="0" w:firstLine="0"/>
        <w:jc w:val="left"/>
        <w:rPr>
          <w:sz w:val="19"/>
        </w:rPr>
      </w:pPr>
      <w:r>
        <w:rPr>
          <w:w w:val="105"/>
          <w:sz w:val="19"/>
        </w:rPr>
        <w:t>6.4.2 Cuantificación de la densidad de población de</w:t>
      </w:r>
      <w:r>
        <w:rPr>
          <w:spacing w:val="1"/>
          <w:w w:val="105"/>
          <w:sz w:val="19"/>
        </w:rPr>
        <w:t> </w:t>
      </w:r>
      <w:r>
        <w:rPr>
          <w:i/>
          <w:w w:val="105"/>
          <w:sz w:val="19"/>
        </w:rPr>
        <w:t>Globodera rostochiensis</w:t>
      </w:r>
      <w:r>
        <w:rPr>
          <w:w w:val="105"/>
          <w:sz w:val="19"/>
        </w:rPr>
        <w:tab/>
        <w:t>17</w:t>
      </w:r>
    </w:p>
    <w:p>
      <w:pPr>
        <w:tabs>
          <w:tab w:pos="9159" w:val="right" w:leader="dot"/>
        </w:tabs>
        <w:spacing w:before="247"/>
        <w:ind w:left="480" w:right="0" w:firstLine="0"/>
        <w:jc w:val="left"/>
        <w:rPr>
          <w:sz w:val="19"/>
        </w:rPr>
      </w:pPr>
      <w:r>
        <w:rPr>
          <w:w w:val="105"/>
          <w:sz w:val="19"/>
        </w:rPr>
        <w:t>6.5</w:t>
      </w:r>
      <w:r>
        <w:rPr>
          <w:spacing w:val="1"/>
          <w:w w:val="105"/>
          <w:sz w:val="19"/>
        </w:rPr>
        <w:t> </w:t>
      </w:r>
      <w:r>
        <w:rPr>
          <w:w w:val="105"/>
          <w:sz w:val="19"/>
        </w:rPr>
        <w:t>Análisis</w:t>
      </w:r>
      <w:r>
        <w:rPr>
          <w:spacing w:val="1"/>
          <w:w w:val="105"/>
          <w:sz w:val="19"/>
        </w:rPr>
        <w:t> </w:t>
      </w:r>
      <w:r>
        <w:rPr>
          <w:w w:val="105"/>
          <w:sz w:val="19"/>
        </w:rPr>
        <w:t>estadísticos</w:t>
        <w:tab/>
        <w:t>18</w:t>
      </w:r>
    </w:p>
    <w:p>
      <w:pPr>
        <w:pStyle w:val="ListParagraph"/>
        <w:numPr>
          <w:ilvl w:val="0"/>
          <w:numId w:val="1"/>
        </w:numPr>
        <w:tabs>
          <w:tab w:pos="503" w:val="left" w:leader="none"/>
          <w:tab w:pos="9159" w:val="right" w:leader="dot"/>
        </w:tabs>
        <w:spacing w:line="240" w:lineRule="auto" w:before="247" w:after="0"/>
        <w:ind w:left="502" w:right="0" w:hanging="355"/>
        <w:jc w:val="left"/>
        <w:rPr>
          <w:sz w:val="19"/>
        </w:rPr>
      </w:pPr>
      <w:r>
        <w:rPr>
          <w:b/>
          <w:w w:val="105"/>
          <w:sz w:val="19"/>
        </w:rPr>
        <w:t>Resultados</w:t>
      </w:r>
      <w:r>
        <w:rPr>
          <w:w w:val="105"/>
          <w:sz w:val="19"/>
        </w:rPr>
        <w:tab/>
        <w:t>19</w:t>
      </w:r>
    </w:p>
    <w:p>
      <w:pPr>
        <w:pStyle w:val="ListParagraph"/>
        <w:numPr>
          <w:ilvl w:val="1"/>
          <w:numId w:val="2"/>
        </w:numPr>
        <w:tabs>
          <w:tab w:pos="815" w:val="left" w:leader="none"/>
          <w:tab w:pos="9159" w:val="right" w:leader="dot"/>
        </w:tabs>
        <w:spacing w:line="240" w:lineRule="auto" w:before="247" w:after="0"/>
        <w:ind w:left="856" w:right="0" w:hanging="376"/>
        <w:jc w:val="left"/>
        <w:rPr>
          <w:sz w:val="19"/>
        </w:rPr>
      </w:pPr>
      <w:r>
        <w:rPr>
          <w:w w:val="105"/>
          <w:sz w:val="19"/>
        </w:rPr>
        <w:t>Solubilización de fosfatos</w:t>
      </w:r>
      <w:r>
        <w:rPr>
          <w:spacing w:val="4"/>
          <w:w w:val="105"/>
          <w:sz w:val="19"/>
        </w:rPr>
        <w:t> </w:t>
      </w:r>
      <w:r>
        <w:rPr>
          <w:i/>
          <w:w w:val="105"/>
          <w:sz w:val="19"/>
        </w:rPr>
        <w:t>in</w:t>
      </w:r>
      <w:r>
        <w:rPr>
          <w:i/>
          <w:spacing w:val="1"/>
          <w:w w:val="105"/>
          <w:sz w:val="19"/>
        </w:rPr>
        <w:t> </w:t>
      </w:r>
      <w:r>
        <w:rPr>
          <w:i/>
          <w:w w:val="105"/>
          <w:sz w:val="19"/>
        </w:rPr>
        <w:t>vitro</w:t>
      </w:r>
      <w:r>
        <w:rPr>
          <w:w w:val="105"/>
          <w:sz w:val="19"/>
        </w:rPr>
        <w:tab/>
        <w:t>19</w:t>
      </w:r>
    </w:p>
    <w:p>
      <w:pPr>
        <w:pStyle w:val="ListParagraph"/>
        <w:numPr>
          <w:ilvl w:val="2"/>
          <w:numId w:val="2"/>
        </w:numPr>
        <w:tabs>
          <w:tab w:pos="1148" w:val="left" w:leader="none"/>
          <w:tab w:pos="9159" w:val="right" w:leader="dot"/>
        </w:tabs>
        <w:spacing w:line="240" w:lineRule="auto" w:before="242" w:after="0"/>
        <w:ind w:left="1147" w:right="0" w:hanging="500"/>
        <w:jc w:val="left"/>
        <w:rPr>
          <w:sz w:val="19"/>
        </w:rPr>
      </w:pPr>
      <w:r>
        <w:rPr>
          <w:w w:val="105"/>
          <w:sz w:val="19"/>
        </w:rPr>
        <w:t>Índice de solubilización de fofatos</w:t>
      </w:r>
      <w:r>
        <w:rPr>
          <w:spacing w:val="5"/>
          <w:w w:val="105"/>
          <w:sz w:val="19"/>
        </w:rPr>
        <w:t> </w:t>
      </w:r>
      <w:r>
        <w:rPr>
          <w:w w:val="105"/>
          <w:sz w:val="19"/>
        </w:rPr>
        <w:t>de</w:t>
      </w:r>
      <w:r>
        <w:rPr>
          <w:spacing w:val="1"/>
          <w:w w:val="105"/>
          <w:sz w:val="19"/>
        </w:rPr>
        <w:t> </w:t>
      </w:r>
      <w:r>
        <w:rPr>
          <w:w w:val="105"/>
          <w:sz w:val="19"/>
        </w:rPr>
        <w:t>Ca</w:t>
        <w:tab/>
        <w:t>19</w:t>
      </w:r>
    </w:p>
    <w:p>
      <w:pPr>
        <w:pStyle w:val="ListParagraph"/>
        <w:numPr>
          <w:ilvl w:val="2"/>
          <w:numId w:val="2"/>
        </w:numPr>
        <w:tabs>
          <w:tab w:pos="1148" w:val="left" w:leader="none"/>
          <w:tab w:pos="9157" w:val="right" w:leader="dot"/>
        </w:tabs>
        <w:spacing w:line="240" w:lineRule="auto" w:before="247" w:after="0"/>
        <w:ind w:left="1147" w:right="0" w:hanging="500"/>
        <w:jc w:val="left"/>
        <w:rPr>
          <w:sz w:val="19"/>
        </w:rPr>
      </w:pPr>
      <w:r>
        <w:rPr>
          <w:w w:val="105"/>
          <w:sz w:val="19"/>
        </w:rPr>
        <w:t>Índice de solubilización de fosfatos</w:t>
      </w:r>
      <w:r>
        <w:rPr>
          <w:spacing w:val="5"/>
          <w:w w:val="105"/>
          <w:sz w:val="19"/>
        </w:rPr>
        <w:t> </w:t>
      </w:r>
      <w:r>
        <w:rPr>
          <w:w w:val="105"/>
          <w:sz w:val="19"/>
        </w:rPr>
        <w:t>de</w:t>
      </w:r>
      <w:r>
        <w:rPr>
          <w:spacing w:val="1"/>
          <w:w w:val="105"/>
          <w:sz w:val="19"/>
        </w:rPr>
        <w:t> </w:t>
      </w:r>
      <w:r>
        <w:rPr>
          <w:w w:val="105"/>
          <w:sz w:val="19"/>
        </w:rPr>
        <w:t>Fe</w:t>
        <w:tab/>
        <w:t>20</w:t>
      </w:r>
    </w:p>
    <w:p>
      <w:pPr>
        <w:pStyle w:val="ListParagraph"/>
        <w:numPr>
          <w:ilvl w:val="2"/>
          <w:numId w:val="2"/>
        </w:numPr>
        <w:tabs>
          <w:tab w:pos="1148" w:val="left" w:leader="none"/>
          <w:tab w:pos="9157" w:val="right" w:leader="dot"/>
        </w:tabs>
        <w:spacing w:line="240" w:lineRule="auto" w:before="252" w:after="0"/>
        <w:ind w:left="1147" w:right="0" w:hanging="500"/>
        <w:jc w:val="left"/>
        <w:rPr>
          <w:sz w:val="19"/>
        </w:rPr>
      </w:pPr>
      <w:r>
        <w:rPr>
          <w:w w:val="105"/>
          <w:sz w:val="19"/>
        </w:rPr>
        <w:t>Solubilización de fosfatos de Ca en</w:t>
      </w:r>
      <w:r>
        <w:rPr>
          <w:spacing w:val="6"/>
          <w:w w:val="105"/>
          <w:sz w:val="19"/>
        </w:rPr>
        <w:t> </w:t>
      </w:r>
      <w:r>
        <w:rPr>
          <w:w w:val="105"/>
          <w:sz w:val="19"/>
        </w:rPr>
        <w:t>medios líquidos</w:t>
        <w:tab/>
        <w:t>21</w:t>
      </w:r>
    </w:p>
    <w:p>
      <w:pPr>
        <w:pStyle w:val="ListParagraph"/>
        <w:numPr>
          <w:ilvl w:val="2"/>
          <w:numId w:val="2"/>
        </w:numPr>
        <w:tabs>
          <w:tab w:pos="1148" w:val="left" w:leader="none"/>
          <w:tab w:pos="9157" w:val="right" w:leader="dot"/>
        </w:tabs>
        <w:spacing w:line="240" w:lineRule="auto" w:before="285" w:after="0"/>
        <w:ind w:left="1147" w:right="0" w:hanging="500"/>
        <w:jc w:val="left"/>
        <w:rPr>
          <w:sz w:val="19"/>
        </w:rPr>
      </w:pPr>
      <w:r>
        <w:rPr>
          <w:w w:val="105"/>
          <w:sz w:val="19"/>
        </w:rPr>
        <w:t>Solubilización de fosfatos de Fe en</w:t>
      </w:r>
      <w:r>
        <w:rPr>
          <w:spacing w:val="6"/>
          <w:w w:val="105"/>
          <w:sz w:val="19"/>
        </w:rPr>
        <w:t> </w:t>
      </w:r>
      <w:r>
        <w:rPr>
          <w:w w:val="105"/>
          <w:sz w:val="19"/>
        </w:rPr>
        <w:t>medios líquidos</w:t>
        <w:tab/>
        <w:t>23</w:t>
      </w:r>
    </w:p>
    <w:p>
      <w:pPr>
        <w:pStyle w:val="ListParagraph"/>
        <w:numPr>
          <w:ilvl w:val="1"/>
          <w:numId w:val="2"/>
        </w:numPr>
        <w:tabs>
          <w:tab w:pos="815" w:val="left" w:leader="none"/>
          <w:tab w:pos="9157" w:val="right" w:leader="dot"/>
        </w:tabs>
        <w:spacing w:line="268" w:lineRule="auto" w:before="280" w:after="0"/>
        <w:ind w:left="856" w:right="100" w:hanging="376"/>
        <w:jc w:val="left"/>
        <w:rPr>
          <w:sz w:val="19"/>
        </w:rPr>
      </w:pPr>
      <w:r>
        <w:rPr>
          <w:w w:val="105"/>
          <w:sz w:val="19"/>
        </w:rPr>
        <w:t>Germinación    de    esporas    e    interacción    entre    los    micelios    de    hongos nematófagos</w:t>
      </w:r>
      <w:r>
        <w:rPr>
          <w:w w:val="105"/>
          <w:position w:val="10"/>
          <w:sz w:val="19"/>
        </w:rPr>
        <w:tab/>
        <w:t>25</w:t>
      </w:r>
    </w:p>
    <w:p>
      <w:pPr>
        <w:pStyle w:val="ListParagraph"/>
        <w:numPr>
          <w:ilvl w:val="2"/>
          <w:numId w:val="2"/>
        </w:numPr>
        <w:tabs>
          <w:tab w:pos="1148" w:val="left" w:leader="none"/>
          <w:tab w:pos="9157" w:val="right" w:leader="dot"/>
        </w:tabs>
        <w:spacing w:line="240" w:lineRule="auto" w:before="89" w:after="0"/>
        <w:ind w:left="1147" w:right="0" w:hanging="500"/>
        <w:jc w:val="left"/>
        <w:rPr>
          <w:sz w:val="19"/>
        </w:rPr>
      </w:pPr>
      <w:r>
        <w:rPr>
          <w:w w:val="105"/>
          <w:sz w:val="19"/>
        </w:rPr>
        <w:t>Porcentaje</w:t>
      </w:r>
      <w:r>
        <w:rPr>
          <w:spacing w:val="1"/>
          <w:w w:val="105"/>
          <w:sz w:val="19"/>
        </w:rPr>
        <w:t> </w:t>
      </w:r>
      <w:r>
        <w:rPr>
          <w:w w:val="105"/>
          <w:sz w:val="19"/>
        </w:rPr>
        <w:t>de</w:t>
      </w:r>
      <w:r>
        <w:rPr>
          <w:spacing w:val="1"/>
          <w:w w:val="105"/>
          <w:sz w:val="19"/>
        </w:rPr>
        <w:t> </w:t>
      </w:r>
      <w:r>
        <w:rPr>
          <w:w w:val="105"/>
          <w:sz w:val="19"/>
        </w:rPr>
        <w:t>germinación</w:t>
        <w:tab/>
        <w:t>25</w:t>
      </w:r>
    </w:p>
    <w:p>
      <w:pPr>
        <w:pStyle w:val="ListParagraph"/>
        <w:numPr>
          <w:ilvl w:val="2"/>
          <w:numId w:val="2"/>
        </w:numPr>
        <w:tabs>
          <w:tab w:pos="1148" w:val="left" w:leader="none"/>
          <w:tab w:pos="9159" w:val="right" w:leader="dot"/>
        </w:tabs>
        <w:spacing w:line="240" w:lineRule="auto" w:before="247" w:after="0"/>
        <w:ind w:left="1147" w:right="0" w:hanging="500"/>
        <w:jc w:val="left"/>
        <w:rPr>
          <w:sz w:val="19"/>
        </w:rPr>
      </w:pPr>
      <w:r>
        <w:rPr>
          <w:w w:val="105"/>
          <w:sz w:val="19"/>
        </w:rPr>
        <w:t>Crecimiento micelial de</w:t>
      </w:r>
      <w:r>
        <w:rPr>
          <w:spacing w:val="2"/>
          <w:w w:val="105"/>
          <w:sz w:val="19"/>
        </w:rPr>
        <w:t> </w:t>
      </w:r>
      <w:r>
        <w:rPr>
          <w:w w:val="105"/>
          <w:sz w:val="19"/>
        </w:rPr>
        <w:t>hongos</w:t>
      </w:r>
      <w:r>
        <w:rPr>
          <w:spacing w:val="1"/>
          <w:w w:val="105"/>
          <w:sz w:val="19"/>
        </w:rPr>
        <w:t> </w:t>
      </w:r>
      <w:r>
        <w:rPr>
          <w:w w:val="105"/>
          <w:sz w:val="19"/>
        </w:rPr>
        <w:t>nematófagos</w:t>
        <w:tab/>
        <w:t>26</w:t>
      </w:r>
    </w:p>
    <w:p>
      <w:pPr>
        <w:pStyle w:val="ListParagraph"/>
        <w:numPr>
          <w:ilvl w:val="2"/>
          <w:numId w:val="2"/>
        </w:numPr>
        <w:tabs>
          <w:tab w:pos="1413" w:val="left" w:leader="none"/>
          <w:tab w:pos="9159" w:val="right" w:leader="dot"/>
        </w:tabs>
        <w:spacing w:line="240" w:lineRule="auto" w:before="242" w:after="0"/>
        <w:ind w:left="1412" w:right="0" w:hanging="556"/>
        <w:jc w:val="left"/>
        <w:rPr>
          <w:sz w:val="19"/>
        </w:rPr>
      </w:pPr>
      <w:r>
        <w:rPr>
          <w:w w:val="105"/>
          <w:sz w:val="19"/>
        </w:rPr>
        <w:t>Interacción de hongos nematófagos en</w:t>
      </w:r>
      <w:r>
        <w:rPr>
          <w:spacing w:val="3"/>
          <w:w w:val="105"/>
          <w:sz w:val="19"/>
        </w:rPr>
        <w:t> </w:t>
      </w:r>
      <w:r>
        <w:rPr>
          <w:w w:val="105"/>
          <w:sz w:val="19"/>
        </w:rPr>
        <w:t>cultivos duales</w:t>
        <w:tab/>
        <w:t>27</w:t>
      </w:r>
    </w:p>
    <w:p>
      <w:pPr>
        <w:pStyle w:val="ListParagraph"/>
        <w:numPr>
          <w:ilvl w:val="1"/>
          <w:numId w:val="2"/>
        </w:numPr>
        <w:tabs>
          <w:tab w:pos="815" w:val="left" w:leader="none"/>
        </w:tabs>
        <w:spacing w:line="240" w:lineRule="auto" w:before="247" w:after="0"/>
        <w:ind w:left="814" w:right="0" w:hanging="334"/>
        <w:jc w:val="left"/>
        <w:rPr>
          <w:sz w:val="19"/>
        </w:rPr>
      </w:pPr>
      <w:r>
        <w:rPr>
          <w:w w:val="105"/>
          <w:sz w:val="19"/>
        </w:rPr>
        <w:t>Efecto de la aplicación de hongos nematófagos sobre la</w:t>
      </w:r>
      <w:r>
        <w:rPr>
          <w:spacing w:val="-28"/>
          <w:w w:val="105"/>
          <w:sz w:val="19"/>
        </w:rPr>
        <w:t> </w:t>
      </w:r>
      <w:r>
        <w:rPr>
          <w:w w:val="105"/>
          <w:sz w:val="19"/>
        </w:rPr>
        <w:t>disponibilidad</w:t>
      </w:r>
    </w:p>
    <w:p>
      <w:pPr>
        <w:tabs>
          <w:tab w:pos="8836" w:val="left" w:leader="none"/>
        </w:tabs>
        <w:spacing w:before="131"/>
        <w:ind w:left="702" w:right="0" w:firstLine="0"/>
        <w:jc w:val="center"/>
        <w:rPr>
          <w:sz w:val="19"/>
        </w:rPr>
      </w:pPr>
      <w:r>
        <w:rPr>
          <w:w w:val="105"/>
          <w:position w:val="1"/>
          <w:sz w:val="19"/>
        </w:rPr>
        <w:t>de fósforo en el suelo y la densidad de nematodos en presencia y ausencia</w:t>
      </w:r>
      <w:r>
        <w:rPr>
          <w:spacing w:val="-23"/>
          <w:w w:val="105"/>
          <w:position w:val="1"/>
          <w:sz w:val="19"/>
        </w:rPr>
        <w:t> </w:t>
      </w:r>
      <w:r>
        <w:rPr>
          <w:w w:val="105"/>
          <w:position w:val="1"/>
          <w:sz w:val="19"/>
        </w:rPr>
        <w:t>de</w:t>
      </w:r>
      <w:r>
        <w:rPr>
          <w:spacing w:val="-2"/>
          <w:w w:val="105"/>
          <w:position w:val="1"/>
          <w:sz w:val="19"/>
        </w:rPr>
        <w:t> </w:t>
      </w:r>
      <w:r>
        <w:rPr>
          <w:w w:val="105"/>
          <w:position w:val="1"/>
          <w:sz w:val="19"/>
        </w:rPr>
        <w:t>plantas</w:t>
      </w:r>
      <w:r>
        <w:rPr>
          <w:b/>
          <w:w w:val="105"/>
          <w:position w:val="1"/>
          <w:sz w:val="19"/>
        </w:rPr>
        <w:t>...</w:t>
        <w:tab/>
      </w:r>
      <w:r>
        <w:rPr>
          <w:w w:val="105"/>
          <w:sz w:val="19"/>
        </w:rPr>
        <w:t>28</w:t>
      </w:r>
    </w:p>
    <w:p>
      <w:pPr>
        <w:pStyle w:val="ListParagraph"/>
        <w:numPr>
          <w:ilvl w:val="2"/>
          <w:numId w:val="2"/>
        </w:numPr>
        <w:tabs>
          <w:tab w:pos="1148" w:val="left" w:leader="none"/>
          <w:tab w:pos="9159" w:val="right" w:leader="dot"/>
        </w:tabs>
        <w:spacing w:line="240" w:lineRule="auto" w:before="247" w:after="0"/>
        <w:ind w:left="1147" w:right="0" w:hanging="500"/>
        <w:jc w:val="left"/>
        <w:rPr>
          <w:sz w:val="19"/>
        </w:rPr>
      </w:pPr>
      <w:r>
        <w:rPr>
          <w:w w:val="105"/>
          <w:sz w:val="19"/>
        </w:rPr>
        <w:t>Experimento 1: Aplicación de dos hongos nematófagos a suelo sin plantas</w:t>
        <w:tab/>
        <w:t>28</w:t>
      </w:r>
    </w:p>
    <w:p>
      <w:pPr>
        <w:pStyle w:val="ListParagraph"/>
        <w:numPr>
          <w:ilvl w:val="2"/>
          <w:numId w:val="2"/>
        </w:numPr>
        <w:tabs>
          <w:tab w:pos="1148" w:val="left" w:leader="none"/>
        </w:tabs>
        <w:spacing w:line="240" w:lineRule="auto" w:before="252" w:after="0"/>
        <w:ind w:left="1147" w:right="0" w:hanging="500"/>
        <w:jc w:val="left"/>
        <w:rPr>
          <w:i/>
          <w:sz w:val="19"/>
        </w:rPr>
      </w:pPr>
      <w:r>
        <w:rPr>
          <w:w w:val="105"/>
          <w:sz w:val="19"/>
        </w:rPr>
        <w:t>Experimeto 2: Aplicación de dos hongos nematófagos a suelo cultivado con</w:t>
      </w:r>
      <w:r>
        <w:rPr>
          <w:spacing w:val="-26"/>
          <w:w w:val="105"/>
          <w:sz w:val="19"/>
        </w:rPr>
        <w:t> </w:t>
      </w:r>
      <w:r>
        <w:rPr>
          <w:i/>
          <w:w w:val="105"/>
          <w:sz w:val="19"/>
        </w:rPr>
        <w:t>Avena</w:t>
      </w:r>
    </w:p>
    <w:p>
      <w:pPr>
        <w:tabs>
          <w:tab w:pos="9159" w:val="right" w:leader="dot"/>
        </w:tabs>
        <w:spacing w:before="20"/>
        <w:ind w:left="856" w:right="0" w:firstLine="0"/>
        <w:jc w:val="left"/>
        <w:rPr>
          <w:sz w:val="19"/>
        </w:rPr>
      </w:pPr>
      <w:r>
        <w:rPr>
          <w:i/>
          <w:w w:val="105"/>
          <w:sz w:val="19"/>
        </w:rPr>
        <w:t>sativa</w:t>
      </w:r>
      <w:r>
        <w:rPr>
          <w:w w:val="105"/>
          <w:position w:val="2"/>
          <w:sz w:val="19"/>
        </w:rPr>
        <w:tab/>
        <w:t>31</w:t>
      </w:r>
    </w:p>
    <w:p>
      <w:pPr>
        <w:pStyle w:val="ListParagraph"/>
        <w:numPr>
          <w:ilvl w:val="0"/>
          <w:numId w:val="1"/>
        </w:numPr>
        <w:tabs>
          <w:tab w:pos="558" w:val="left" w:leader="none"/>
          <w:tab w:pos="9159" w:val="right" w:leader="dot"/>
        </w:tabs>
        <w:spacing w:line="240" w:lineRule="auto" w:before="247" w:after="0"/>
        <w:ind w:left="557" w:right="0" w:hanging="410"/>
        <w:jc w:val="left"/>
        <w:rPr>
          <w:sz w:val="19"/>
        </w:rPr>
      </w:pPr>
      <w:r>
        <w:rPr>
          <w:b/>
          <w:w w:val="105"/>
          <w:sz w:val="19"/>
        </w:rPr>
        <w:t>Discusión</w:t>
      </w:r>
      <w:r>
        <w:rPr>
          <w:w w:val="105"/>
          <w:sz w:val="19"/>
        </w:rPr>
        <w:tab/>
        <w:t>37</w:t>
      </w:r>
    </w:p>
    <w:p>
      <w:pPr>
        <w:pStyle w:val="ListParagraph"/>
        <w:numPr>
          <w:ilvl w:val="0"/>
          <w:numId w:val="1"/>
        </w:numPr>
        <w:tabs>
          <w:tab w:pos="448" w:val="left" w:leader="none"/>
          <w:tab w:pos="9159" w:val="right" w:leader="dot"/>
        </w:tabs>
        <w:spacing w:line="240" w:lineRule="auto" w:before="247" w:after="0"/>
        <w:ind w:left="447" w:right="0" w:hanging="300"/>
        <w:jc w:val="left"/>
        <w:rPr>
          <w:sz w:val="19"/>
        </w:rPr>
      </w:pPr>
      <w:r>
        <w:rPr>
          <w:b/>
          <w:w w:val="105"/>
          <w:sz w:val="19"/>
        </w:rPr>
        <w:t>Conclusiones</w:t>
      </w:r>
      <w:r>
        <w:rPr>
          <w:w w:val="105"/>
          <w:sz w:val="19"/>
        </w:rPr>
        <w:tab/>
        <w:t>45</w:t>
      </w:r>
    </w:p>
    <w:p>
      <w:pPr>
        <w:pStyle w:val="ListParagraph"/>
        <w:numPr>
          <w:ilvl w:val="0"/>
          <w:numId w:val="1"/>
        </w:numPr>
        <w:tabs>
          <w:tab w:pos="392" w:val="left" w:leader="none"/>
          <w:tab w:pos="9159" w:val="right" w:leader="dot"/>
        </w:tabs>
        <w:spacing w:line="240" w:lineRule="auto" w:before="247" w:after="0"/>
        <w:ind w:left="391" w:right="0" w:hanging="244"/>
        <w:jc w:val="left"/>
        <w:rPr>
          <w:sz w:val="19"/>
        </w:rPr>
      </w:pPr>
      <w:r>
        <w:rPr>
          <w:b/>
          <w:w w:val="105"/>
          <w:sz w:val="19"/>
        </w:rPr>
        <w:t>Literatura</w:t>
      </w:r>
      <w:r>
        <w:rPr>
          <w:b/>
          <w:spacing w:val="1"/>
          <w:w w:val="105"/>
          <w:sz w:val="19"/>
        </w:rPr>
        <w:t> </w:t>
      </w:r>
      <w:r>
        <w:rPr>
          <w:b/>
          <w:w w:val="105"/>
          <w:sz w:val="19"/>
        </w:rPr>
        <w:t>citada</w:t>
      </w:r>
      <w:r>
        <w:rPr>
          <w:w w:val="105"/>
          <w:sz w:val="19"/>
        </w:rPr>
        <w:tab/>
        <w:t>46</w:t>
      </w:r>
    </w:p>
    <w:p>
      <w:pPr>
        <w:pStyle w:val="ListParagraph"/>
        <w:numPr>
          <w:ilvl w:val="0"/>
          <w:numId w:val="1"/>
        </w:numPr>
        <w:tabs>
          <w:tab w:pos="447" w:val="left" w:leader="none"/>
          <w:tab w:pos="9159" w:val="right" w:leader="dot"/>
        </w:tabs>
        <w:spacing w:line="240" w:lineRule="auto" w:before="247" w:after="0"/>
        <w:ind w:left="446" w:right="0" w:hanging="299"/>
        <w:jc w:val="left"/>
        <w:rPr>
          <w:sz w:val="19"/>
        </w:rPr>
      </w:pPr>
      <w:r>
        <w:rPr>
          <w:b/>
          <w:w w:val="105"/>
          <w:sz w:val="19"/>
        </w:rPr>
        <w:t>Anexos</w:t>
      </w:r>
      <w:r>
        <w:rPr>
          <w:w w:val="105"/>
          <w:sz w:val="19"/>
        </w:rPr>
        <w:tab/>
        <w:t>54</w:t>
      </w:r>
    </w:p>
    <w:p>
      <w:pPr>
        <w:tabs>
          <w:tab w:pos="9157" w:val="right" w:leader="dot"/>
        </w:tabs>
        <w:spacing w:line="268" w:lineRule="auto" w:before="247"/>
        <w:ind w:left="1002" w:right="100" w:hanging="856"/>
        <w:jc w:val="left"/>
        <w:rPr>
          <w:sz w:val="19"/>
        </w:rPr>
      </w:pPr>
      <w:r>
        <w:rPr>
          <w:w w:val="105"/>
          <w:sz w:val="19"/>
        </w:rPr>
        <w:t>Anexo    I    Cuadros    de    datos    obtenidos    en    los    experimentos    con    análisis   estadísticos</w:t>
      </w:r>
      <w:r>
        <w:rPr>
          <w:w w:val="105"/>
          <w:position w:val="2"/>
          <w:sz w:val="19"/>
        </w:rPr>
        <w:tab/>
        <w:t>54</w:t>
      </w:r>
    </w:p>
    <w:p>
      <w:pPr>
        <w:tabs>
          <w:tab w:pos="9157" w:val="right" w:leader="dot"/>
        </w:tabs>
        <w:spacing w:before="17"/>
        <w:ind w:left="147" w:right="0" w:firstLine="0"/>
        <w:jc w:val="left"/>
        <w:rPr>
          <w:sz w:val="19"/>
        </w:rPr>
      </w:pPr>
      <w:r>
        <w:rPr>
          <w:w w:val="105"/>
          <w:sz w:val="19"/>
        </w:rPr>
        <w:t>Anexo II Artículo envíado a la revista Brazilian Journal</w:t>
      </w:r>
      <w:r>
        <w:rPr>
          <w:spacing w:val="4"/>
          <w:w w:val="105"/>
          <w:sz w:val="19"/>
        </w:rPr>
        <w:t> </w:t>
      </w:r>
      <w:r>
        <w:rPr>
          <w:w w:val="105"/>
          <w:sz w:val="19"/>
        </w:rPr>
        <w:t>of</w:t>
      </w:r>
      <w:r>
        <w:rPr>
          <w:spacing w:val="-1"/>
          <w:w w:val="105"/>
          <w:sz w:val="19"/>
        </w:rPr>
        <w:t> </w:t>
      </w:r>
      <w:r>
        <w:rPr>
          <w:w w:val="105"/>
          <w:sz w:val="19"/>
        </w:rPr>
        <w:t>Microbiology</w:t>
        <w:tab/>
        <w:t>64</w:t>
      </w:r>
    </w:p>
    <w:p>
      <w:pPr>
        <w:spacing w:after="0"/>
        <w:jc w:val="left"/>
        <w:rPr>
          <w:sz w:val="19"/>
        </w:rPr>
        <w:sectPr>
          <w:pgSz w:w="12240" w:h="15840"/>
          <w:pgMar w:top="1360" w:bottom="280" w:left="1720" w:right="1260"/>
        </w:sectPr>
      </w:pPr>
    </w:p>
    <w:p>
      <w:pPr>
        <w:tabs>
          <w:tab w:pos="8213" w:val="left" w:leader="none"/>
        </w:tabs>
        <w:spacing w:before="60"/>
        <w:ind w:left="0" w:right="243" w:firstLine="0"/>
        <w:jc w:val="right"/>
        <w:rPr>
          <w:b/>
          <w:sz w:val="19"/>
        </w:rPr>
      </w:pPr>
      <w:r>
        <w:rPr>
          <w:b/>
          <w:w w:val="105"/>
          <w:sz w:val="19"/>
        </w:rPr>
        <w:t>Lista</w:t>
      </w:r>
      <w:r>
        <w:rPr>
          <w:b/>
          <w:spacing w:val="-2"/>
          <w:w w:val="105"/>
          <w:sz w:val="19"/>
        </w:rPr>
        <w:t> </w:t>
      </w:r>
      <w:r>
        <w:rPr>
          <w:b/>
          <w:w w:val="105"/>
          <w:sz w:val="19"/>
        </w:rPr>
        <w:t>de</w:t>
      </w:r>
      <w:r>
        <w:rPr>
          <w:b/>
          <w:spacing w:val="-2"/>
          <w:w w:val="105"/>
          <w:sz w:val="19"/>
        </w:rPr>
        <w:t> </w:t>
      </w:r>
      <w:r>
        <w:rPr>
          <w:b/>
          <w:w w:val="105"/>
          <w:sz w:val="19"/>
        </w:rPr>
        <w:t>cuadros</w:t>
        <w:tab/>
      </w:r>
      <w:r>
        <w:rPr>
          <w:b/>
          <w:sz w:val="19"/>
        </w:rPr>
        <w:t>Página</w:t>
      </w:r>
    </w:p>
    <w:p>
      <w:pPr>
        <w:pStyle w:val="BodyText"/>
        <w:spacing w:before="10"/>
        <w:rPr>
          <w:b/>
          <w:sz w:val="21"/>
        </w:rPr>
      </w:pPr>
    </w:p>
    <w:p>
      <w:pPr>
        <w:spacing w:before="0"/>
        <w:ind w:left="480" w:right="0" w:firstLine="0"/>
        <w:jc w:val="left"/>
        <w:rPr>
          <w:sz w:val="19"/>
        </w:rPr>
      </w:pPr>
      <w:r>
        <w:rPr>
          <w:b/>
          <w:w w:val="105"/>
          <w:sz w:val="19"/>
        </w:rPr>
        <w:t>Cuadro 1 </w:t>
      </w:r>
      <w:r>
        <w:rPr>
          <w:w w:val="105"/>
          <w:sz w:val="19"/>
        </w:rPr>
        <w:t>Índice de solubilización de los tres hongos nematófagos en medio sólido con</w:t>
      </w:r>
    </w:p>
    <w:p>
      <w:pPr>
        <w:tabs>
          <w:tab w:pos="8937" w:val="left" w:leader="dot"/>
        </w:tabs>
        <w:spacing w:before="20"/>
        <w:ind w:left="1525" w:right="0" w:firstLine="0"/>
        <w:jc w:val="left"/>
        <w:rPr>
          <w:sz w:val="19"/>
        </w:rPr>
      </w:pPr>
      <w:r>
        <w:rPr>
          <w:w w:val="105"/>
          <w:sz w:val="19"/>
        </w:rPr>
        <w:t>fosfatos de</w:t>
      </w:r>
      <w:r>
        <w:rPr>
          <w:spacing w:val="-4"/>
          <w:w w:val="105"/>
          <w:sz w:val="19"/>
        </w:rPr>
        <w:t> </w:t>
      </w:r>
      <w:r>
        <w:rPr>
          <w:w w:val="105"/>
          <w:sz w:val="19"/>
        </w:rPr>
        <w:t>Ca</w:t>
      </w:r>
      <w:r>
        <w:rPr>
          <w:spacing w:val="-2"/>
          <w:w w:val="105"/>
          <w:sz w:val="19"/>
        </w:rPr>
        <w:t> </w:t>
      </w:r>
      <w:r>
        <w:rPr>
          <w:w w:val="105"/>
          <w:sz w:val="19"/>
        </w:rPr>
        <w:t>(hidroxiapatita)</w:t>
      </w:r>
      <w:r>
        <w:rPr>
          <w:w w:val="105"/>
          <w:position w:val="2"/>
          <w:sz w:val="19"/>
        </w:rPr>
        <w:tab/>
        <w:t>20</w:t>
      </w:r>
    </w:p>
    <w:p>
      <w:pPr>
        <w:pStyle w:val="BodyText"/>
        <w:spacing w:before="10"/>
        <w:rPr>
          <w:sz w:val="21"/>
        </w:rPr>
      </w:pPr>
    </w:p>
    <w:p>
      <w:pPr>
        <w:spacing w:before="0"/>
        <w:ind w:left="480" w:right="0" w:firstLine="0"/>
        <w:jc w:val="left"/>
        <w:rPr>
          <w:sz w:val="19"/>
        </w:rPr>
      </w:pPr>
      <w:r>
        <w:rPr>
          <w:b/>
          <w:w w:val="105"/>
          <w:sz w:val="19"/>
        </w:rPr>
        <w:t>Cuadro 2 </w:t>
      </w:r>
      <w:r>
        <w:rPr>
          <w:w w:val="105"/>
          <w:sz w:val="19"/>
        </w:rPr>
        <w:t>Índice de solubilización de los tres hongos nematófagos en medio sólido con</w:t>
      </w:r>
    </w:p>
    <w:p>
      <w:pPr>
        <w:tabs>
          <w:tab w:pos="8836" w:val="left" w:leader="dot"/>
        </w:tabs>
        <w:spacing w:before="20"/>
        <w:ind w:left="1566" w:right="0" w:firstLine="0"/>
        <w:jc w:val="center"/>
        <w:rPr>
          <w:sz w:val="19"/>
        </w:rPr>
      </w:pPr>
      <w:r>
        <w:rPr>
          <w:w w:val="105"/>
          <w:sz w:val="19"/>
        </w:rPr>
        <w:t>fosfatos de</w:t>
      </w:r>
      <w:r>
        <w:rPr>
          <w:spacing w:val="-4"/>
          <w:w w:val="105"/>
          <w:sz w:val="19"/>
        </w:rPr>
        <w:t> </w:t>
      </w:r>
      <w:r>
        <w:rPr>
          <w:w w:val="105"/>
          <w:sz w:val="19"/>
        </w:rPr>
        <w:t>Fe</w:t>
      </w:r>
      <w:r>
        <w:rPr>
          <w:spacing w:val="-2"/>
          <w:w w:val="105"/>
          <w:sz w:val="19"/>
        </w:rPr>
        <w:t> </w:t>
      </w:r>
      <w:r>
        <w:rPr>
          <w:w w:val="105"/>
          <w:sz w:val="19"/>
        </w:rPr>
        <w:t>(estrengita)</w:t>
      </w:r>
      <w:r>
        <w:rPr>
          <w:w w:val="105"/>
          <w:position w:val="2"/>
          <w:sz w:val="19"/>
        </w:rPr>
        <w:tab/>
        <w:t>21</w:t>
      </w:r>
    </w:p>
    <w:p>
      <w:pPr>
        <w:pStyle w:val="BodyText"/>
        <w:spacing w:before="4"/>
        <w:rPr>
          <w:sz w:val="29"/>
        </w:rPr>
      </w:pPr>
    </w:p>
    <w:p>
      <w:pPr>
        <w:tabs>
          <w:tab w:pos="8937" w:val="left" w:leader="dot"/>
        </w:tabs>
        <w:spacing w:before="1"/>
        <w:ind w:left="480" w:right="0" w:firstLine="0"/>
        <w:jc w:val="left"/>
        <w:rPr>
          <w:sz w:val="19"/>
        </w:rPr>
      </w:pPr>
      <w:r>
        <w:rPr>
          <w:b/>
          <w:w w:val="105"/>
          <w:sz w:val="19"/>
        </w:rPr>
        <w:t>Cuadro 3 </w:t>
      </w:r>
      <w:r>
        <w:rPr>
          <w:w w:val="105"/>
          <w:sz w:val="19"/>
        </w:rPr>
        <w:t>Cantidad de nutrimentos en el suelo de los tratamientos del</w:t>
      </w:r>
      <w:r>
        <w:rPr>
          <w:spacing w:val="-21"/>
          <w:w w:val="105"/>
          <w:sz w:val="19"/>
        </w:rPr>
        <w:t> </w:t>
      </w:r>
      <w:r>
        <w:rPr>
          <w:w w:val="105"/>
          <w:sz w:val="19"/>
        </w:rPr>
        <w:t>experimento</w:t>
      </w:r>
      <w:r>
        <w:rPr>
          <w:spacing w:val="-2"/>
          <w:w w:val="105"/>
          <w:sz w:val="19"/>
        </w:rPr>
        <w:t> </w:t>
      </w:r>
      <w:r>
        <w:rPr>
          <w:w w:val="105"/>
          <w:sz w:val="19"/>
        </w:rPr>
        <w:t>1</w:t>
        <w:tab/>
        <w:t>30</w:t>
      </w:r>
    </w:p>
    <w:p>
      <w:pPr>
        <w:pStyle w:val="BodyText"/>
        <w:spacing w:before="9"/>
      </w:pPr>
    </w:p>
    <w:p>
      <w:pPr>
        <w:spacing w:before="0"/>
        <w:ind w:left="480" w:right="0" w:firstLine="0"/>
        <w:jc w:val="left"/>
        <w:rPr>
          <w:sz w:val="19"/>
        </w:rPr>
      </w:pPr>
      <w:r>
        <w:rPr>
          <w:b/>
          <w:w w:val="105"/>
          <w:sz w:val="19"/>
        </w:rPr>
        <w:t>Cuadro 4 </w:t>
      </w:r>
      <w:r>
        <w:rPr>
          <w:w w:val="105"/>
          <w:sz w:val="19"/>
        </w:rPr>
        <w:t>Población inicial y final de </w:t>
      </w:r>
      <w:r>
        <w:rPr>
          <w:i/>
          <w:w w:val="105"/>
          <w:sz w:val="19"/>
        </w:rPr>
        <w:t>Globodera rostochiensis </w:t>
      </w:r>
      <w:r>
        <w:rPr>
          <w:w w:val="105"/>
          <w:sz w:val="19"/>
        </w:rPr>
        <w:t>en el suelo de</w:t>
      </w:r>
    </w:p>
    <w:p>
      <w:pPr>
        <w:tabs>
          <w:tab w:pos="8834" w:val="left" w:leader="dot"/>
        </w:tabs>
        <w:spacing w:before="20"/>
        <w:ind w:left="1245" w:right="0" w:firstLine="0"/>
        <w:jc w:val="center"/>
        <w:rPr>
          <w:sz w:val="19"/>
        </w:rPr>
      </w:pPr>
      <w:r>
        <w:rPr>
          <w:w w:val="105"/>
          <w:sz w:val="19"/>
        </w:rPr>
        <w:t>los tratamientos del</w:t>
      </w:r>
      <w:r>
        <w:rPr>
          <w:spacing w:val="-6"/>
          <w:w w:val="105"/>
          <w:sz w:val="19"/>
        </w:rPr>
        <w:t> </w:t>
      </w:r>
      <w:r>
        <w:rPr>
          <w:w w:val="105"/>
          <w:sz w:val="19"/>
        </w:rPr>
        <w:t>experimento</w:t>
      </w:r>
      <w:r>
        <w:rPr>
          <w:spacing w:val="-2"/>
          <w:w w:val="105"/>
          <w:sz w:val="19"/>
        </w:rPr>
        <w:t> </w:t>
      </w:r>
      <w:r>
        <w:rPr>
          <w:w w:val="105"/>
          <w:sz w:val="19"/>
        </w:rPr>
        <w:t>1</w:t>
      </w:r>
      <w:r>
        <w:rPr>
          <w:w w:val="105"/>
          <w:position w:val="2"/>
          <w:sz w:val="19"/>
        </w:rPr>
        <w:tab/>
        <w:t>31</w:t>
      </w:r>
    </w:p>
    <w:p>
      <w:pPr>
        <w:pStyle w:val="BodyText"/>
        <w:spacing w:before="10"/>
        <w:rPr>
          <w:sz w:val="21"/>
        </w:rPr>
      </w:pPr>
    </w:p>
    <w:p>
      <w:pPr>
        <w:tabs>
          <w:tab w:pos="8937" w:val="left" w:leader="dot"/>
        </w:tabs>
        <w:spacing w:before="0"/>
        <w:ind w:left="480" w:right="0" w:firstLine="0"/>
        <w:jc w:val="left"/>
        <w:rPr>
          <w:sz w:val="19"/>
        </w:rPr>
      </w:pPr>
      <w:r>
        <w:rPr>
          <w:b/>
          <w:w w:val="105"/>
          <w:sz w:val="19"/>
        </w:rPr>
        <w:t>Cuadro 5 </w:t>
      </w:r>
      <w:r>
        <w:rPr>
          <w:w w:val="105"/>
          <w:sz w:val="19"/>
        </w:rPr>
        <w:t>Cantidad de nutrimentos en el suelo de los tratamientos del</w:t>
      </w:r>
      <w:r>
        <w:rPr>
          <w:spacing w:val="-21"/>
          <w:w w:val="105"/>
          <w:sz w:val="19"/>
        </w:rPr>
        <w:t> </w:t>
      </w:r>
      <w:r>
        <w:rPr>
          <w:w w:val="105"/>
          <w:sz w:val="19"/>
        </w:rPr>
        <w:t>experimento</w:t>
      </w:r>
      <w:r>
        <w:rPr>
          <w:spacing w:val="-2"/>
          <w:w w:val="105"/>
          <w:sz w:val="19"/>
        </w:rPr>
        <w:t> </w:t>
      </w:r>
      <w:r>
        <w:rPr>
          <w:w w:val="105"/>
          <w:sz w:val="19"/>
        </w:rPr>
        <w:t>2</w:t>
        <w:tab/>
        <w:t>33</w:t>
      </w:r>
    </w:p>
    <w:p>
      <w:pPr>
        <w:pStyle w:val="BodyText"/>
        <w:spacing w:before="4"/>
      </w:pPr>
    </w:p>
    <w:p>
      <w:pPr>
        <w:spacing w:before="0"/>
        <w:ind w:left="480" w:right="0" w:firstLine="0"/>
        <w:jc w:val="left"/>
        <w:rPr>
          <w:sz w:val="19"/>
        </w:rPr>
      </w:pPr>
      <w:r>
        <w:rPr>
          <w:b/>
          <w:w w:val="105"/>
          <w:sz w:val="19"/>
        </w:rPr>
        <w:t>Cuadro 6 </w:t>
      </w:r>
      <w:r>
        <w:rPr>
          <w:w w:val="105"/>
          <w:sz w:val="19"/>
        </w:rPr>
        <w:t>Población inicial y final de </w:t>
      </w:r>
      <w:r>
        <w:rPr>
          <w:i/>
          <w:w w:val="105"/>
          <w:sz w:val="19"/>
        </w:rPr>
        <w:t>Globodera rostochiensis </w:t>
      </w:r>
      <w:r>
        <w:rPr>
          <w:w w:val="105"/>
          <w:sz w:val="19"/>
        </w:rPr>
        <w:t>en el suelo de los</w:t>
      </w:r>
    </w:p>
    <w:p>
      <w:pPr>
        <w:tabs>
          <w:tab w:pos="8937" w:val="left" w:leader="dot"/>
        </w:tabs>
        <w:spacing w:before="126"/>
        <w:ind w:left="1525" w:right="0" w:firstLine="0"/>
        <w:jc w:val="left"/>
        <w:rPr>
          <w:sz w:val="19"/>
        </w:rPr>
      </w:pPr>
      <w:r>
        <w:rPr>
          <w:w w:val="105"/>
          <w:position w:val="2"/>
          <w:sz w:val="19"/>
        </w:rPr>
        <w:t>tratamientos del</w:t>
      </w:r>
      <w:r>
        <w:rPr>
          <w:spacing w:val="-5"/>
          <w:w w:val="105"/>
          <w:position w:val="2"/>
          <w:sz w:val="19"/>
        </w:rPr>
        <w:t> </w:t>
      </w:r>
      <w:r>
        <w:rPr>
          <w:w w:val="105"/>
          <w:position w:val="2"/>
          <w:sz w:val="19"/>
        </w:rPr>
        <w:t>experimento</w:t>
      </w:r>
      <w:r>
        <w:rPr>
          <w:spacing w:val="-2"/>
          <w:w w:val="105"/>
          <w:position w:val="2"/>
          <w:sz w:val="19"/>
        </w:rPr>
        <w:t> </w:t>
      </w:r>
      <w:r>
        <w:rPr>
          <w:w w:val="105"/>
          <w:position w:val="2"/>
          <w:sz w:val="19"/>
        </w:rPr>
        <w:t>2</w:t>
      </w:r>
      <w:r>
        <w:rPr>
          <w:w w:val="105"/>
          <w:sz w:val="19"/>
        </w:rPr>
        <w:tab/>
        <w:t>36</w:t>
      </w:r>
    </w:p>
    <w:p>
      <w:pPr>
        <w:pStyle w:val="BodyText"/>
        <w:spacing w:before="3"/>
        <w:rPr>
          <w:sz w:val="27"/>
        </w:rPr>
      </w:pPr>
    </w:p>
    <w:p>
      <w:pPr>
        <w:tabs>
          <w:tab w:pos="8937" w:val="left" w:leader="dot"/>
        </w:tabs>
        <w:spacing w:line="261" w:lineRule="auto" w:before="1"/>
        <w:ind w:left="1525" w:right="100" w:hanging="1045"/>
        <w:jc w:val="left"/>
        <w:rPr>
          <w:sz w:val="19"/>
        </w:rPr>
      </w:pPr>
      <w:r>
        <w:rPr>
          <w:b/>
          <w:w w:val="105"/>
          <w:sz w:val="19"/>
        </w:rPr>
        <w:t>Cuadro 7 </w:t>
      </w:r>
      <w:r>
        <w:rPr>
          <w:w w:val="105"/>
          <w:sz w:val="19"/>
        </w:rPr>
        <w:t>Efecto de </w:t>
      </w:r>
      <w:r>
        <w:rPr>
          <w:i/>
          <w:w w:val="105"/>
          <w:sz w:val="19"/>
        </w:rPr>
        <w:t>Geomyces pannorum </w:t>
      </w:r>
      <w:r>
        <w:rPr>
          <w:w w:val="105"/>
          <w:sz w:val="19"/>
        </w:rPr>
        <w:t>en la solubilización de fosfatos de calcio (hidroxiapatita) y el pH del medio de cultivo liquido</w:t>
      </w:r>
      <w:r>
        <w:rPr>
          <w:spacing w:val="-21"/>
          <w:w w:val="105"/>
          <w:sz w:val="19"/>
        </w:rPr>
        <w:t> </w:t>
      </w:r>
      <w:r>
        <w:rPr>
          <w:w w:val="105"/>
          <w:sz w:val="19"/>
        </w:rPr>
        <w:t>pikovskaya</w:t>
      </w:r>
      <w:r>
        <w:rPr>
          <w:spacing w:val="-2"/>
          <w:w w:val="105"/>
          <w:sz w:val="19"/>
        </w:rPr>
        <w:t> </w:t>
      </w:r>
      <w:r>
        <w:rPr>
          <w:w w:val="105"/>
          <w:sz w:val="19"/>
        </w:rPr>
        <w:t>modificado</w:t>
      </w:r>
      <w:r>
        <w:rPr>
          <w:w w:val="105"/>
          <w:position w:val="2"/>
          <w:sz w:val="19"/>
        </w:rPr>
        <w:tab/>
        <w:t>54</w:t>
      </w:r>
    </w:p>
    <w:p>
      <w:pPr>
        <w:pStyle w:val="BodyText"/>
        <w:spacing w:before="7"/>
        <w:rPr>
          <w:sz w:val="19"/>
        </w:rPr>
      </w:pPr>
    </w:p>
    <w:p>
      <w:pPr>
        <w:tabs>
          <w:tab w:pos="8937" w:val="left" w:leader="dot"/>
        </w:tabs>
        <w:spacing w:line="261" w:lineRule="auto" w:before="0"/>
        <w:ind w:left="1525" w:right="100" w:hanging="1045"/>
        <w:jc w:val="left"/>
        <w:rPr>
          <w:sz w:val="19"/>
        </w:rPr>
      </w:pPr>
      <w:r>
        <w:rPr>
          <w:b/>
          <w:w w:val="105"/>
          <w:sz w:val="19"/>
        </w:rPr>
        <w:t>Cuadro 8 </w:t>
      </w:r>
      <w:r>
        <w:rPr>
          <w:w w:val="105"/>
          <w:sz w:val="19"/>
        </w:rPr>
        <w:t>Efecto de </w:t>
      </w:r>
      <w:r>
        <w:rPr>
          <w:i/>
          <w:w w:val="105"/>
          <w:sz w:val="19"/>
        </w:rPr>
        <w:t>Paecilomyces carneus </w:t>
      </w:r>
      <w:r>
        <w:rPr>
          <w:w w:val="105"/>
          <w:sz w:val="19"/>
        </w:rPr>
        <w:t>en la solubilización de fosfatos de calcio (hidroxiapatita) y el pH del medio de cultivo  liquido</w:t>
      </w:r>
      <w:r>
        <w:rPr>
          <w:spacing w:val="-21"/>
          <w:w w:val="105"/>
          <w:sz w:val="19"/>
        </w:rPr>
        <w:t> </w:t>
      </w:r>
      <w:r>
        <w:rPr>
          <w:w w:val="105"/>
          <w:sz w:val="19"/>
        </w:rPr>
        <w:t>pikovskaya</w:t>
      </w:r>
      <w:r>
        <w:rPr>
          <w:spacing w:val="-2"/>
          <w:w w:val="105"/>
          <w:sz w:val="19"/>
        </w:rPr>
        <w:t> </w:t>
      </w:r>
      <w:r>
        <w:rPr>
          <w:w w:val="105"/>
          <w:sz w:val="19"/>
        </w:rPr>
        <w:t>modificado</w:t>
      </w:r>
      <w:r>
        <w:rPr>
          <w:w w:val="105"/>
          <w:position w:val="2"/>
          <w:sz w:val="19"/>
        </w:rPr>
        <w:tab/>
        <w:t>55</w:t>
      </w:r>
    </w:p>
    <w:p>
      <w:pPr>
        <w:pStyle w:val="BodyText"/>
        <w:spacing w:before="1"/>
        <w:rPr>
          <w:sz w:val="20"/>
        </w:rPr>
      </w:pPr>
    </w:p>
    <w:p>
      <w:pPr>
        <w:spacing w:before="0"/>
        <w:ind w:left="480" w:right="0" w:firstLine="0"/>
        <w:jc w:val="left"/>
        <w:rPr>
          <w:sz w:val="19"/>
        </w:rPr>
      </w:pPr>
      <w:r>
        <w:rPr>
          <w:b/>
          <w:w w:val="105"/>
          <w:sz w:val="19"/>
        </w:rPr>
        <w:t>Cuadro 9 </w:t>
      </w:r>
      <w:r>
        <w:rPr>
          <w:w w:val="105"/>
          <w:sz w:val="19"/>
        </w:rPr>
        <w:t>Efecto de </w:t>
      </w:r>
      <w:r>
        <w:rPr>
          <w:i/>
          <w:w w:val="105"/>
          <w:sz w:val="19"/>
        </w:rPr>
        <w:t>Penicillium virgatum </w:t>
      </w:r>
      <w:r>
        <w:rPr>
          <w:w w:val="105"/>
          <w:sz w:val="19"/>
        </w:rPr>
        <w:t>en la solubilización de fosfatos de calcio</w:t>
      </w:r>
    </w:p>
    <w:p>
      <w:pPr>
        <w:tabs>
          <w:tab w:pos="8937" w:val="left" w:leader="dot"/>
        </w:tabs>
        <w:spacing w:before="20"/>
        <w:ind w:left="1525" w:right="0" w:firstLine="0"/>
        <w:jc w:val="left"/>
        <w:rPr>
          <w:sz w:val="19"/>
        </w:rPr>
      </w:pPr>
      <w:r>
        <w:rPr>
          <w:w w:val="105"/>
          <w:sz w:val="19"/>
        </w:rPr>
        <w:t>(hidroxiapatita) y el pH del medio de cultivo liquido</w:t>
      </w:r>
      <w:r>
        <w:rPr>
          <w:spacing w:val="34"/>
          <w:w w:val="105"/>
          <w:sz w:val="19"/>
        </w:rPr>
        <w:t> </w:t>
      </w:r>
      <w:r>
        <w:rPr>
          <w:w w:val="105"/>
          <w:sz w:val="19"/>
        </w:rPr>
        <w:t>pikovskaya</w:t>
      </w:r>
      <w:r>
        <w:rPr>
          <w:spacing w:val="-2"/>
          <w:w w:val="105"/>
          <w:sz w:val="19"/>
        </w:rPr>
        <w:t> </w:t>
      </w:r>
      <w:r>
        <w:rPr>
          <w:w w:val="105"/>
          <w:sz w:val="19"/>
        </w:rPr>
        <w:t>modificado</w:t>
      </w:r>
      <w:r>
        <w:rPr>
          <w:w w:val="105"/>
          <w:position w:val="2"/>
          <w:sz w:val="19"/>
        </w:rPr>
        <w:tab/>
        <w:t>56</w:t>
      </w:r>
    </w:p>
    <w:p>
      <w:pPr>
        <w:pStyle w:val="BodyText"/>
        <w:spacing w:before="10"/>
        <w:rPr>
          <w:sz w:val="21"/>
        </w:rPr>
      </w:pPr>
    </w:p>
    <w:p>
      <w:pPr>
        <w:spacing w:before="0"/>
        <w:ind w:left="480" w:right="0" w:firstLine="0"/>
        <w:jc w:val="left"/>
        <w:rPr>
          <w:sz w:val="19"/>
        </w:rPr>
      </w:pPr>
      <w:r>
        <w:rPr>
          <w:b/>
          <w:w w:val="105"/>
          <w:sz w:val="19"/>
        </w:rPr>
        <w:t>Cuadro 10 </w:t>
      </w:r>
      <w:r>
        <w:rPr>
          <w:w w:val="105"/>
          <w:sz w:val="19"/>
        </w:rPr>
        <w:t>Efecto de </w:t>
      </w:r>
      <w:r>
        <w:rPr>
          <w:i/>
          <w:w w:val="105"/>
          <w:sz w:val="19"/>
        </w:rPr>
        <w:t>Geomyces pannorum </w:t>
      </w:r>
      <w:r>
        <w:rPr>
          <w:w w:val="105"/>
          <w:sz w:val="19"/>
        </w:rPr>
        <w:t>en la solubilización de fosfatos de hierro</w:t>
      </w:r>
    </w:p>
    <w:p>
      <w:pPr>
        <w:tabs>
          <w:tab w:pos="8937" w:val="left" w:leader="dot"/>
        </w:tabs>
        <w:spacing w:before="20"/>
        <w:ind w:left="1525" w:right="0" w:firstLine="0"/>
        <w:jc w:val="left"/>
        <w:rPr>
          <w:sz w:val="19"/>
        </w:rPr>
      </w:pPr>
      <w:r>
        <w:rPr>
          <w:w w:val="105"/>
          <w:sz w:val="19"/>
        </w:rPr>
        <w:t>(estrengita) y el pH del medio de cultivo liquido</w:t>
      </w:r>
      <w:r>
        <w:rPr>
          <w:spacing w:val="-20"/>
          <w:w w:val="105"/>
          <w:sz w:val="19"/>
        </w:rPr>
        <w:t> </w:t>
      </w:r>
      <w:r>
        <w:rPr>
          <w:w w:val="105"/>
          <w:sz w:val="19"/>
        </w:rPr>
        <w:t>pikovskaya</w:t>
      </w:r>
      <w:r>
        <w:rPr>
          <w:spacing w:val="-2"/>
          <w:w w:val="105"/>
          <w:sz w:val="19"/>
        </w:rPr>
        <w:t> </w:t>
      </w:r>
      <w:r>
        <w:rPr>
          <w:w w:val="105"/>
          <w:sz w:val="19"/>
        </w:rPr>
        <w:t>modificado</w:t>
      </w:r>
      <w:r>
        <w:rPr>
          <w:w w:val="105"/>
          <w:position w:val="2"/>
          <w:sz w:val="19"/>
        </w:rPr>
        <w:tab/>
        <w:t>57</w:t>
      </w:r>
    </w:p>
    <w:p>
      <w:pPr>
        <w:pStyle w:val="BodyText"/>
        <w:spacing w:before="10"/>
        <w:rPr>
          <w:sz w:val="21"/>
        </w:rPr>
      </w:pPr>
    </w:p>
    <w:p>
      <w:pPr>
        <w:spacing w:before="0"/>
        <w:ind w:left="480" w:right="0" w:firstLine="0"/>
        <w:jc w:val="left"/>
        <w:rPr>
          <w:sz w:val="19"/>
        </w:rPr>
      </w:pPr>
      <w:r>
        <w:rPr>
          <w:b/>
          <w:w w:val="105"/>
          <w:sz w:val="19"/>
        </w:rPr>
        <w:t>Cuadro 11 </w:t>
      </w:r>
      <w:r>
        <w:rPr>
          <w:w w:val="105"/>
          <w:sz w:val="19"/>
        </w:rPr>
        <w:t>Efecto de </w:t>
      </w:r>
      <w:r>
        <w:rPr>
          <w:i/>
          <w:w w:val="105"/>
          <w:sz w:val="19"/>
        </w:rPr>
        <w:t>Pecilomyces carneus </w:t>
      </w:r>
      <w:r>
        <w:rPr>
          <w:w w:val="105"/>
          <w:sz w:val="19"/>
        </w:rPr>
        <w:t>en la solubilización de fosfatos de hierro</w:t>
      </w:r>
    </w:p>
    <w:p>
      <w:pPr>
        <w:tabs>
          <w:tab w:pos="8937" w:val="left" w:leader="dot"/>
        </w:tabs>
        <w:spacing w:before="20"/>
        <w:ind w:left="1525" w:right="0" w:firstLine="0"/>
        <w:jc w:val="left"/>
        <w:rPr>
          <w:sz w:val="19"/>
        </w:rPr>
      </w:pPr>
      <w:r>
        <w:rPr>
          <w:w w:val="105"/>
          <w:sz w:val="19"/>
        </w:rPr>
        <w:t>(estrengita) y el pH del medio de cultivo liquido</w:t>
      </w:r>
      <w:r>
        <w:rPr>
          <w:spacing w:val="-19"/>
          <w:w w:val="105"/>
          <w:sz w:val="19"/>
        </w:rPr>
        <w:t> </w:t>
      </w:r>
      <w:r>
        <w:rPr>
          <w:w w:val="105"/>
          <w:sz w:val="19"/>
        </w:rPr>
        <w:t>pikovskaya</w:t>
      </w:r>
      <w:r>
        <w:rPr>
          <w:spacing w:val="-2"/>
          <w:w w:val="105"/>
          <w:sz w:val="19"/>
        </w:rPr>
        <w:t> </w:t>
      </w:r>
      <w:r>
        <w:rPr>
          <w:w w:val="105"/>
          <w:sz w:val="19"/>
        </w:rPr>
        <w:t>modificado</w:t>
      </w:r>
      <w:r>
        <w:rPr>
          <w:w w:val="105"/>
          <w:position w:val="2"/>
          <w:sz w:val="19"/>
        </w:rPr>
        <w:tab/>
        <w:t>58</w:t>
      </w:r>
    </w:p>
    <w:p>
      <w:pPr>
        <w:pStyle w:val="BodyText"/>
        <w:spacing w:before="10"/>
        <w:rPr>
          <w:sz w:val="21"/>
        </w:rPr>
      </w:pPr>
    </w:p>
    <w:p>
      <w:pPr>
        <w:spacing w:before="0"/>
        <w:ind w:left="480" w:right="0" w:firstLine="0"/>
        <w:jc w:val="left"/>
        <w:rPr>
          <w:sz w:val="19"/>
        </w:rPr>
      </w:pPr>
      <w:r>
        <w:rPr>
          <w:b/>
          <w:w w:val="105"/>
          <w:sz w:val="19"/>
        </w:rPr>
        <w:t>Cuadro 12 </w:t>
      </w:r>
      <w:r>
        <w:rPr>
          <w:w w:val="105"/>
          <w:sz w:val="19"/>
        </w:rPr>
        <w:t>Efecto de </w:t>
      </w:r>
      <w:r>
        <w:rPr>
          <w:i/>
          <w:w w:val="105"/>
          <w:sz w:val="19"/>
        </w:rPr>
        <w:t>Penicillium virgatum </w:t>
      </w:r>
      <w:r>
        <w:rPr>
          <w:w w:val="105"/>
          <w:sz w:val="19"/>
        </w:rPr>
        <w:t>en la solubilización de fosfatos de hierro</w:t>
      </w:r>
    </w:p>
    <w:p>
      <w:pPr>
        <w:tabs>
          <w:tab w:pos="8937" w:val="left" w:leader="dot"/>
        </w:tabs>
        <w:spacing w:before="20"/>
        <w:ind w:left="1525" w:right="0" w:firstLine="0"/>
        <w:jc w:val="left"/>
        <w:rPr>
          <w:sz w:val="19"/>
        </w:rPr>
      </w:pPr>
      <w:r>
        <w:rPr>
          <w:w w:val="105"/>
          <w:sz w:val="19"/>
        </w:rPr>
        <w:t>(estrengita) y el pH del medio de cultivo liquido</w:t>
      </w:r>
      <w:r>
        <w:rPr>
          <w:spacing w:val="-19"/>
          <w:w w:val="105"/>
          <w:sz w:val="19"/>
        </w:rPr>
        <w:t> </w:t>
      </w:r>
      <w:r>
        <w:rPr>
          <w:w w:val="105"/>
          <w:sz w:val="19"/>
        </w:rPr>
        <w:t>pikovskaya</w:t>
      </w:r>
      <w:r>
        <w:rPr>
          <w:spacing w:val="-2"/>
          <w:w w:val="105"/>
          <w:sz w:val="19"/>
        </w:rPr>
        <w:t> </w:t>
      </w:r>
      <w:r>
        <w:rPr>
          <w:w w:val="105"/>
          <w:sz w:val="19"/>
        </w:rPr>
        <w:t>modificado</w:t>
      </w:r>
      <w:r>
        <w:rPr>
          <w:w w:val="105"/>
          <w:position w:val="2"/>
          <w:sz w:val="19"/>
        </w:rPr>
        <w:tab/>
        <w:t>59</w:t>
      </w:r>
    </w:p>
    <w:p>
      <w:pPr>
        <w:pStyle w:val="BodyText"/>
        <w:spacing w:before="10"/>
        <w:rPr>
          <w:sz w:val="21"/>
        </w:rPr>
      </w:pPr>
    </w:p>
    <w:p>
      <w:pPr>
        <w:tabs>
          <w:tab w:pos="8937" w:val="left" w:leader="dot"/>
        </w:tabs>
        <w:spacing w:before="0"/>
        <w:ind w:left="480" w:right="0" w:firstLine="0"/>
        <w:jc w:val="left"/>
        <w:rPr>
          <w:sz w:val="19"/>
        </w:rPr>
      </w:pPr>
      <w:r>
        <w:rPr>
          <w:b/>
          <w:w w:val="105"/>
          <w:sz w:val="19"/>
        </w:rPr>
        <w:t>Cuadro 13 </w:t>
      </w:r>
      <w:r>
        <w:rPr>
          <w:w w:val="105"/>
          <w:sz w:val="19"/>
        </w:rPr>
        <w:t>Crecimiento de </w:t>
      </w:r>
      <w:r>
        <w:rPr>
          <w:i/>
          <w:w w:val="105"/>
          <w:sz w:val="19"/>
        </w:rPr>
        <w:t>Geomyces pannorum </w:t>
      </w:r>
      <w:r>
        <w:rPr>
          <w:w w:val="105"/>
          <w:sz w:val="19"/>
        </w:rPr>
        <w:t>en diferentes medios</w:t>
      </w:r>
      <w:r>
        <w:rPr>
          <w:spacing w:val="-18"/>
          <w:w w:val="105"/>
          <w:sz w:val="19"/>
        </w:rPr>
        <w:t> </w:t>
      </w:r>
      <w:r>
        <w:rPr>
          <w:w w:val="105"/>
          <w:sz w:val="19"/>
        </w:rPr>
        <w:t>de</w:t>
      </w:r>
      <w:r>
        <w:rPr>
          <w:spacing w:val="-2"/>
          <w:w w:val="105"/>
          <w:sz w:val="19"/>
        </w:rPr>
        <w:t> </w:t>
      </w:r>
      <w:r>
        <w:rPr>
          <w:w w:val="105"/>
          <w:sz w:val="19"/>
        </w:rPr>
        <w:t>cultivo</w:t>
        <w:tab/>
        <w:t>60</w:t>
      </w:r>
    </w:p>
    <w:p>
      <w:pPr>
        <w:pStyle w:val="BodyText"/>
        <w:spacing w:before="9"/>
      </w:pPr>
    </w:p>
    <w:p>
      <w:pPr>
        <w:tabs>
          <w:tab w:pos="8937" w:val="left" w:leader="dot"/>
        </w:tabs>
        <w:spacing w:before="0"/>
        <w:ind w:left="480" w:right="0" w:firstLine="0"/>
        <w:jc w:val="left"/>
        <w:rPr>
          <w:sz w:val="19"/>
        </w:rPr>
      </w:pPr>
      <w:r>
        <w:rPr>
          <w:b/>
          <w:w w:val="105"/>
          <w:sz w:val="19"/>
        </w:rPr>
        <w:t>Cuadro 14 </w:t>
      </w:r>
      <w:r>
        <w:rPr>
          <w:w w:val="105"/>
          <w:sz w:val="19"/>
        </w:rPr>
        <w:t>Crecimiento de </w:t>
      </w:r>
      <w:r>
        <w:rPr>
          <w:i/>
          <w:w w:val="105"/>
          <w:sz w:val="19"/>
        </w:rPr>
        <w:t>Paecilomyces carneus </w:t>
      </w:r>
      <w:r>
        <w:rPr>
          <w:w w:val="105"/>
          <w:sz w:val="19"/>
        </w:rPr>
        <w:t>en diferentes medios</w:t>
      </w:r>
      <w:r>
        <w:rPr>
          <w:spacing w:val="-18"/>
          <w:w w:val="105"/>
          <w:sz w:val="19"/>
        </w:rPr>
        <w:t> </w:t>
      </w:r>
      <w:r>
        <w:rPr>
          <w:w w:val="105"/>
          <w:sz w:val="19"/>
        </w:rPr>
        <w:t>de</w:t>
      </w:r>
      <w:r>
        <w:rPr>
          <w:spacing w:val="-3"/>
          <w:w w:val="105"/>
          <w:sz w:val="19"/>
        </w:rPr>
        <w:t> </w:t>
      </w:r>
      <w:r>
        <w:rPr>
          <w:w w:val="105"/>
          <w:sz w:val="19"/>
        </w:rPr>
        <w:t>cultivo</w:t>
        <w:tab/>
        <w:t>60</w:t>
      </w:r>
    </w:p>
    <w:p>
      <w:pPr>
        <w:pStyle w:val="BodyText"/>
        <w:spacing w:before="9"/>
      </w:pPr>
    </w:p>
    <w:p>
      <w:pPr>
        <w:tabs>
          <w:tab w:pos="8937" w:val="left" w:leader="dot"/>
        </w:tabs>
        <w:spacing w:before="0"/>
        <w:ind w:left="480" w:right="0" w:firstLine="0"/>
        <w:jc w:val="left"/>
        <w:rPr>
          <w:sz w:val="19"/>
        </w:rPr>
      </w:pPr>
      <w:r>
        <w:rPr>
          <w:b/>
          <w:w w:val="105"/>
          <w:sz w:val="19"/>
        </w:rPr>
        <w:t>Cuadro 15 </w:t>
      </w:r>
      <w:r>
        <w:rPr>
          <w:w w:val="105"/>
          <w:sz w:val="19"/>
        </w:rPr>
        <w:t>Crecimiento de </w:t>
      </w:r>
      <w:r>
        <w:rPr>
          <w:i/>
          <w:w w:val="105"/>
          <w:sz w:val="19"/>
        </w:rPr>
        <w:t>Penicillium virgatum </w:t>
      </w:r>
      <w:r>
        <w:rPr>
          <w:w w:val="105"/>
          <w:sz w:val="19"/>
        </w:rPr>
        <w:t>en diferentes medios</w:t>
      </w:r>
      <w:r>
        <w:rPr>
          <w:spacing w:val="-18"/>
          <w:w w:val="105"/>
          <w:sz w:val="19"/>
        </w:rPr>
        <w:t> </w:t>
      </w:r>
      <w:r>
        <w:rPr>
          <w:w w:val="105"/>
          <w:sz w:val="19"/>
        </w:rPr>
        <w:t>de</w:t>
      </w:r>
      <w:r>
        <w:rPr>
          <w:spacing w:val="-3"/>
          <w:w w:val="105"/>
          <w:sz w:val="19"/>
        </w:rPr>
        <w:t> </w:t>
      </w:r>
      <w:r>
        <w:rPr>
          <w:w w:val="105"/>
          <w:sz w:val="19"/>
        </w:rPr>
        <w:t>cultivo</w:t>
        <w:tab/>
        <w:t>61</w:t>
      </w:r>
    </w:p>
    <w:p>
      <w:pPr>
        <w:pStyle w:val="BodyText"/>
        <w:spacing w:before="9"/>
      </w:pPr>
    </w:p>
    <w:p>
      <w:pPr>
        <w:tabs>
          <w:tab w:pos="8937" w:val="left" w:leader="dot"/>
        </w:tabs>
        <w:spacing w:before="0"/>
        <w:ind w:left="480" w:right="0" w:firstLine="0"/>
        <w:jc w:val="left"/>
        <w:rPr>
          <w:sz w:val="19"/>
        </w:rPr>
      </w:pPr>
      <w:r>
        <w:rPr>
          <w:b/>
          <w:w w:val="105"/>
          <w:sz w:val="19"/>
        </w:rPr>
        <w:t>Cuadro 16 </w:t>
      </w:r>
      <w:r>
        <w:rPr>
          <w:w w:val="105"/>
          <w:sz w:val="19"/>
        </w:rPr>
        <w:t>Humedad del suelo en los tratamientos del experimeto 1</w:t>
      </w:r>
      <w:r>
        <w:rPr>
          <w:spacing w:val="-19"/>
          <w:w w:val="105"/>
          <w:sz w:val="19"/>
        </w:rPr>
        <w:t> </w:t>
      </w:r>
      <w:r>
        <w:rPr>
          <w:w w:val="105"/>
          <w:sz w:val="19"/>
        </w:rPr>
        <w:t>en</w:t>
      </w:r>
      <w:r>
        <w:rPr>
          <w:spacing w:val="-2"/>
          <w:w w:val="105"/>
          <w:sz w:val="19"/>
        </w:rPr>
        <w:t> </w:t>
      </w:r>
      <w:r>
        <w:rPr>
          <w:w w:val="105"/>
          <w:sz w:val="19"/>
        </w:rPr>
        <w:t>invernadero</w:t>
        <w:tab/>
        <w:t>61</w:t>
      </w:r>
    </w:p>
    <w:p>
      <w:pPr>
        <w:pStyle w:val="BodyText"/>
        <w:spacing w:before="9"/>
      </w:pPr>
    </w:p>
    <w:p>
      <w:pPr>
        <w:tabs>
          <w:tab w:pos="8937" w:val="left" w:leader="dot"/>
        </w:tabs>
        <w:spacing w:before="0"/>
        <w:ind w:left="480" w:right="0" w:firstLine="0"/>
        <w:jc w:val="left"/>
        <w:rPr>
          <w:sz w:val="19"/>
        </w:rPr>
      </w:pPr>
      <w:r>
        <w:rPr>
          <w:b/>
          <w:w w:val="105"/>
          <w:sz w:val="19"/>
        </w:rPr>
        <w:t>Cuadro 17 </w:t>
      </w:r>
      <w:r>
        <w:rPr>
          <w:w w:val="105"/>
          <w:sz w:val="19"/>
        </w:rPr>
        <w:t>Humedad del suelo en los tratamientos del experimeto 2</w:t>
      </w:r>
      <w:r>
        <w:rPr>
          <w:spacing w:val="-18"/>
          <w:w w:val="105"/>
          <w:sz w:val="19"/>
        </w:rPr>
        <w:t> </w:t>
      </w:r>
      <w:r>
        <w:rPr>
          <w:w w:val="105"/>
          <w:sz w:val="19"/>
        </w:rPr>
        <w:t>en</w:t>
      </w:r>
      <w:r>
        <w:rPr>
          <w:spacing w:val="-2"/>
          <w:w w:val="105"/>
          <w:sz w:val="19"/>
        </w:rPr>
        <w:t> </w:t>
      </w:r>
      <w:r>
        <w:rPr>
          <w:w w:val="105"/>
          <w:sz w:val="19"/>
        </w:rPr>
        <w:t>invernadero</w:t>
        <w:tab/>
        <w:t>62</w:t>
      </w:r>
    </w:p>
    <w:p>
      <w:pPr>
        <w:pStyle w:val="BodyText"/>
        <w:spacing w:before="9"/>
      </w:pPr>
    </w:p>
    <w:p>
      <w:pPr>
        <w:tabs>
          <w:tab w:pos="8937" w:val="left" w:leader="dot"/>
        </w:tabs>
        <w:spacing w:line="261" w:lineRule="auto" w:before="0"/>
        <w:ind w:left="1525" w:right="98" w:hanging="1101"/>
        <w:jc w:val="left"/>
        <w:rPr>
          <w:sz w:val="19"/>
        </w:rPr>
      </w:pPr>
      <w:r>
        <w:rPr>
          <w:b/>
          <w:w w:val="105"/>
          <w:sz w:val="19"/>
        </w:rPr>
        <w:t>Cuadro 18 </w:t>
      </w:r>
      <w:r>
        <w:rPr>
          <w:w w:val="105"/>
          <w:sz w:val="19"/>
        </w:rPr>
        <w:t>Altura de las plantas de avena en los tratamientos del experimento 2 en      invernadero</w:t>
      </w:r>
      <w:r>
        <w:rPr>
          <w:w w:val="105"/>
          <w:position w:val="2"/>
          <w:sz w:val="19"/>
        </w:rPr>
        <w:tab/>
        <w:t>62</w:t>
      </w:r>
    </w:p>
    <w:p>
      <w:pPr>
        <w:pStyle w:val="BodyText"/>
        <w:spacing w:before="1"/>
        <w:rPr>
          <w:sz w:val="20"/>
        </w:rPr>
      </w:pPr>
    </w:p>
    <w:p>
      <w:pPr>
        <w:tabs>
          <w:tab w:pos="8937" w:val="left" w:leader="dot"/>
        </w:tabs>
        <w:spacing w:line="268" w:lineRule="auto" w:before="0"/>
        <w:ind w:left="1525" w:right="98" w:hanging="1045"/>
        <w:jc w:val="left"/>
        <w:rPr>
          <w:sz w:val="19"/>
        </w:rPr>
      </w:pPr>
      <w:r>
        <w:rPr>
          <w:b/>
          <w:w w:val="105"/>
          <w:sz w:val="19"/>
        </w:rPr>
        <w:t>Cuadro 19 </w:t>
      </w:r>
      <w:r>
        <w:rPr>
          <w:w w:val="105"/>
          <w:sz w:val="19"/>
        </w:rPr>
        <w:t>Número de semillas por planta en los tratamientos del experimento 2 en     invernadero</w:t>
      </w:r>
      <w:r>
        <w:rPr>
          <w:w w:val="105"/>
          <w:position w:val="2"/>
          <w:sz w:val="19"/>
        </w:rPr>
        <w:tab/>
        <w:t>63</w:t>
      </w:r>
    </w:p>
    <w:p>
      <w:pPr>
        <w:spacing w:before="106"/>
        <w:ind w:left="0" w:right="181" w:firstLine="0"/>
        <w:jc w:val="right"/>
        <w:rPr>
          <w:rFonts w:ascii="Calibri"/>
          <w:sz w:val="21"/>
        </w:rPr>
      </w:pPr>
      <w:r>
        <w:rPr>
          <w:rFonts w:ascii="Calibri"/>
          <w:w w:val="102"/>
          <w:sz w:val="21"/>
        </w:rPr>
        <w:t>i</w:t>
      </w:r>
    </w:p>
    <w:p>
      <w:pPr>
        <w:spacing w:after="0"/>
        <w:jc w:val="right"/>
        <w:rPr>
          <w:rFonts w:ascii="Calibri"/>
          <w:sz w:val="21"/>
        </w:rPr>
        <w:sectPr>
          <w:pgSz w:w="12240" w:h="15840"/>
          <w:pgMar w:top="1360" w:bottom="280" w:left="1720" w:right="1260"/>
        </w:sectPr>
      </w:pPr>
    </w:p>
    <w:p>
      <w:pPr>
        <w:tabs>
          <w:tab w:pos="9157" w:val="right" w:leader="dot"/>
        </w:tabs>
        <w:spacing w:line="261" w:lineRule="auto" w:before="65"/>
        <w:ind w:left="1527" w:right="100" w:hanging="1047"/>
        <w:jc w:val="left"/>
        <w:rPr>
          <w:sz w:val="19"/>
        </w:rPr>
      </w:pPr>
      <w:r>
        <w:rPr>
          <w:b/>
          <w:w w:val="105"/>
          <w:sz w:val="19"/>
        </w:rPr>
        <w:t>Cuadro 20 </w:t>
      </w:r>
      <w:r>
        <w:rPr>
          <w:w w:val="105"/>
          <w:sz w:val="19"/>
        </w:rPr>
        <w:t>Peso fresco y peso seco por planta en los tratamientos del experimento 2 en invernadero</w:t>
      </w:r>
      <w:r>
        <w:rPr>
          <w:w w:val="105"/>
          <w:position w:val="2"/>
          <w:sz w:val="19"/>
        </w:rPr>
        <w:tab/>
        <w:t>63</w:t>
      </w:r>
    </w:p>
    <w:p>
      <w:pPr>
        <w:tabs>
          <w:tab w:pos="8360" w:val="left" w:leader="none"/>
        </w:tabs>
        <w:spacing w:before="226"/>
        <w:ind w:left="147" w:right="0" w:firstLine="0"/>
        <w:jc w:val="left"/>
        <w:rPr>
          <w:b/>
          <w:sz w:val="19"/>
        </w:rPr>
      </w:pPr>
      <w:r>
        <w:rPr>
          <w:b/>
          <w:w w:val="105"/>
          <w:sz w:val="19"/>
        </w:rPr>
        <w:t>Lista</w:t>
      </w:r>
      <w:r>
        <w:rPr>
          <w:b/>
          <w:spacing w:val="-2"/>
          <w:w w:val="105"/>
          <w:sz w:val="19"/>
        </w:rPr>
        <w:t> </w:t>
      </w:r>
      <w:r>
        <w:rPr>
          <w:b/>
          <w:w w:val="105"/>
          <w:sz w:val="19"/>
        </w:rPr>
        <w:t>de</w:t>
      </w:r>
      <w:r>
        <w:rPr>
          <w:b/>
          <w:spacing w:val="-2"/>
          <w:w w:val="105"/>
          <w:sz w:val="19"/>
        </w:rPr>
        <w:t> </w:t>
      </w:r>
      <w:r>
        <w:rPr>
          <w:b/>
          <w:w w:val="105"/>
          <w:sz w:val="19"/>
        </w:rPr>
        <w:t>figuras</w:t>
        <w:tab/>
        <w:t>Página</w:t>
      </w:r>
    </w:p>
    <w:p>
      <w:pPr>
        <w:tabs>
          <w:tab w:pos="9159" w:val="right" w:leader="dot"/>
        </w:tabs>
        <w:spacing w:line="261" w:lineRule="auto" w:before="252"/>
        <w:ind w:left="1258" w:right="98" w:hanging="778"/>
        <w:jc w:val="left"/>
        <w:rPr>
          <w:sz w:val="19"/>
        </w:rPr>
      </w:pPr>
      <w:r>
        <w:rPr>
          <w:b/>
          <w:w w:val="105"/>
          <w:sz w:val="19"/>
        </w:rPr>
        <w:t>Figura 1 </w:t>
      </w:r>
      <w:r>
        <w:rPr>
          <w:w w:val="105"/>
          <w:sz w:val="19"/>
        </w:rPr>
        <w:t>Tipos de interacciones fúngicas basadas en los criterios de Fakhrunnisa y Ghaffar (2006)</w:t>
      </w:r>
      <w:r>
        <w:rPr>
          <w:w w:val="105"/>
          <w:position w:val="2"/>
          <w:sz w:val="19"/>
        </w:rPr>
        <w:tab/>
        <w:t>14</w:t>
      </w:r>
    </w:p>
    <w:p>
      <w:pPr>
        <w:tabs>
          <w:tab w:pos="9159" w:val="right" w:leader="dot"/>
        </w:tabs>
        <w:spacing w:before="231"/>
        <w:ind w:left="480" w:right="0" w:firstLine="0"/>
        <w:jc w:val="left"/>
        <w:rPr>
          <w:sz w:val="19"/>
        </w:rPr>
      </w:pPr>
      <w:r>
        <w:rPr>
          <w:b/>
          <w:w w:val="105"/>
          <w:sz w:val="19"/>
        </w:rPr>
        <w:t>Figura 2 </w:t>
      </w:r>
      <w:r>
        <w:rPr>
          <w:w w:val="105"/>
          <w:sz w:val="19"/>
        </w:rPr>
        <w:t>Solubilización de fosfatos de calcio en medio</w:t>
      </w:r>
      <w:r>
        <w:rPr>
          <w:spacing w:val="3"/>
          <w:w w:val="105"/>
          <w:sz w:val="19"/>
        </w:rPr>
        <w:t> </w:t>
      </w:r>
      <w:r>
        <w:rPr>
          <w:w w:val="105"/>
          <w:sz w:val="19"/>
        </w:rPr>
        <w:t>Pikovscaya modificado</w:t>
        <w:tab/>
        <w:t>20</w:t>
      </w:r>
    </w:p>
    <w:p>
      <w:pPr>
        <w:spacing w:before="285"/>
        <w:ind w:left="480" w:right="0" w:firstLine="0"/>
        <w:jc w:val="left"/>
        <w:rPr>
          <w:sz w:val="19"/>
        </w:rPr>
      </w:pPr>
      <w:r>
        <w:rPr>
          <w:b/>
          <w:w w:val="105"/>
          <w:sz w:val="19"/>
        </w:rPr>
        <w:t>Figura 3 </w:t>
      </w:r>
      <w:r>
        <w:rPr>
          <w:w w:val="105"/>
          <w:sz w:val="19"/>
        </w:rPr>
        <w:t>Efecto de los hongos estudiados en la solubilización de P y el pH del medio de</w:t>
      </w:r>
    </w:p>
    <w:p>
      <w:pPr>
        <w:tabs>
          <w:tab w:pos="9159" w:val="right" w:leader="dot"/>
        </w:tabs>
        <w:spacing w:before="25"/>
        <w:ind w:left="1525" w:right="0" w:firstLine="0"/>
        <w:jc w:val="left"/>
        <w:rPr>
          <w:sz w:val="19"/>
        </w:rPr>
      </w:pPr>
      <w:r>
        <w:rPr>
          <w:w w:val="105"/>
          <w:sz w:val="19"/>
        </w:rPr>
        <w:t>cultivo líquido</w:t>
      </w:r>
      <w:r>
        <w:rPr>
          <w:spacing w:val="2"/>
          <w:w w:val="105"/>
          <w:sz w:val="19"/>
        </w:rPr>
        <w:t> </w:t>
      </w:r>
      <w:r>
        <w:rPr>
          <w:w w:val="105"/>
          <w:sz w:val="19"/>
        </w:rPr>
        <w:t>con</w:t>
      </w:r>
      <w:r>
        <w:rPr>
          <w:spacing w:val="1"/>
          <w:w w:val="105"/>
          <w:sz w:val="19"/>
        </w:rPr>
        <w:t> </w:t>
      </w:r>
      <w:r>
        <w:rPr>
          <w:w w:val="105"/>
          <w:sz w:val="19"/>
        </w:rPr>
        <w:t>hidroxiapatita</w:t>
      </w:r>
      <w:r>
        <w:rPr>
          <w:w w:val="105"/>
          <w:position w:val="2"/>
          <w:sz w:val="19"/>
        </w:rPr>
        <w:tab/>
        <w:t>23</w:t>
      </w:r>
    </w:p>
    <w:p>
      <w:pPr>
        <w:spacing w:before="98"/>
        <w:ind w:left="480" w:right="0" w:firstLine="0"/>
        <w:jc w:val="left"/>
        <w:rPr>
          <w:sz w:val="19"/>
        </w:rPr>
      </w:pPr>
      <w:r>
        <w:rPr>
          <w:b/>
          <w:w w:val="105"/>
          <w:sz w:val="19"/>
        </w:rPr>
        <w:t>Figura 4 </w:t>
      </w:r>
      <w:r>
        <w:rPr>
          <w:w w:val="105"/>
          <w:sz w:val="19"/>
        </w:rPr>
        <w:t>Efecto de los hongos estudiados en la solubilización de P y el pH del medio de</w:t>
      </w:r>
    </w:p>
    <w:p>
      <w:pPr>
        <w:tabs>
          <w:tab w:pos="9159" w:val="right" w:leader="dot"/>
        </w:tabs>
        <w:spacing w:before="25"/>
        <w:ind w:left="1525" w:right="0" w:firstLine="0"/>
        <w:jc w:val="left"/>
        <w:rPr>
          <w:sz w:val="19"/>
        </w:rPr>
      </w:pPr>
      <w:r>
        <w:rPr>
          <w:w w:val="105"/>
          <w:sz w:val="19"/>
        </w:rPr>
        <w:t>cultivo líquido</w:t>
      </w:r>
      <w:r>
        <w:rPr>
          <w:spacing w:val="2"/>
          <w:w w:val="105"/>
          <w:sz w:val="19"/>
        </w:rPr>
        <w:t> </w:t>
      </w:r>
      <w:r>
        <w:rPr>
          <w:w w:val="105"/>
          <w:sz w:val="19"/>
        </w:rPr>
        <w:t>con</w:t>
      </w:r>
      <w:r>
        <w:rPr>
          <w:spacing w:val="1"/>
          <w:w w:val="105"/>
          <w:sz w:val="19"/>
        </w:rPr>
        <w:t> </w:t>
      </w:r>
      <w:r>
        <w:rPr>
          <w:w w:val="105"/>
          <w:sz w:val="19"/>
        </w:rPr>
        <w:t>estrengita</w:t>
      </w:r>
      <w:r>
        <w:rPr>
          <w:w w:val="105"/>
          <w:position w:val="2"/>
          <w:sz w:val="19"/>
        </w:rPr>
        <w:tab/>
        <w:t>24</w:t>
      </w:r>
    </w:p>
    <w:p>
      <w:pPr>
        <w:tabs>
          <w:tab w:pos="9157" w:val="right" w:leader="none"/>
        </w:tabs>
        <w:spacing w:line="268" w:lineRule="auto" w:before="136"/>
        <w:ind w:left="1258" w:right="100" w:hanging="778"/>
        <w:jc w:val="left"/>
        <w:rPr>
          <w:sz w:val="19"/>
        </w:rPr>
      </w:pPr>
      <w:r>
        <w:rPr>
          <w:b/>
          <w:w w:val="105"/>
          <w:sz w:val="19"/>
        </w:rPr>
        <w:t>Figura 5 </w:t>
      </w:r>
      <w:r>
        <w:rPr>
          <w:w w:val="105"/>
          <w:sz w:val="19"/>
        </w:rPr>
        <w:t>Porcentaje de germinación de esporas a las 16 y 24 hrs después de la </w:t>
      </w:r>
      <w:r>
        <w:rPr>
          <w:spacing w:val="2"/>
          <w:w w:val="105"/>
          <w:sz w:val="19"/>
        </w:rPr>
        <w:t>inoculación</w:t>
      </w:r>
      <w:r>
        <w:rPr>
          <w:b/>
          <w:spacing w:val="2"/>
          <w:w w:val="105"/>
          <w:sz w:val="19"/>
        </w:rPr>
        <w:t>…………………………………………………………………………………</w:t>
      </w:r>
      <w:r>
        <w:rPr>
          <w:spacing w:val="2"/>
          <w:w w:val="105"/>
          <w:position w:val="2"/>
          <w:sz w:val="19"/>
        </w:rPr>
        <w:tab/>
      </w:r>
      <w:r>
        <w:rPr>
          <w:w w:val="105"/>
          <w:position w:val="2"/>
          <w:sz w:val="19"/>
        </w:rPr>
        <w:t>25</w:t>
      </w:r>
    </w:p>
    <w:p>
      <w:pPr>
        <w:tabs>
          <w:tab w:pos="9159" w:val="right" w:leader="dot"/>
        </w:tabs>
        <w:spacing w:before="128"/>
        <w:ind w:left="480" w:right="0" w:firstLine="0"/>
        <w:jc w:val="left"/>
        <w:rPr>
          <w:sz w:val="19"/>
        </w:rPr>
      </w:pPr>
      <w:r>
        <w:rPr>
          <w:b/>
          <w:w w:val="105"/>
          <w:sz w:val="19"/>
        </w:rPr>
        <w:t>Figura 6 </w:t>
      </w:r>
      <w:r>
        <w:rPr>
          <w:i/>
          <w:w w:val="105"/>
          <w:sz w:val="19"/>
        </w:rPr>
        <w:t>Geomyces pannorum </w:t>
      </w:r>
      <w:r>
        <w:rPr>
          <w:w w:val="105"/>
          <w:sz w:val="19"/>
        </w:rPr>
        <w:t>en diferentes medios</w:t>
      </w:r>
      <w:r>
        <w:rPr>
          <w:spacing w:val="5"/>
          <w:w w:val="105"/>
          <w:sz w:val="19"/>
        </w:rPr>
        <w:t> </w:t>
      </w:r>
      <w:r>
        <w:rPr>
          <w:w w:val="105"/>
          <w:sz w:val="19"/>
        </w:rPr>
        <w:t>de cultivo</w:t>
        <w:tab/>
        <w:t>26</w:t>
      </w:r>
    </w:p>
    <w:p>
      <w:pPr>
        <w:tabs>
          <w:tab w:pos="9159" w:val="right" w:leader="dot"/>
        </w:tabs>
        <w:spacing w:before="247"/>
        <w:ind w:left="480" w:right="0" w:firstLine="0"/>
        <w:jc w:val="left"/>
        <w:rPr>
          <w:sz w:val="19"/>
        </w:rPr>
      </w:pPr>
      <w:r>
        <w:rPr>
          <w:b/>
          <w:w w:val="105"/>
          <w:sz w:val="19"/>
        </w:rPr>
        <w:t>Figura 7 </w:t>
      </w:r>
      <w:r>
        <w:rPr>
          <w:i/>
          <w:w w:val="105"/>
          <w:sz w:val="19"/>
        </w:rPr>
        <w:t>Paecilomyces carneus </w:t>
      </w:r>
      <w:r>
        <w:rPr>
          <w:w w:val="105"/>
          <w:sz w:val="19"/>
        </w:rPr>
        <w:t>en diferentes medios</w:t>
      </w:r>
      <w:r>
        <w:rPr>
          <w:spacing w:val="6"/>
          <w:w w:val="105"/>
          <w:sz w:val="19"/>
        </w:rPr>
        <w:t> </w:t>
      </w:r>
      <w:r>
        <w:rPr>
          <w:w w:val="105"/>
          <w:sz w:val="19"/>
        </w:rPr>
        <w:t>de cultivo</w:t>
        <w:tab/>
        <w:t>27</w:t>
      </w:r>
    </w:p>
    <w:p>
      <w:pPr>
        <w:tabs>
          <w:tab w:pos="9159" w:val="right" w:leader="dot"/>
        </w:tabs>
        <w:spacing w:line="256" w:lineRule="auto" w:before="247"/>
        <w:ind w:left="1313" w:right="98" w:hanging="834"/>
        <w:jc w:val="left"/>
        <w:rPr>
          <w:sz w:val="19"/>
        </w:rPr>
      </w:pPr>
      <w:r>
        <w:rPr>
          <w:b/>
          <w:w w:val="105"/>
          <w:sz w:val="19"/>
        </w:rPr>
        <w:t>Figura  8  </w:t>
      </w:r>
      <w:r>
        <w:rPr>
          <w:w w:val="105"/>
          <w:sz w:val="19"/>
        </w:rPr>
        <w:t>Interacciones  en  medio  de  cultivo  agar-avena  de  entre  los   tres  hongos </w:t>
      </w:r>
      <w:r>
        <w:rPr>
          <w:w w:val="105"/>
          <w:position w:val="1"/>
          <w:sz w:val="19"/>
        </w:rPr>
        <w:t>estudiados</w:t>
      </w:r>
      <w:r>
        <w:rPr>
          <w:w w:val="105"/>
          <w:sz w:val="19"/>
        </w:rPr>
        <w:tab/>
        <w:t>28</w:t>
      </w:r>
    </w:p>
    <w:p>
      <w:pPr>
        <w:tabs>
          <w:tab w:pos="9159" w:val="right" w:leader="dot"/>
        </w:tabs>
        <w:spacing w:before="212"/>
        <w:ind w:left="480" w:right="0" w:firstLine="0"/>
        <w:jc w:val="left"/>
        <w:rPr>
          <w:sz w:val="19"/>
        </w:rPr>
      </w:pPr>
      <w:r>
        <w:rPr>
          <w:b/>
          <w:w w:val="105"/>
          <w:sz w:val="19"/>
        </w:rPr>
        <w:t>Figura 9 </w:t>
      </w:r>
      <w:r>
        <w:rPr>
          <w:w w:val="105"/>
          <w:sz w:val="19"/>
        </w:rPr>
        <w:t>Fósforo disponible en el suelo al final del</w:t>
      </w:r>
      <w:r>
        <w:rPr>
          <w:spacing w:val="3"/>
          <w:w w:val="105"/>
          <w:sz w:val="19"/>
        </w:rPr>
        <w:t> </w:t>
      </w:r>
      <w:r>
        <w:rPr>
          <w:w w:val="105"/>
          <w:sz w:val="19"/>
        </w:rPr>
        <w:t>experimento 1</w:t>
        <w:tab/>
        <w:t>29</w:t>
      </w:r>
    </w:p>
    <w:p>
      <w:pPr>
        <w:tabs>
          <w:tab w:pos="9157" w:val="right" w:leader="dot"/>
        </w:tabs>
        <w:spacing w:before="242"/>
        <w:ind w:left="480" w:right="0" w:firstLine="0"/>
        <w:jc w:val="left"/>
        <w:rPr>
          <w:sz w:val="19"/>
        </w:rPr>
      </w:pPr>
      <w:r>
        <w:rPr>
          <w:b/>
          <w:w w:val="105"/>
          <w:sz w:val="19"/>
        </w:rPr>
        <w:t>Figura 10 </w:t>
      </w:r>
      <w:r>
        <w:rPr>
          <w:w w:val="105"/>
          <w:sz w:val="19"/>
        </w:rPr>
        <w:t>Fósforo disponible en el suelo al final del</w:t>
      </w:r>
      <w:r>
        <w:rPr>
          <w:spacing w:val="2"/>
          <w:w w:val="105"/>
          <w:sz w:val="19"/>
        </w:rPr>
        <w:t> </w:t>
      </w:r>
      <w:r>
        <w:rPr>
          <w:w w:val="105"/>
          <w:sz w:val="19"/>
        </w:rPr>
        <w:t>experimento 2</w:t>
        <w:tab/>
        <w:t>32</w:t>
      </w:r>
    </w:p>
    <w:p>
      <w:pPr>
        <w:tabs>
          <w:tab w:pos="9157" w:val="right" w:leader="dot"/>
        </w:tabs>
        <w:spacing w:before="252"/>
        <w:ind w:left="480" w:right="0" w:firstLine="0"/>
        <w:jc w:val="left"/>
        <w:rPr>
          <w:sz w:val="19"/>
        </w:rPr>
      </w:pPr>
      <w:r>
        <w:rPr>
          <w:b/>
          <w:w w:val="105"/>
          <w:sz w:val="19"/>
        </w:rPr>
        <w:t>Figura 11 </w:t>
      </w:r>
      <w:r>
        <w:rPr>
          <w:w w:val="105"/>
          <w:sz w:val="19"/>
        </w:rPr>
        <w:t>Desarrollo de las plantas de </w:t>
      </w:r>
      <w:r>
        <w:rPr>
          <w:i/>
          <w:w w:val="105"/>
          <w:sz w:val="19"/>
        </w:rPr>
        <w:t>Avena sativa </w:t>
      </w:r>
      <w:r>
        <w:rPr>
          <w:w w:val="105"/>
          <w:sz w:val="19"/>
        </w:rPr>
        <w:t>durante el</w:t>
      </w:r>
      <w:r>
        <w:rPr>
          <w:spacing w:val="3"/>
          <w:w w:val="105"/>
          <w:sz w:val="19"/>
        </w:rPr>
        <w:t> </w:t>
      </w:r>
      <w:r>
        <w:rPr>
          <w:w w:val="105"/>
          <w:sz w:val="19"/>
        </w:rPr>
        <w:t>experimento 2</w:t>
        <w:tab/>
        <w:t>34</w:t>
      </w:r>
    </w:p>
    <w:p>
      <w:pPr>
        <w:tabs>
          <w:tab w:pos="9157" w:val="right" w:leader="dot"/>
        </w:tabs>
        <w:spacing w:before="285"/>
        <w:ind w:left="480" w:right="0" w:firstLine="0"/>
        <w:jc w:val="left"/>
        <w:rPr>
          <w:sz w:val="19"/>
        </w:rPr>
      </w:pPr>
      <w:r>
        <w:rPr>
          <w:b/>
          <w:w w:val="105"/>
          <w:sz w:val="19"/>
        </w:rPr>
        <w:t>Figura 12 </w:t>
      </w:r>
      <w:r>
        <w:rPr>
          <w:w w:val="105"/>
          <w:sz w:val="19"/>
        </w:rPr>
        <w:t>Número de semillas en las plantas de </w:t>
      </w:r>
      <w:r>
        <w:rPr>
          <w:i/>
          <w:w w:val="105"/>
          <w:sz w:val="19"/>
        </w:rPr>
        <w:t>Avena sativa </w:t>
      </w:r>
      <w:r>
        <w:rPr>
          <w:w w:val="105"/>
          <w:sz w:val="19"/>
        </w:rPr>
        <w:t>al final del</w:t>
      </w:r>
      <w:r>
        <w:rPr>
          <w:spacing w:val="-7"/>
          <w:w w:val="105"/>
          <w:sz w:val="19"/>
        </w:rPr>
        <w:t> </w:t>
      </w:r>
      <w:r>
        <w:rPr>
          <w:w w:val="105"/>
          <w:sz w:val="19"/>
        </w:rPr>
        <w:t>experimento</w:t>
      </w:r>
      <w:r>
        <w:rPr>
          <w:spacing w:val="-1"/>
          <w:w w:val="105"/>
          <w:sz w:val="19"/>
        </w:rPr>
        <w:t> </w:t>
      </w:r>
      <w:r>
        <w:rPr>
          <w:w w:val="105"/>
          <w:sz w:val="19"/>
        </w:rPr>
        <w:t>2</w:t>
        <w:tab/>
        <w:t>35</w:t>
      </w:r>
    </w:p>
    <w:p>
      <w:pPr>
        <w:tabs>
          <w:tab w:pos="9157" w:val="right" w:leader="none"/>
        </w:tabs>
        <w:spacing w:line="261" w:lineRule="auto" w:before="285"/>
        <w:ind w:left="1402" w:right="100" w:hanging="923"/>
        <w:jc w:val="left"/>
        <w:rPr>
          <w:sz w:val="19"/>
        </w:rPr>
      </w:pPr>
      <w:r>
        <w:rPr>
          <w:b/>
          <w:w w:val="105"/>
          <w:sz w:val="19"/>
        </w:rPr>
        <w:t>Figura 13 </w:t>
      </w:r>
      <w:r>
        <w:rPr>
          <w:w w:val="105"/>
          <w:sz w:val="19"/>
        </w:rPr>
        <w:t>Peso fresco y peso seco de plantas de </w:t>
      </w:r>
      <w:r>
        <w:rPr>
          <w:i/>
          <w:w w:val="105"/>
          <w:sz w:val="19"/>
        </w:rPr>
        <w:t>Avena sativa </w:t>
      </w:r>
      <w:r>
        <w:rPr>
          <w:w w:val="105"/>
          <w:sz w:val="19"/>
        </w:rPr>
        <w:t>en los tratamientos del experimento</w:t>
      </w:r>
      <w:r>
        <w:rPr>
          <w:spacing w:val="-1"/>
          <w:w w:val="105"/>
          <w:sz w:val="19"/>
        </w:rPr>
        <w:t> </w:t>
      </w:r>
      <w:r>
        <w:rPr>
          <w:w w:val="105"/>
          <w:sz w:val="19"/>
        </w:rPr>
        <w:t>2</w:t>
      </w:r>
      <w:r>
        <w:rPr>
          <w:b/>
          <w:w w:val="105"/>
          <w:sz w:val="19"/>
        </w:rPr>
        <w:t>..................................................................................</w:t>
      </w:r>
      <w:r>
        <w:rPr>
          <w:w w:val="105"/>
          <w:position w:val="2"/>
          <w:sz w:val="19"/>
        </w:rPr>
        <w:tab/>
        <w:t>35</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29"/>
        </w:rPr>
      </w:pPr>
    </w:p>
    <w:p>
      <w:pPr>
        <w:spacing w:before="0"/>
        <w:ind w:left="0" w:right="134" w:firstLine="0"/>
        <w:jc w:val="right"/>
        <w:rPr>
          <w:rFonts w:ascii="Calibri"/>
          <w:sz w:val="21"/>
        </w:rPr>
      </w:pPr>
      <w:r>
        <w:rPr>
          <w:rFonts w:ascii="Calibri"/>
          <w:sz w:val="21"/>
        </w:rPr>
        <w:t>ii</w:t>
      </w:r>
    </w:p>
    <w:sectPr>
      <w:pgSz w:w="12240" w:h="15840"/>
      <w:pgMar w:top="1360" w:bottom="280" w:left="172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7"/>
      <w:numFmt w:val="decimal"/>
      <w:lvlText w:val="%1"/>
      <w:lvlJc w:val="left"/>
      <w:pPr>
        <w:ind w:left="814" w:hanging="334"/>
        <w:jc w:val="left"/>
      </w:pPr>
      <w:rPr>
        <w:rFonts w:hint="default"/>
      </w:rPr>
    </w:lvl>
    <w:lvl w:ilvl="1">
      <w:start w:val="1"/>
      <w:numFmt w:val="decimal"/>
      <w:lvlText w:val="%1.%2"/>
      <w:lvlJc w:val="left"/>
      <w:pPr>
        <w:ind w:left="856" w:hanging="334"/>
        <w:jc w:val="left"/>
      </w:pPr>
      <w:rPr>
        <w:rFonts w:hint="default" w:ascii="Arial" w:hAnsi="Arial" w:eastAsia="Arial" w:cs="Arial"/>
        <w:spacing w:val="0"/>
        <w:w w:val="103"/>
        <w:sz w:val="19"/>
        <w:szCs w:val="19"/>
      </w:rPr>
    </w:lvl>
    <w:lvl w:ilvl="2">
      <w:start w:val="1"/>
      <w:numFmt w:val="decimal"/>
      <w:lvlText w:val="%1.%2.%3"/>
      <w:lvlJc w:val="left"/>
      <w:pPr>
        <w:ind w:left="1147" w:hanging="501"/>
        <w:jc w:val="left"/>
      </w:pPr>
      <w:rPr>
        <w:rFonts w:hint="default" w:ascii="Arial" w:hAnsi="Arial" w:eastAsia="Arial" w:cs="Arial"/>
        <w:spacing w:val="0"/>
        <w:w w:val="103"/>
        <w:sz w:val="19"/>
        <w:szCs w:val="19"/>
      </w:rPr>
    </w:lvl>
    <w:lvl w:ilvl="3">
      <w:start w:val="1"/>
      <w:numFmt w:val="bullet"/>
      <w:lvlText w:val="•"/>
      <w:lvlJc w:val="left"/>
      <w:pPr>
        <w:ind w:left="2155" w:hanging="501"/>
      </w:pPr>
      <w:rPr>
        <w:rFonts w:hint="default"/>
      </w:rPr>
    </w:lvl>
    <w:lvl w:ilvl="4">
      <w:start w:val="1"/>
      <w:numFmt w:val="bullet"/>
      <w:lvlText w:val="•"/>
      <w:lvlJc w:val="left"/>
      <w:pPr>
        <w:ind w:left="3170" w:hanging="501"/>
      </w:pPr>
      <w:rPr>
        <w:rFonts w:hint="default"/>
      </w:rPr>
    </w:lvl>
    <w:lvl w:ilvl="5">
      <w:start w:val="1"/>
      <w:numFmt w:val="bullet"/>
      <w:lvlText w:val="•"/>
      <w:lvlJc w:val="left"/>
      <w:pPr>
        <w:ind w:left="4185" w:hanging="501"/>
      </w:pPr>
      <w:rPr>
        <w:rFonts w:hint="default"/>
      </w:rPr>
    </w:lvl>
    <w:lvl w:ilvl="6">
      <w:start w:val="1"/>
      <w:numFmt w:val="bullet"/>
      <w:lvlText w:val="•"/>
      <w:lvlJc w:val="left"/>
      <w:pPr>
        <w:ind w:left="5200" w:hanging="501"/>
      </w:pPr>
      <w:rPr>
        <w:rFonts w:hint="default"/>
      </w:rPr>
    </w:lvl>
    <w:lvl w:ilvl="7">
      <w:start w:val="1"/>
      <w:numFmt w:val="bullet"/>
      <w:lvlText w:val="•"/>
      <w:lvlJc w:val="left"/>
      <w:pPr>
        <w:ind w:left="6215" w:hanging="501"/>
      </w:pPr>
      <w:rPr>
        <w:rFonts w:hint="default"/>
      </w:rPr>
    </w:lvl>
    <w:lvl w:ilvl="8">
      <w:start w:val="1"/>
      <w:numFmt w:val="bullet"/>
      <w:lvlText w:val="•"/>
      <w:lvlJc w:val="left"/>
      <w:pPr>
        <w:ind w:left="7230" w:hanging="501"/>
      </w:pPr>
      <w:rPr>
        <w:rFonts w:hint="default"/>
      </w:rPr>
    </w:lvl>
  </w:abstractNum>
  <w:abstractNum w:abstractNumId="0">
    <w:multiLevelType w:val="hybridMultilevel"/>
    <w:lvl w:ilvl="0">
      <w:start w:val="7"/>
      <w:numFmt w:val="upperRoman"/>
      <w:lvlText w:val="%1."/>
      <w:lvlJc w:val="left"/>
      <w:pPr>
        <w:ind w:left="502" w:hanging="356"/>
        <w:jc w:val="left"/>
      </w:pPr>
      <w:rPr>
        <w:rFonts w:hint="default" w:ascii="Arial" w:hAnsi="Arial" w:eastAsia="Arial" w:cs="Arial"/>
        <w:b/>
        <w:bCs/>
        <w:spacing w:val="0"/>
        <w:w w:val="103"/>
        <w:sz w:val="19"/>
        <w:szCs w:val="19"/>
      </w:rPr>
    </w:lvl>
    <w:lvl w:ilvl="1">
      <w:start w:val="1"/>
      <w:numFmt w:val="bullet"/>
      <w:lvlText w:val="•"/>
      <w:lvlJc w:val="left"/>
      <w:pPr>
        <w:ind w:left="1376" w:hanging="356"/>
      </w:pPr>
      <w:rPr>
        <w:rFonts w:hint="default"/>
      </w:rPr>
    </w:lvl>
    <w:lvl w:ilvl="2">
      <w:start w:val="1"/>
      <w:numFmt w:val="bullet"/>
      <w:lvlText w:val="•"/>
      <w:lvlJc w:val="left"/>
      <w:pPr>
        <w:ind w:left="2252" w:hanging="356"/>
      </w:pPr>
      <w:rPr>
        <w:rFonts w:hint="default"/>
      </w:rPr>
    </w:lvl>
    <w:lvl w:ilvl="3">
      <w:start w:val="1"/>
      <w:numFmt w:val="bullet"/>
      <w:lvlText w:val="•"/>
      <w:lvlJc w:val="left"/>
      <w:pPr>
        <w:ind w:left="3128" w:hanging="356"/>
      </w:pPr>
      <w:rPr>
        <w:rFonts w:hint="default"/>
      </w:rPr>
    </w:lvl>
    <w:lvl w:ilvl="4">
      <w:start w:val="1"/>
      <w:numFmt w:val="bullet"/>
      <w:lvlText w:val="•"/>
      <w:lvlJc w:val="left"/>
      <w:pPr>
        <w:ind w:left="4004" w:hanging="356"/>
      </w:pPr>
      <w:rPr>
        <w:rFonts w:hint="default"/>
      </w:rPr>
    </w:lvl>
    <w:lvl w:ilvl="5">
      <w:start w:val="1"/>
      <w:numFmt w:val="bullet"/>
      <w:lvlText w:val="•"/>
      <w:lvlJc w:val="left"/>
      <w:pPr>
        <w:ind w:left="4880" w:hanging="356"/>
      </w:pPr>
      <w:rPr>
        <w:rFonts w:hint="default"/>
      </w:rPr>
    </w:lvl>
    <w:lvl w:ilvl="6">
      <w:start w:val="1"/>
      <w:numFmt w:val="bullet"/>
      <w:lvlText w:val="•"/>
      <w:lvlJc w:val="left"/>
      <w:pPr>
        <w:ind w:left="5756" w:hanging="356"/>
      </w:pPr>
      <w:rPr>
        <w:rFonts w:hint="default"/>
      </w:rPr>
    </w:lvl>
    <w:lvl w:ilvl="7">
      <w:start w:val="1"/>
      <w:numFmt w:val="bullet"/>
      <w:lvlText w:val="•"/>
      <w:lvlJc w:val="left"/>
      <w:pPr>
        <w:ind w:left="6632" w:hanging="356"/>
      </w:pPr>
      <w:rPr>
        <w:rFonts w:hint="default"/>
      </w:rPr>
    </w:lvl>
    <w:lvl w:ilvl="8">
      <w:start w:val="1"/>
      <w:numFmt w:val="bullet"/>
      <w:lvlText w:val="•"/>
      <w:lvlJc w:val="left"/>
      <w:pPr>
        <w:ind w:left="7508" w:hanging="356"/>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119"/>
      <w:jc w:val="both"/>
      <w:outlineLvl w:val="1"/>
    </w:pPr>
    <w:rPr>
      <w:rFonts w:ascii="Arial" w:hAnsi="Arial" w:eastAsia="Arial" w:cs="Arial"/>
      <w:b/>
      <w:bCs/>
      <w:sz w:val="28"/>
      <w:szCs w:val="28"/>
    </w:rPr>
  </w:style>
  <w:style w:styleId="Heading2" w:type="paragraph">
    <w:name w:val="Heading 2"/>
    <w:basedOn w:val="Normal"/>
    <w:uiPriority w:val="1"/>
    <w:qFormat/>
    <w:pPr>
      <w:spacing w:before="248"/>
      <w:ind w:left="119" w:right="113"/>
      <w:jc w:val="both"/>
      <w:outlineLvl w:val="2"/>
    </w:pPr>
    <w:rPr>
      <w:rFonts w:ascii="Arial" w:hAnsi="Arial" w:eastAsia="Arial" w:cs="Arial"/>
      <w:b/>
      <w:bCs/>
      <w:sz w:val="24"/>
      <w:szCs w:val="24"/>
    </w:rPr>
  </w:style>
  <w:style w:styleId="ListParagraph" w:type="paragraph">
    <w:name w:val="List Paragraph"/>
    <w:basedOn w:val="Normal"/>
    <w:uiPriority w:val="1"/>
    <w:qFormat/>
    <w:pPr>
      <w:spacing w:before="247"/>
      <w:ind w:left="1147" w:hanging="500"/>
    </w:pPr>
    <w:rPr>
      <w:rFonts w:ascii="Arial" w:hAnsi="Arial" w:eastAsia="Arial" w:cs="Arial"/>
    </w:rPr>
  </w:style>
  <w:style w:styleId="TableParagraph" w:type="paragraph">
    <w:name w:val="Table Paragraph"/>
    <w:basedOn w:val="Normal"/>
    <w:uiPriority w:val="1"/>
    <w:qFormat/>
    <w:pPr>
      <w:spacing w:before="115"/>
      <w:ind w:right="90"/>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2017-05-24T02:12:28Z</dcterms:created>
  <dcterms:modified xsi:type="dcterms:W3CDTF">2017-05-24T02:12:28Z</dcterms:modified>
</cp:coreProperties>
</file>