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Default Extension="png" ContentType="image/png"/>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40" w:lineRule="exact"/>
        <w:ind w:left="2738"/>
        <w:rPr>
          <w:sz w:val="4"/>
        </w:rPr>
      </w:pPr>
      <w:r>
        <w:rPr>
          <w:position w:val="0"/>
          <w:sz w:val="4"/>
        </w:rPr>
        <w:pict>
          <v:group style="width:357.5pt;height:2pt;mso-position-horizontal-relative:char;mso-position-vertical-relative:line" coordorigin="0,0" coordsize="7150,40">
            <v:line style="position:absolute" from="20,20" to="7130,20" stroked="true" strokeweight="2pt" strokecolor="#000000"/>
          </v:group>
        </w:pict>
      </w:r>
      <w:r>
        <w:rPr>
          <w:position w:val="0"/>
          <w:sz w:val="4"/>
        </w:rPr>
      </w:r>
    </w:p>
    <w:p>
      <w:pPr>
        <w:pStyle w:val="BodyText"/>
        <w:rPr>
          <w:sz w:val="10"/>
        </w:rPr>
      </w:pPr>
    </w:p>
    <w:p>
      <w:pPr>
        <w:pStyle w:val="BodyText"/>
        <w:spacing w:line="30" w:lineRule="exact"/>
        <w:ind w:left="3448"/>
        <w:rPr>
          <w:sz w:val="3"/>
        </w:rPr>
      </w:pPr>
      <w:r>
        <w:rPr>
          <w:position w:val="0"/>
          <w:sz w:val="3"/>
        </w:rPr>
        <w:pict>
          <v:group style="width:289.5pt;height:1.5pt;mso-position-horizontal-relative:char;mso-position-vertical-relative:line" coordorigin="0,0" coordsize="5790,30">
            <v:line style="position:absolute" from="15,15" to="5775,15" stroked="true" strokeweight="1.5pt" strokecolor="#000000"/>
          </v:group>
        </w:pict>
      </w:r>
      <w:r>
        <w:rPr>
          <w:position w:val="0"/>
          <w:sz w:val="3"/>
        </w:rPr>
      </w:r>
    </w:p>
    <w:p>
      <w:pPr>
        <w:pStyle w:val="BodyText"/>
        <w:rPr>
          <w:sz w:val="20"/>
        </w:rPr>
      </w:pPr>
    </w:p>
    <w:p>
      <w:pPr>
        <w:pStyle w:val="BodyText"/>
        <w:rPr>
          <w:sz w:val="20"/>
        </w:rPr>
      </w:pPr>
    </w:p>
    <w:p>
      <w:pPr>
        <w:pStyle w:val="BodyText"/>
        <w:spacing w:before="1"/>
        <w:rPr>
          <w:sz w:val="29"/>
        </w:rPr>
      </w:pPr>
    </w:p>
    <w:p>
      <w:pPr>
        <w:pStyle w:val="Heading2"/>
        <w:spacing w:before="69"/>
        <w:ind w:left="1850" w:right="604"/>
        <w:jc w:val="left"/>
      </w:pPr>
      <w:r>
        <w:rPr/>
        <w:drawing>
          <wp:anchor distT="0" distB="0" distL="0" distR="0" allowOverlap="1" layoutInCell="1" locked="0" behindDoc="0" simplePos="0" relativeHeight="1072">
            <wp:simplePos x="0" y="0"/>
            <wp:positionH relativeFrom="page">
              <wp:posOffset>1098803</wp:posOffset>
            </wp:positionH>
            <wp:positionV relativeFrom="paragraph">
              <wp:posOffset>-623402</wp:posOffset>
            </wp:positionV>
            <wp:extent cx="952499" cy="80924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52499" cy="809244"/>
                    </a:xfrm>
                    <a:prstGeom prst="rect">
                      <a:avLst/>
                    </a:prstGeom>
                  </pic:spPr>
                </pic:pic>
              </a:graphicData>
            </a:graphic>
          </wp:anchor>
        </w:drawing>
      </w:r>
      <w:r>
        <w:rPr/>
        <w:t>UNIVERSIDAD AUTÓNOMA DEL ESTADO DE MÉXICO</w:t>
      </w:r>
    </w:p>
    <w:p>
      <w:pPr>
        <w:pStyle w:val="BodyText"/>
        <w:rPr>
          <w:b/>
        </w:rPr>
      </w:pPr>
    </w:p>
    <w:p>
      <w:pPr>
        <w:spacing w:line="480" w:lineRule="auto" w:before="197"/>
        <w:ind w:left="2251" w:right="2486" w:hanging="2"/>
        <w:jc w:val="center"/>
        <w:rPr>
          <w:b/>
          <w:sz w:val="24"/>
        </w:rPr>
      </w:pPr>
      <w:r>
        <w:rPr/>
        <w:pict>
          <v:line style="position:absolute;mso-position-horizontal-relative:page;mso-position-vertical-relative:paragraph;z-index:1096" from="75.650002pt,3.453149pt" to="75.650002pt,464.703149pt" stroked="true" strokeweight="2pt" strokecolor="#000000">
            <w10:wrap type="none"/>
          </v:line>
        </w:pict>
      </w:r>
      <w:r>
        <w:rPr/>
        <w:pict>
          <v:line style="position:absolute;mso-position-horizontal-relative:page;mso-position-vertical-relative:paragraph;z-index:1120" from="83.150002pt,37.203148pt" to="83.150002pt,420.453148pt" stroked="true" strokeweight="1.5pt" strokecolor="#000000">
            <w10:wrap type="none"/>
          </v:line>
        </w:pict>
      </w:r>
      <w:r>
        <w:rPr>
          <w:b/>
          <w:sz w:val="24"/>
        </w:rPr>
        <w:t>DOCTORADO EN CIENCIAS AGROPECUARIAS Y RECURSOS NATURALES</w:t>
      </w:r>
    </w:p>
    <w:p>
      <w:pPr>
        <w:pStyle w:val="BodyText"/>
        <w:rPr>
          <w:b/>
        </w:rPr>
      </w:pPr>
    </w:p>
    <w:p>
      <w:pPr>
        <w:pStyle w:val="BodyText"/>
        <w:rPr>
          <w:b/>
        </w:rPr>
      </w:pPr>
    </w:p>
    <w:p>
      <w:pPr>
        <w:pStyle w:val="BodyText"/>
        <w:rPr>
          <w:b/>
        </w:rPr>
      </w:pPr>
    </w:p>
    <w:p>
      <w:pPr>
        <w:pStyle w:val="BodyText"/>
        <w:spacing w:before="1"/>
        <w:rPr>
          <w:b/>
          <w:sz w:val="25"/>
        </w:rPr>
      </w:pPr>
    </w:p>
    <w:p>
      <w:pPr>
        <w:spacing w:line="412" w:lineRule="auto" w:before="1"/>
        <w:ind w:left="1042" w:right="1277" w:firstLine="0"/>
        <w:jc w:val="center"/>
        <w:rPr>
          <w:b/>
          <w:sz w:val="24"/>
        </w:rPr>
      </w:pPr>
      <w:r>
        <w:rPr>
          <w:b/>
          <w:sz w:val="24"/>
        </w:rPr>
        <w:t>ANÁLISIS DE LA DIVERSIDAD GENÉTICA EN HABAS (</w:t>
      </w:r>
      <w:r>
        <w:rPr>
          <w:b/>
          <w:i/>
          <w:sz w:val="24"/>
        </w:rPr>
        <w:t>Vicia faba </w:t>
      </w:r>
      <w:r>
        <w:rPr>
          <w:b/>
          <w:sz w:val="24"/>
        </w:rPr>
        <w:t>L.) COLECTADAS EN EL VALLE TOLUCA-ATLACOMULCO, MÉXICO.</w:t>
      </w:r>
    </w:p>
    <w:p>
      <w:pPr>
        <w:pStyle w:val="BodyText"/>
        <w:rPr>
          <w:b/>
        </w:rPr>
      </w:pPr>
    </w:p>
    <w:p>
      <w:pPr>
        <w:pStyle w:val="BodyText"/>
        <w:rPr>
          <w:b/>
        </w:rPr>
      </w:pPr>
    </w:p>
    <w:p>
      <w:pPr>
        <w:spacing w:before="209"/>
        <w:ind w:left="1043" w:right="1275" w:firstLine="0"/>
        <w:jc w:val="center"/>
        <w:rPr>
          <w:b/>
          <w:sz w:val="24"/>
        </w:rPr>
      </w:pPr>
      <w:r>
        <w:rPr>
          <w:b/>
          <w:sz w:val="24"/>
        </w:rPr>
        <w:t>T E S I S</w:t>
      </w:r>
    </w:p>
    <w:p>
      <w:pPr>
        <w:pStyle w:val="BodyText"/>
        <w:rPr>
          <w:b/>
        </w:rPr>
      </w:pPr>
    </w:p>
    <w:p>
      <w:pPr>
        <w:pStyle w:val="BodyText"/>
        <w:rPr>
          <w:b/>
        </w:rPr>
      </w:pPr>
    </w:p>
    <w:p>
      <w:pPr>
        <w:pStyle w:val="BodyText"/>
        <w:rPr>
          <w:b/>
        </w:rPr>
      </w:pPr>
    </w:p>
    <w:p>
      <w:pPr>
        <w:pStyle w:val="BodyText"/>
        <w:spacing w:before="10"/>
        <w:rPr>
          <w:b/>
          <w:sz w:val="34"/>
        </w:rPr>
      </w:pPr>
    </w:p>
    <w:p>
      <w:pPr>
        <w:spacing w:line="412" w:lineRule="auto" w:before="0"/>
        <w:ind w:left="1632" w:right="1872" w:firstLine="4"/>
        <w:jc w:val="center"/>
        <w:rPr>
          <w:b/>
          <w:sz w:val="24"/>
        </w:rPr>
      </w:pPr>
      <w:r>
        <w:rPr>
          <w:b/>
          <w:sz w:val="24"/>
        </w:rPr>
        <w:t>QUE PARA OBTENER EL GRADO DE DOCTOR EN CIENCIAS AGROPECUARIAS Y RECURSOS NATURALES</w:t>
      </w:r>
    </w:p>
    <w:p>
      <w:pPr>
        <w:pStyle w:val="BodyText"/>
        <w:rPr>
          <w:b/>
        </w:rPr>
      </w:pPr>
    </w:p>
    <w:p>
      <w:pPr>
        <w:pStyle w:val="BodyText"/>
        <w:rPr>
          <w:b/>
        </w:rPr>
      </w:pPr>
    </w:p>
    <w:p>
      <w:pPr>
        <w:spacing w:before="209"/>
        <w:ind w:left="1040" w:right="1277" w:firstLine="0"/>
        <w:jc w:val="center"/>
        <w:rPr>
          <w:b/>
          <w:sz w:val="24"/>
        </w:rPr>
      </w:pPr>
      <w:r>
        <w:rPr>
          <w:b/>
          <w:sz w:val="24"/>
        </w:rPr>
        <w:t>PRESENTA:</w:t>
      </w:r>
    </w:p>
    <w:p>
      <w:pPr>
        <w:pStyle w:val="BodyText"/>
        <w:rPr>
          <w:b/>
        </w:rPr>
      </w:pPr>
    </w:p>
    <w:p>
      <w:pPr>
        <w:spacing w:before="199"/>
        <w:ind w:left="1043" w:right="1276" w:firstLine="0"/>
        <w:jc w:val="center"/>
        <w:rPr>
          <w:b/>
          <w:sz w:val="24"/>
        </w:rPr>
      </w:pPr>
      <w:r>
        <w:rPr>
          <w:b/>
          <w:sz w:val="24"/>
        </w:rPr>
        <w:t>MARÍA ELENA SALAZAR LAURELES</w:t>
      </w:r>
    </w:p>
    <w:p>
      <w:pPr>
        <w:pStyle w:val="BodyText"/>
        <w:rPr>
          <w:b/>
        </w:rPr>
      </w:pPr>
    </w:p>
    <w:p>
      <w:pPr>
        <w:pStyle w:val="BodyText"/>
        <w:rPr>
          <w:b/>
        </w:rPr>
      </w:pPr>
    </w:p>
    <w:p>
      <w:pPr>
        <w:pStyle w:val="BodyText"/>
        <w:rPr>
          <w:b/>
        </w:rPr>
      </w:pPr>
    </w:p>
    <w:p>
      <w:pPr>
        <w:pStyle w:val="BodyText"/>
        <w:spacing w:before="8"/>
        <w:rPr>
          <w:b/>
          <w:sz w:val="34"/>
        </w:rPr>
      </w:pPr>
    </w:p>
    <w:p>
      <w:pPr>
        <w:spacing w:before="0"/>
        <w:ind w:left="1043" w:right="1277" w:firstLine="0"/>
        <w:jc w:val="center"/>
        <w:rPr>
          <w:b/>
          <w:sz w:val="24"/>
        </w:rPr>
      </w:pPr>
      <w:r>
        <w:rPr>
          <w:b/>
          <w:sz w:val="24"/>
        </w:rPr>
        <w:t>El Cerrillo Piedras Blancas, Toluca, Estado de México, Diciembre de 2014.</w:t>
      </w:r>
    </w:p>
    <w:p>
      <w:pPr>
        <w:spacing w:after="0"/>
        <w:jc w:val="center"/>
        <w:rPr>
          <w:sz w:val="24"/>
        </w:rPr>
        <w:sectPr>
          <w:type w:val="continuous"/>
          <w:pgSz w:w="12240" w:h="15840"/>
          <w:pgMar w:top="1420" w:bottom="280" w:left="1380" w:right="860"/>
        </w:sectPr>
      </w:pPr>
    </w:p>
    <w:p>
      <w:pPr>
        <w:pStyle w:val="BodyText"/>
        <w:spacing w:before="8"/>
        <w:rPr>
          <w:b/>
          <w:sz w:val="11"/>
        </w:rPr>
      </w:pPr>
    </w:p>
    <w:p>
      <w:pPr>
        <w:pStyle w:val="BodyText"/>
        <w:spacing w:line="40" w:lineRule="exact"/>
        <w:ind w:left="2738"/>
        <w:rPr>
          <w:sz w:val="4"/>
        </w:rPr>
      </w:pPr>
      <w:r>
        <w:rPr>
          <w:position w:val="0"/>
          <w:sz w:val="4"/>
        </w:rPr>
        <w:pict>
          <v:group style="width:353.75pt;height:2pt;mso-position-horizontal-relative:char;mso-position-vertical-relative:line" coordorigin="0,0" coordsize="7075,40">
            <v:line style="position:absolute" from="20,20" to="7055,20" stroked="true" strokeweight="2pt" strokecolor="#000000"/>
          </v:group>
        </w:pict>
      </w:r>
      <w:r>
        <w:rPr>
          <w:position w:val="0"/>
          <w:sz w:val="4"/>
        </w:rPr>
      </w:r>
    </w:p>
    <w:p>
      <w:pPr>
        <w:pStyle w:val="BodyText"/>
        <w:spacing w:before="2"/>
        <w:rPr>
          <w:b/>
          <w:sz w:val="9"/>
        </w:rPr>
      </w:pPr>
      <w:r>
        <w:rPr/>
        <w:pict>
          <v:line style="position:absolute;mso-position-horizontal-relative:page;mso-position-vertical-relative:paragraph;z-index:1168;mso-wrap-distance-left:0;mso-wrap-distance-right:0" from="239.899994pt,8pt" to="527.899994pt,8pt" stroked="true" strokeweight="1.5pt" strokecolor="#000000">
            <w10:wrap type="topAndBottom"/>
          </v:line>
        </w:pict>
      </w:r>
    </w:p>
    <w:p>
      <w:pPr>
        <w:pStyle w:val="BodyText"/>
        <w:rPr>
          <w:b/>
          <w:sz w:val="20"/>
        </w:rPr>
      </w:pPr>
    </w:p>
    <w:p>
      <w:pPr>
        <w:pStyle w:val="BodyText"/>
        <w:rPr>
          <w:b/>
          <w:sz w:val="20"/>
        </w:rPr>
      </w:pPr>
    </w:p>
    <w:p>
      <w:pPr>
        <w:spacing w:before="210"/>
        <w:ind w:left="1850" w:right="0" w:firstLine="0"/>
        <w:jc w:val="left"/>
        <w:rPr>
          <w:b/>
          <w:sz w:val="24"/>
        </w:rPr>
      </w:pPr>
      <w:r>
        <w:rPr/>
        <w:drawing>
          <wp:anchor distT="0" distB="0" distL="0" distR="0" allowOverlap="1" layoutInCell="1" locked="0" behindDoc="0" simplePos="0" relativeHeight="1192">
            <wp:simplePos x="0" y="0"/>
            <wp:positionH relativeFrom="page">
              <wp:posOffset>1098803</wp:posOffset>
            </wp:positionH>
            <wp:positionV relativeFrom="paragraph">
              <wp:posOffset>-533867</wp:posOffset>
            </wp:positionV>
            <wp:extent cx="952499" cy="809244"/>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5" cstate="print"/>
                    <a:stretch>
                      <a:fillRect/>
                    </a:stretch>
                  </pic:blipFill>
                  <pic:spPr>
                    <a:xfrm>
                      <a:off x="0" y="0"/>
                      <a:ext cx="952499" cy="809244"/>
                    </a:xfrm>
                    <a:prstGeom prst="rect">
                      <a:avLst/>
                    </a:prstGeom>
                  </pic:spPr>
                </pic:pic>
              </a:graphicData>
            </a:graphic>
          </wp:anchor>
        </w:drawing>
      </w:r>
      <w:r>
        <w:rPr>
          <w:b/>
          <w:sz w:val="24"/>
        </w:rPr>
        <w:t>UNIVERSIDAD AUTÓNOMA DEL ESTADO DE MÉXICO</w:t>
      </w:r>
    </w:p>
    <w:p>
      <w:pPr>
        <w:pStyle w:val="BodyText"/>
        <w:rPr>
          <w:b/>
        </w:rPr>
      </w:pPr>
    </w:p>
    <w:p>
      <w:pPr>
        <w:spacing w:line="360" w:lineRule="auto" w:before="199"/>
        <w:ind w:left="2251" w:right="2404" w:hanging="4"/>
        <w:jc w:val="center"/>
        <w:rPr>
          <w:b/>
          <w:sz w:val="24"/>
        </w:rPr>
      </w:pPr>
      <w:r>
        <w:rPr/>
        <w:pict>
          <v:line style="position:absolute;mso-position-horizontal-relative:page;mso-position-vertical-relative:paragraph;z-index:1216" from="75.650002pt,1.183154pt" to="75.700002pt,532.183154pt" stroked="true" strokeweight="2pt" strokecolor="#000000">
            <w10:wrap type="none"/>
          </v:line>
        </w:pict>
      </w:r>
      <w:r>
        <w:rPr/>
        <w:pict>
          <v:line style="position:absolute;mso-position-horizontal-relative:page;mso-position-vertical-relative:paragraph;z-index:1240" from="81.5pt,49.183155pt" to="81.55pt,479.683155pt" stroked="true" strokeweight="1.5pt" strokecolor="#000000">
            <w10:wrap type="none"/>
          </v:line>
        </w:pict>
      </w:r>
      <w:r>
        <w:rPr>
          <w:b/>
          <w:sz w:val="24"/>
        </w:rPr>
        <w:t>DOCTORADO EN CIENCIAS AGROPECUARIAS Y RECURSOS NATURALES</w:t>
      </w:r>
    </w:p>
    <w:p>
      <w:pPr>
        <w:pStyle w:val="BodyText"/>
        <w:rPr>
          <w:b/>
        </w:rPr>
      </w:pPr>
    </w:p>
    <w:p>
      <w:pPr>
        <w:pStyle w:val="BodyText"/>
        <w:rPr>
          <w:b/>
        </w:rPr>
      </w:pPr>
    </w:p>
    <w:p>
      <w:pPr>
        <w:pStyle w:val="BodyText"/>
        <w:rPr>
          <w:b/>
        </w:rPr>
      </w:pPr>
    </w:p>
    <w:p>
      <w:pPr>
        <w:pStyle w:val="BodyText"/>
        <w:spacing w:before="2"/>
        <w:rPr>
          <w:b/>
        </w:rPr>
      </w:pPr>
    </w:p>
    <w:p>
      <w:pPr>
        <w:spacing w:before="0"/>
        <w:ind w:left="1042" w:right="1197" w:firstLine="0"/>
        <w:jc w:val="center"/>
        <w:rPr>
          <w:b/>
          <w:sz w:val="24"/>
        </w:rPr>
      </w:pPr>
      <w:r>
        <w:rPr>
          <w:b/>
          <w:sz w:val="24"/>
        </w:rPr>
        <w:t>ANÁLISIS DE LA DIVERSIDAD GENÉTICA EN HABAS (</w:t>
      </w:r>
      <w:r>
        <w:rPr>
          <w:b/>
          <w:i/>
          <w:sz w:val="24"/>
        </w:rPr>
        <w:t>Vicia faba </w:t>
      </w:r>
      <w:r>
        <w:rPr>
          <w:b/>
          <w:sz w:val="24"/>
        </w:rPr>
        <w:t>L.) COLECTADAS EN EL VALLE TOLUCA-ATLACOMULCO, MÉXICO.</w:t>
      </w:r>
    </w:p>
    <w:p>
      <w:pPr>
        <w:pStyle w:val="BodyText"/>
        <w:rPr>
          <w:b/>
        </w:rPr>
      </w:pPr>
    </w:p>
    <w:p>
      <w:pPr>
        <w:pStyle w:val="BodyText"/>
        <w:rPr>
          <w:b/>
        </w:rPr>
      </w:pPr>
    </w:p>
    <w:p>
      <w:pPr>
        <w:spacing w:before="201"/>
        <w:ind w:left="1042" w:right="1194" w:firstLine="0"/>
        <w:jc w:val="center"/>
        <w:rPr>
          <w:b/>
          <w:sz w:val="24"/>
        </w:rPr>
      </w:pPr>
      <w:r>
        <w:rPr>
          <w:b/>
          <w:sz w:val="24"/>
        </w:rPr>
        <w:t>T E S I S</w:t>
      </w:r>
    </w:p>
    <w:p>
      <w:pPr>
        <w:pStyle w:val="BodyText"/>
        <w:rPr>
          <w:b/>
        </w:rPr>
      </w:pPr>
    </w:p>
    <w:p>
      <w:pPr>
        <w:spacing w:before="199"/>
        <w:ind w:left="1038" w:right="1197" w:firstLine="0"/>
        <w:jc w:val="center"/>
        <w:rPr>
          <w:b/>
          <w:sz w:val="24"/>
        </w:rPr>
      </w:pPr>
      <w:r>
        <w:rPr>
          <w:b/>
          <w:sz w:val="24"/>
        </w:rPr>
        <w:t>QUE PARA OBTENER EL GRADO DE DOCTOR EN CIENCIAS AGROPECUARIAS Y RECURSOS NATURALES</w:t>
      </w:r>
    </w:p>
    <w:p>
      <w:pPr>
        <w:pStyle w:val="BodyText"/>
        <w:rPr>
          <w:b/>
        </w:rPr>
      </w:pPr>
    </w:p>
    <w:p>
      <w:pPr>
        <w:pStyle w:val="BodyText"/>
        <w:rPr>
          <w:b/>
        </w:rPr>
      </w:pPr>
    </w:p>
    <w:p>
      <w:pPr>
        <w:spacing w:before="202"/>
        <w:ind w:left="1040" w:right="1197" w:firstLine="0"/>
        <w:jc w:val="center"/>
        <w:rPr>
          <w:b/>
          <w:sz w:val="24"/>
        </w:rPr>
      </w:pPr>
      <w:r>
        <w:rPr>
          <w:b/>
          <w:sz w:val="24"/>
        </w:rPr>
        <w:t>PRESENTA:</w:t>
      </w:r>
    </w:p>
    <w:p>
      <w:pPr>
        <w:pStyle w:val="BodyText"/>
        <w:rPr>
          <w:b/>
        </w:rPr>
      </w:pPr>
    </w:p>
    <w:p>
      <w:pPr>
        <w:spacing w:before="199"/>
        <w:ind w:left="1042" w:right="1194" w:firstLine="0"/>
        <w:jc w:val="center"/>
        <w:rPr>
          <w:b/>
          <w:sz w:val="24"/>
        </w:rPr>
      </w:pPr>
      <w:r>
        <w:rPr>
          <w:b/>
          <w:sz w:val="24"/>
        </w:rPr>
        <w:t>MARÍA ELENA SALAZAR LAURELES</w:t>
      </w:r>
    </w:p>
    <w:p>
      <w:pPr>
        <w:pStyle w:val="BodyText"/>
        <w:rPr>
          <w:b/>
        </w:rPr>
      </w:pPr>
    </w:p>
    <w:p>
      <w:pPr>
        <w:pStyle w:val="BodyText"/>
        <w:rPr>
          <w:b/>
        </w:rPr>
      </w:pPr>
    </w:p>
    <w:p>
      <w:pPr>
        <w:pStyle w:val="BodyText"/>
        <w:rPr>
          <w:b/>
        </w:rPr>
      </w:pPr>
    </w:p>
    <w:p>
      <w:pPr>
        <w:pStyle w:val="BodyText"/>
        <w:spacing w:before="9"/>
        <w:rPr>
          <w:b/>
          <w:sz w:val="34"/>
        </w:rPr>
      </w:pPr>
    </w:p>
    <w:p>
      <w:pPr>
        <w:spacing w:before="1"/>
        <w:ind w:left="1042" w:right="1197" w:firstLine="0"/>
        <w:jc w:val="center"/>
        <w:rPr>
          <w:b/>
          <w:sz w:val="24"/>
        </w:rPr>
      </w:pPr>
      <w:r>
        <w:rPr>
          <w:b/>
          <w:sz w:val="24"/>
        </w:rPr>
        <w:t>COMITÉ DE TUTORES:</w:t>
      </w:r>
    </w:p>
    <w:p>
      <w:pPr>
        <w:pStyle w:val="BodyText"/>
        <w:rPr>
          <w:b/>
        </w:rPr>
      </w:pPr>
    </w:p>
    <w:p>
      <w:pPr>
        <w:spacing w:line="412" w:lineRule="auto" w:before="199"/>
        <w:ind w:left="2156" w:right="2317" w:firstLine="0"/>
        <w:jc w:val="center"/>
        <w:rPr>
          <w:b/>
          <w:sz w:val="24"/>
        </w:rPr>
      </w:pPr>
      <w:r>
        <w:rPr>
          <w:b/>
          <w:sz w:val="24"/>
        </w:rPr>
        <w:t>Dra. Delfina de Jesús Pérez López. Tutor Académico Dr. Andrés González Huerta. Tutor Adjunto</w:t>
      </w:r>
    </w:p>
    <w:p>
      <w:pPr>
        <w:spacing w:before="10"/>
        <w:ind w:left="1042" w:right="1197" w:firstLine="0"/>
        <w:jc w:val="center"/>
        <w:rPr>
          <w:b/>
          <w:sz w:val="24"/>
        </w:rPr>
      </w:pPr>
      <w:r>
        <w:rPr>
          <w:b/>
          <w:sz w:val="24"/>
        </w:rPr>
        <w:t>Dr. Luis Miguel Vázquez García. Tutor Adjunto</w:t>
      </w:r>
    </w:p>
    <w:p>
      <w:pPr>
        <w:pStyle w:val="BodyText"/>
        <w:rPr>
          <w:b/>
        </w:rPr>
      </w:pPr>
    </w:p>
    <w:p>
      <w:pPr>
        <w:pStyle w:val="BodyText"/>
        <w:rPr>
          <w:b/>
        </w:rPr>
      </w:pPr>
    </w:p>
    <w:p>
      <w:pPr>
        <w:pStyle w:val="BodyText"/>
        <w:spacing w:before="7"/>
        <w:rPr>
          <w:b/>
          <w:sz w:val="34"/>
        </w:rPr>
      </w:pPr>
    </w:p>
    <w:p>
      <w:pPr>
        <w:spacing w:before="0"/>
        <w:ind w:left="1042" w:right="1197" w:firstLine="0"/>
        <w:jc w:val="center"/>
        <w:rPr>
          <w:b/>
          <w:sz w:val="24"/>
        </w:rPr>
      </w:pPr>
      <w:r>
        <w:rPr>
          <w:b/>
          <w:sz w:val="24"/>
        </w:rPr>
        <w:t>El Cerrillo Piedras Blancas, Toluca, Estado de México, Diciembre de 2014.</w:t>
      </w:r>
    </w:p>
    <w:p>
      <w:pPr>
        <w:spacing w:after="0"/>
        <w:jc w:val="center"/>
        <w:rPr>
          <w:sz w:val="24"/>
        </w:rPr>
        <w:sectPr>
          <w:pgSz w:w="12240" w:h="15840"/>
          <w:pgMar w:top="1420" w:bottom="280" w:left="1380" w:right="940"/>
        </w:sectPr>
      </w:pPr>
    </w:p>
    <w:p>
      <w:pPr>
        <w:spacing w:line="480" w:lineRule="auto" w:before="55"/>
        <w:ind w:left="838" w:right="833" w:firstLine="0"/>
        <w:jc w:val="center"/>
        <w:rPr>
          <w:b/>
          <w:sz w:val="24"/>
        </w:rPr>
      </w:pPr>
      <w:r>
        <w:rPr>
          <w:b/>
          <w:sz w:val="24"/>
        </w:rPr>
        <w:t>ANÁLISIS DE LA DIVERSIDAD GENÉTICA EN HABAS (</w:t>
      </w:r>
      <w:r>
        <w:rPr>
          <w:b/>
          <w:i/>
          <w:sz w:val="24"/>
        </w:rPr>
        <w:t>Vicia faba </w:t>
      </w:r>
      <w:r>
        <w:rPr>
          <w:b/>
          <w:sz w:val="24"/>
        </w:rPr>
        <w:t>L.) COLECTADAS EN EL VALLE TOLUCA-ATLACOMULCO, MÉXICO</w:t>
      </w:r>
    </w:p>
    <w:p>
      <w:pPr>
        <w:pStyle w:val="BodyText"/>
        <w:rPr>
          <w:b/>
        </w:rPr>
      </w:pPr>
    </w:p>
    <w:p>
      <w:pPr>
        <w:pStyle w:val="BodyText"/>
        <w:spacing w:before="5"/>
        <w:rPr>
          <w:b/>
        </w:rPr>
      </w:pPr>
    </w:p>
    <w:p>
      <w:pPr>
        <w:pStyle w:val="BodyText"/>
        <w:ind w:left="102" w:right="98"/>
        <w:jc w:val="both"/>
      </w:pPr>
      <w:r>
        <w:rPr/>
        <w:t>Esta tesis fue realizada por la M. en C. María Elena Salazar Laureles, bajo la dirección del Comité Tutorial que se indica y ha sido aprobada por el mismo y aceptada como requisito parcial para obtener el grado de:</w:t>
      </w:r>
    </w:p>
    <w:p>
      <w:pPr>
        <w:pStyle w:val="BodyText"/>
      </w:pPr>
    </w:p>
    <w:p>
      <w:pPr>
        <w:pStyle w:val="BodyText"/>
        <w:spacing w:before="7"/>
      </w:pPr>
    </w:p>
    <w:p>
      <w:pPr>
        <w:pStyle w:val="Heading2"/>
        <w:spacing w:line="276" w:lineRule="auto" w:before="0"/>
        <w:ind w:left="2230" w:right="2227"/>
        <w:jc w:val="center"/>
      </w:pPr>
      <w:r>
        <w:rPr/>
        <w:t>DOCTOR EN CIENCIAS AGROPECUARIAS Y RECURSOS NATURALES</w:t>
      </w:r>
    </w:p>
    <w:p>
      <w:pPr>
        <w:pStyle w:val="BodyText"/>
        <w:rPr>
          <w:b/>
        </w:rPr>
      </w:pPr>
    </w:p>
    <w:p>
      <w:pPr>
        <w:pStyle w:val="BodyText"/>
        <w:spacing w:before="5"/>
        <w:rPr>
          <w:b/>
          <w:sz w:val="23"/>
        </w:rPr>
      </w:pPr>
    </w:p>
    <w:p>
      <w:pPr>
        <w:pStyle w:val="BodyText"/>
        <w:spacing w:before="1"/>
        <w:ind w:left="837" w:right="833"/>
        <w:jc w:val="center"/>
      </w:pPr>
      <w:r>
        <w:rPr/>
        <w:t>COMITÉ TUTORIAL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1264;mso-wrap-distance-left:0;mso-wrap-distance-right:0" from="262.399994pt,17.058197pt" to="484.399994pt,17.058197pt" stroked="true" strokeweight=".75pt" strokecolor="#000000">
            <w10:wrap type="topAndBottom"/>
          </v:line>
        </w:pict>
      </w:r>
    </w:p>
    <w:p>
      <w:pPr>
        <w:pStyle w:val="BodyText"/>
        <w:tabs>
          <w:tab w:pos="3642" w:val="left" w:leader="none"/>
        </w:tabs>
        <w:spacing w:before="82"/>
        <w:ind w:left="102"/>
        <w:jc w:val="both"/>
      </w:pPr>
      <w:r>
        <w:rPr/>
        <w:t>TUTOR</w:t>
      </w:r>
      <w:r>
        <w:rPr>
          <w:spacing w:val="-2"/>
        </w:rPr>
        <w:t> </w:t>
      </w:r>
      <w:r>
        <w:rPr/>
        <w:t>ACADÉMICO:</w:t>
        <w:tab/>
        <w:t>DRA. DELFINA DE JESÚS PÉREZ</w:t>
      </w:r>
      <w:r>
        <w:rPr>
          <w:spacing w:val="-9"/>
        </w:rPr>
        <w:t> </w:t>
      </w:r>
      <w:r>
        <w:rPr/>
        <w:t>LÓPEZ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1288;mso-wrap-distance-left:0;mso-wrap-distance-right:0" from="262.399994pt,16.758209pt" to="484.399994pt,16.758209pt" stroked="true" strokeweight=".75pt" strokecolor="#000000">
            <w10:wrap type="topAndBottom"/>
          </v:line>
        </w:pict>
      </w:r>
    </w:p>
    <w:p>
      <w:pPr>
        <w:pStyle w:val="BodyText"/>
        <w:tabs>
          <w:tab w:pos="3642" w:val="left" w:leader="none"/>
        </w:tabs>
        <w:spacing w:before="89"/>
        <w:ind w:left="102"/>
        <w:jc w:val="both"/>
      </w:pPr>
      <w:r>
        <w:rPr/>
        <w:t>TUTOR</w:t>
      </w:r>
      <w:r>
        <w:rPr>
          <w:spacing w:val="-1"/>
        </w:rPr>
        <w:t> </w:t>
      </w:r>
      <w:r>
        <w:rPr/>
        <w:t>ADJUNTO:</w:t>
        <w:tab/>
        <w:t>DR. ANDRÉS GONZÁLEZ</w:t>
      </w:r>
      <w:r>
        <w:rPr>
          <w:spacing w:val="-9"/>
        </w:rPr>
        <w:t> </w:t>
      </w:r>
      <w:r>
        <w:rPr/>
        <w:t>HUERTA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312;mso-wrap-distance-left:0;mso-wrap-distance-right:0" from="262.399994pt,17.188202pt" to="484.399994pt,17.188202pt" stroked="true" strokeweight=".75pt" strokecolor="#000000">
            <w10:wrap type="topAndBottom"/>
          </v:line>
        </w:pict>
      </w:r>
    </w:p>
    <w:p>
      <w:pPr>
        <w:pStyle w:val="BodyText"/>
        <w:tabs>
          <w:tab w:pos="3642" w:val="left" w:leader="none"/>
        </w:tabs>
        <w:spacing w:before="80"/>
        <w:ind w:left="102"/>
        <w:jc w:val="both"/>
      </w:pPr>
      <w:r>
        <w:rPr/>
        <w:t>TUTOR</w:t>
      </w:r>
      <w:r>
        <w:rPr>
          <w:spacing w:val="-1"/>
        </w:rPr>
        <w:t> </w:t>
      </w:r>
      <w:r>
        <w:rPr/>
        <w:t>ADJUNTO:</w:t>
        <w:tab/>
        <w:t>DR. LUIS MIGUEL VÁZQUEZ</w:t>
      </w:r>
      <w:r>
        <w:rPr>
          <w:spacing w:val="-15"/>
        </w:rPr>
        <w:t> </w:t>
      </w:r>
      <w:r>
        <w:rPr/>
        <w:t>GARCÍA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ind w:left="2889"/>
      </w:pPr>
      <w:r>
        <w:rPr/>
        <w:t>El Cerrillo Piedras Blancas, Toluca, México, Diciembre del 2014.</w:t>
      </w:r>
    </w:p>
    <w:p>
      <w:pPr>
        <w:spacing w:after="0"/>
        <w:sectPr>
          <w:pgSz w:w="12240" w:h="15840"/>
          <w:pgMar w:top="1360" w:bottom="280" w:left="1600" w:right="1320"/>
        </w:sectPr>
      </w:pPr>
    </w:p>
    <w:p>
      <w:pPr>
        <w:pStyle w:val="Heading2"/>
        <w:ind w:right="118"/>
        <w:jc w:val="center"/>
      </w:pPr>
      <w:r>
        <w:rPr/>
        <w:t>AGRADECIMIENTOS</w:t>
      </w:r>
    </w:p>
    <w:p>
      <w:pPr>
        <w:pStyle w:val="BodyText"/>
        <w:rPr>
          <w:b/>
        </w:rPr>
      </w:pPr>
    </w:p>
    <w:p>
      <w:pPr>
        <w:pStyle w:val="BodyText"/>
        <w:spacing w:before="192"/>
        <w:ind w:left="102" w:right="116"/>
        <w:jc w:val="both"/>
      </w:pPr>
      <w:r>
        <w:rPr/>
        <w:t>Al Consejo Nacional de Ciencia y Tecnología (CONACyT) por su valioso apoyo a través del otorgamiento de la beca económica para la realización de los estudios de doctorado y la beca de Movilidad para Estudios Avanzados a efecto de realizar una estancia en la Universidad Autónoma Chapingo.</w:t>
      </w:r>
    </w:p>
    <w:p>
      <w:pPr>
        <w:pStyle w:val="BodyText"/>
      </w:pPr>
    </w:p>
    <w:p>
      <w:pPr>
        <w:pStyle w:val="BodyText"/>
        <w:spacing w:before="7"/>
        <w:rPr>
          <w:sz w:val="34"/>
        </w:rPr>
      </w:pPr>
    </w:p>
    <w:p>
      <w:pPr>
        <w:pStyle w:val="BodyText"/>
        <w:spacing w:line="242" w:lineRule="auto"/>
        <w:ind w:left="102" w:right="120"/>
        <w:jc w:val="both"/>
      </w:pPr>
      <w:r>
        <w:rPr/>
        <w:t>A la Universidad Autónoma del Estado de México (UAEM) por el apoyo a través de las becas de escolaridad otorgadas durante todos los semestres del programa doctoral.</w:t>
      </w:r>
    </w:p>
    <w:p>
      <w:pPr>
        <w:pStyle w:val="BodyText"/>
      </w:pPr>
    </w:p>
    <w:p>
      <w:pPr>
        <w:pStyle w:val="BodyText"/>
        <w:spacing w:before="3"/>
        <w:rPr>
          <w:sz w:val="34"/>
        </w:rPr>
      </w:pPr>
    </w:p>
    <w:p>
      <w:pPr>
        <w:pStyle w:val="BodyText"/>
        <w:ind w:left="102" w:right="123"/>
        <w:jc w:val="both"/>
      </w:pPr>
      <w:r>
        <w:rPr/>
        <w:t>Al consejo Mexiquense de Ciencia y Tecnología (COMECyT) por el apoyo con el otorgamiento de la Beca Tesis de Posgrado para culminar los trámites de titulación correspondientes.</w:t>
      </w:r>
    </w:p>
    <w:p>
      <w:pPr>
        <w:pStyle w:val="BodyText"/>
      </w:pPr>
    </w:p>
    <w:p>
      <w:pPr>
        <w:pStyle w:val="BodyText"/>
        <w:spacing w:before="7"/>
        <w:rPr>
          <w:sz w:val="34"/>
        </w:rPr>
      </w:pPr>
    </w:p>
    <w:p>
      <w:pPr>
        <w:pStyle w:val="BodyText"/>
        <w:spacing w:line="242" w:lineRule="auto"/>
        <w:ind w:left="102" w:right="118"/>
        <w:jc w:val="both"/>
      </w:pPr>
      <w:r>
        <w:rPr/>
        <w:t>A la Dra. Delfina de Jesús Pérez López, por depositar su confianza en mí, dirigir el trabajo de investigación y sobre todo por su amistad.</w:t>
      </w:r>
    </w:p>
    <w:p>
      <w:pPr>
        <w:pStyle w:val="BodyText"/>
      </w:pPr>
    </w:p>
    <w:p>
      <w:pPr>
        <w:pStyle w:val="BodyText"/>
        <w:spacing w:before="7"/>
        <w:rPr>
          <w:sz w:val="34"/>
        </w:rPr>
      </w:pPr>
    </w:p>
    <w:p>
      <w:pPr>
        <w:pStyle w:val="BodyText"/>
        <w:ind w:left="102"/>
        <w:jc w:val="both"/>
      </w:pPr>
      <w:r>
        <w:rPr/>
        <w:t>Al Dr. Andrés González Huerta,  por su confianza, apoyo y amistad, realmente lo valoro.</w:t>
      </w:r>
    </w:p>
    <w:p>
      <w:pPr>
        <w:pStyle w:val="BodyText"/>
      </w:pPr>
    </w:p>
    <w:p>
      <w:pPr>
        <w:pStyle w:val="BodyText"/>
        <w:spacing w:before="5"/>
        <w:rPr>
          <w:sz w:val="34"/>
        </w:rPr>
      </w:pPr>
    </w:p>
    <w:p>
      <w:pPr>
        <w:pStyle w:val="BodyText"/>
        <w:ind w:left="102" w:right="115"/>
        <w:jc w:val="both"/>
      </w:pPr>
      <w:r>
        <w:rPr/>
        <w:t>Al Dr. Luis Miguel Vázquez García, porque siempre confió en mí, me escuchó, me apoyó, me ayudó y me permitió conocer el gran ser humano que es, gracias por todo, le tengo en muy alta estima y respeto.</w:t>
      </w:r>
    </w:p>
    <w:p>
      <w:pPr>
        <w:pStyle w:val="BodyText"/>
      </w:pPr>
    </w:p>
    <w:p>
      <w:pPr>
        <w:pStyle w:val="BodyText"/>
        <w:spacing w:before="7"/>
        <w:rPr>
          <w:sz w:val="34"/>
        </w:rPr>
      </w:pPr>
    </w:p>
    <w:p>
      <w:pPr>
        <w:pStyle w:val="BodyText"/>
        <w:spacing w:line="242" w:lineRule="auto"/>
        <w:ind w:left="102" w:right="115"/>
        <w:jc w:val="both"/>
      </w:pPr>
      <w:r>
        <w:rPr/>
        <w:t>Al Dr. Juan Enrique Rodríguez Pérez, por las facilidades otorgadas para realización de los análisis moleculares en el Departamentode Fitotecnia de la Universidad Autónoma Chapingo.</w:t>
      </w:r>
    </w:p>
    <w:p>
      <w:pPr>
        <w:pStyle w:val="BodyText"/>
      </w:pPr>
    </w:p>
    <w:p>
      <w:pPr>
        <w:pStyle w:val="BodyText"/>
        <w:spacing w:before="4"/>
        <w:rPr>
          <w:sz w:val="34"/>
        </w:rPr>
      </w:pPr>
    </w:p>
    <w:p>
      <w:pPr>
        <w:pStyle w:val="BodyText"/>
        <w:spacing w:line="242" w:lineRule="auto" w:before="1"/>
        <w:ind w:left="102" w:right="116"/>
        <w:jc w:val="both"/>
      </w:pPr>
      <w:r>
        <w:rPr/>
        <w:t>Al M. en C. Ricardo Gaspar Hernández por su valiosa experiencia y apoyo aportados durante el trabajo de laboratorio en el Departamento de Fitotecnia de la Universidad Autónoma Chapingo.</w:t>
      </w:r>
    </w:p>
    <w:p>
      <w:pPr>
        <w:pStyle w:val="BodyText"/>
      </w:pPr>
    </w:p>
    <w:p>
      <w:pPr>
        <w:pStyle w:val="BodyText"/>
        <w:spacing w:before="2"/>
        <w:rPr>
          <w:sz w:val="34"/>
        </w:rPr>
      </w:pPr>
    </w:p>
    <w:p>
      <w:pPr>
        <w:pStyle w:val="BodyText"/>
        <w:spacing w:line="242" w:lineRule="auto"/>
        <w:ind w:left="102" w:right="117"/>
        <w:jc w:val="both"/>
      </w:pPr>
      <w:r>
        <w:rPr/>
        <w:t>Al Lic. en Geog. Benjamín Sanabria García por el apoyo técnico en la edición de las gráficas, figuras y mapas que aparecen en el presente trabajo.</w:t>
      </w:r>
    </w:p>
    <w:p>
      <w:pPr>
        <w:spacing w:after="0" w:line="242" w:lineRule="auto"/>
        <w:jc w:val="both"/>
        <w:sectPr>
          <w:pgSz w:w="12240" w:h="15840"/>
          <w:pgMar w:top="1360" w:bottom="280" w:left="1600" w:right="1300"/>
        </w:sectPr>
      </w:pPr>
    </w:p>
    <w:p>
      <w:pPr>
        <w:spacing w:before="57"/>
        <w:ind w:left="102" w:right="116" w:firstLine="0"/>
        <w:jc w:val="center"/>
        <w:rPr>
          <w:b/>
          <w:i/>
          <w:sz w:val="24"/>
        </w:rPr>
      </w:pPr>
      <w:r>
        <w:rPr>
          <w:b/>
          <w:i/>
          <w:sz w:val="24"/>
        </w:rPr>
        <w:t>DEDICATORIAS</w:t>
      </w:r>
    </w:p>
    <w:p>
      <w:pPr>
        <w:pStyle w:val="BodyText"/>
        <w:rPr>
          <w:b/>
          <w:i/>
        </w:rPr>
      </w:pPr>
    </w:p>
    <w:p>
      <w:pPr>
        <w:pStyle w:val="BodyText"/>
        <w:rPr>
          <w:b/>
          <w:i/>
          <w:sz w:val="34"/>
        </w:rPr>
      </w:pPr>
    </w:p>
    <w:p>
      <w:pPr>
        <w:pStyle w:val="BodyText"/>
        <w:spacing w:line="242" w:lineRule="auto"/>
        <w:ind w:left="102" w:right="115"/>
        <w:jc w:val="both"/>
      </w:pPr>
      <w:r>
        <w:rPr/>
        <w:t>A </w:t>
      </w:r>
      <w:r>
        <w:rPr>
          <w:b/>
        </w:rPr>
        <w:t>DIOS</w:t>
      </w:r>
      <w:r>
        <w:rPr/>
        <w:t>, mi padre, el más grande en sabiduría y conocimiento… todo lo que soy es por su amor</w:t>
      </w:r>
    </w:p>
    <w:p>
      <w:pPr>
        <w:pStyle w:val="BodyText"/>
      </w:pPr>
    </w:p>
    <w:p>
      <w:pPr>
        <w:pStyle w:val="BodyText"/>
        <w:spacing w:before="4"/>
        <w:rPr>
          <w:sz w:val="34"/>
        </w:rPr>
      </w:pPr>
    </w:p>
    <w:p>
      <w:pPr>
        <w:pStyle w:val="BodyText"/>
        <w:spacing w:line="242" w:lineRule="auto" w:before="1"/>
        <w:ind w:left="102" w:right="116"/>
        <w:jc w:val="both"/>
      </w:pPr>
      <w:r>
        <w:rPr/>
        <w:t>A mis hijas </w:t>
      </w:r>
      <w:r>
        <w:rPr>
          <w:b/>
          <w:i/>
        </w:rPr>
        <w:t>Sunmy, Ivana </w:t>
      </w:r>
      <w:r>
        <w:rPr/>
        <w:t>y </w:t>
      </w:r>
      <w:r>
        <w:rPr>
          <w:b/>
          <w:i/>
        </w:rPr>
        <w:t>Sakura</w:t>
      </w:r>
      <w:r>
        <w:rPr/>
        <w:t>, mi más bello tesoro, gracias hijas por amarme y apoyarme tanto en éste proyecto…..…..las amo!</w:t>
      </w:r>
    </w:p>
    <w:p>
      <w:pPr>
        <w:pStyle w:val="BodyText"/>
      </w:pPr>
    </w:p>
    <w:p>
      <w:pPr>
        <w:pStyle w:val="BodyText"/>
        <w:spacing w:before="7"/>
        <w:rPr>
          <w:sz w:val="34"/>
        </w:rPr>
      </w:pPr>
    </w:p>
    <w:p>
      <w:pPr>
        <w:pStyle w:val="BodyText"/>
        <w:ind w:left="102"/>
        <w:jc w:val="both"/>
      </w:pPr>
      <w:r>
        <w:rPr/>
        <w:t>A Benjamín por todos los momentos bellos e inolvidables</w:t>
      </w:r>
    </w:p>
    <w:p>
      <w:pPr>
        <w:pStyle w:val="BodyText"/>
      </w:pPr>
    </w:p>
    <w:p>
      <w:pPr>
        <w:pStyle w:val="BodyText"/>
        <w:spacing w:before="5"/>
        <w:rPr>
          <w:sz w:val="34"/>
        </w:rPr>
      </w:pPr>
    </w:p>
    <w:p>
      <w:pPr>
        <w:pStyle w:val="BodyText"/>
        <w:spacing w:line="242" w:lineRule="auto"/>
        <w:ind w:left="102" w:right="116"/>
        <w:jc w:val="both"/>
      </w:pPr>
      <w:r>
        <w:rPr/>
        <w:t>A mis padres, </w:t>
      </w:r>
      <w:r>
        <w:rPr>
          <w:i/>
        </w:rPr>
        <w:t>Martín </w:t>
      </w:r>
      <w:r>
        <w:rPr/>
        <w:t>y </w:t>
      </w:r>
      <w:r>
        <w:rPr>
          <w:i/>
        </w:rPr>
        <w:t>Esperanza</w:t>
      </w:r>
      <w:r>
        <w:rPr/>
        <w:t>, por su amor y valioso apoyo moral, gran parte de lo que soy es y será siempre gracias a Ustedes, los amo!</w:t>
      </w:r>
    </w:p>
    <w:p>
      <w:pPr>
        <w:pStyle w:val="BodyText"/>
      </w:pPr>
    </w:p>
    <w:p>
      <w:pPr>
        <w:pStyle w:val="BodyText"/>
        <w:spacing w:before="4"/>
        <w:rPr>
          <w:sz w:val="34"/>
        </w:rPr>
      </w:pPr>
    </w:p>
    <w:p>
      <w:pPr>
        <w:pStyle w:val="BodyText"/>
        <w:spacing w:line="242" w:lineRule="auto" w:before="1"/>
        <w:ind w:left="102" w:right="114"/>
        <w:jc w:val="both"/>
      </w:pPr>
      <w:r>
        <w:rPr/>
        <w:t>A mis hermanos, Flor, Guille, Jorge, Bernardo, Faus y Luis, por su apoyo, confianza y amor; ya que no ha habido necesidad de palabras para aprender tanto de Ustedes, los amo!</w:t>
      </w:r>
    </w:p>
    <w:p>
      <w:pPr>
        <w:pStyle w:val="BodyText"/>
      </w:pPr>
    </w:p>
    <w:p>
      <w:pPr>
        <w:pStyle w:val="BodyText"/>
        <w:spacing w:before="7"/>
        <w:rPr>
          <w:sz w:val="34"/>
        </w:rPr>
      </w:pPr>
    </w:p>
    <w:p>
      <w:pPr>
        <w:pStyle w:val="BodyText"/>
        <w:ind w:left="102"/>
        <w:jc w:val="both"/>
      </w:pPr>
      <w:r>
        <w:rPr/>
        <w:t>A mis suegros, Benjamín y Victoria, valoro mucho su cariño y apoyo, gracias</w:t>
      </w:r>
    </w:p>
    <w:p>
      <w:pPr>
        <w:pStyle w:val="BodyText"/>
      </w:pPr>
    </w:p>
    <w:p>
      <w:pPr>
        <w:pStyle w:val="BodyText"/>
        <w:spacing w:before="5"/>
        <w:rPr>
          <w:sz w:val="34"/>
        </w:rPr>
      </w:pPr>
    </w:p>
    <w:p>
      <w:pPr>
        <w:pStyle w:val="BodyText"/>
        <w:ind w:left="102" w:right="114"/>
        <w:jc w:val="both"/>
      </w:pPr>
      <w:r>
        <w:rPr/>
        <w:t>A mi gran amigo Dr. Carlos M. Arriaga Jordán, excelente universitario, creador del programa del que hoy dignamente egreso y piedra angular en la consolidación del ICAR; gracias por escucharme siempre.</w:t>
      </w:r>
    </w:p>
    <w:p>
      <w:pPr>
        <w:pStyle w:val="BodyText"/>
      </w:pPr>
    </w:p>
    <w:p>
      <w:pPr>
        <w:pStyle w:val="BodyText"/>
        <w:spacing w:before="9"/>
        <w:rPr>
          <w:sz w:val="34"/>
        </w:rPr>
      </w:pPr>
    </w:p>
    <w:p>
      <w:pPr>
        <w:pStyle w:val="BodyText"/>
        <w:spacing w:before="1"/>
        <w:ind w:left="102"/>
        <w:jc w:val="both"/>
      </w:pPr>
      <w:r>
        <w:rPr/>
        <w:t>A mi querido tío Roberto L.S., ejemplo familiar de superación, gracias por su caiño y apoyo</w:t>
      </w:r>
    </w:p>
    <w:p>
      <w:pPr>
        <w:pStyle w:val="BodyText"/>
      </w:pPr>
    </w:p>
    <w:p>
      <w:pPr>
        <w:pStyle w:val="BodyText"/>
        <w:spacing w:before="7"/>
        <w:rPr>
          <w:sz w:val="34"/>
        </w:rPr>
      </w:pPr>
    </w:p>
    <w:p>
      <w:pPr>
        <w:pStyle w:val="BodyText"/>
        <w:spacing w:line="242" w:lineRule="auto"/>
        <w:ind w:left="102" w:right="114"/>
        <w:jc w:val="both"/>
      </w:pPr>
      <w:r>
        <w:rPr/>
        <w:t>A mis entrañables amigos Estela A. R., Lupita T.C, Juanita J.M., Ixchel R.G., Laurita </w:t>
      </w:r>
      <w:r>
        <w:rPr>
          <w:spacing w:val="3"/>
        </w:rPr>
        <w:t>H. </w:t>
      </w:r>
      <w:r>
        <w:rPr/>
        <w:t>B., Verónica L.F., Neri O.C., Roberto G.G., Dr. Antonio L.C. y Mtro. Franco, quienes siempre han creído y confiado en mí, gracias por su valioso apoyo y sincera</w:t>
      </w:r>
      <w:r>
        <w:rPr>
          <w:spacing w:val="-8"/>
        </w:rPr>
        <w:t> </w:t>
      </w:r>
      <w:r>
        <w:rPr/>
        <w:t>amistad.</w:t>
      </w:r>
    </w:p>
    <w:p>
      <w:pPr>
        <w:spacing w:after="0" w:line="242" w:lineRule="auto"/>
        <w:jc w:val="both"/>
        <w:sectPr>
          <w:pgSz w:w="12240" w:h="15840"/>
          <w:pgMar w:top="1360" w:bottom="280" w:left="1600" w:right="13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996"/>
        <w:gridCol w:w="834"/>
      </w:tblGrid>
      <w:tr>
        <w:trPr>
          <w:trHeight w:val="258" w:hRule="exact"/>
        </w:trPr>
        <w:tc>
          <w:tcPr>
            <w:tcW w:w="8996" w:type="dxa"/>
          </w:tcPr>
          <w:p>
            <w:pPr>
              <w:pStyle w:val="TableParagraph"/>
              <w:spacing w:line="240" w:lineRule="exact"/>
              <w:ind w:left="4222" w:right="3254"/>
              <w:jc w:val="center"/>
              <w:rPr>
                <w:b/>
                <w:sz w:val="24"/>
              </w:rPr>
            </w:pPr>
            <w:r>
              <w:rPr>
                <w:b/>
                <w:sz w:val="24"/>
              </w:rPr>
              <w:t>CONTENIDO</w:t>
            </w:r>
          </w:p>
        </w:tc>
        <w:tc>
          <w:tcPr>
            <w:tcW w:w="834" w:type="dxa"/>
          </w:tcPr>
          <w:p>
            <w:pPr/>
          </w:p>
        </w:tc>
      </w:tr>
      <w:tr>
        <w:trPr>
          <w:trHeight w:val="274" w:hRule="exact"/>
        </w:trPr>
        <w:tc>
          <w:tcPr>
            <w:tcW w:w="8996" w:type="dxa"/>
          </w:tcPr>
          <w:p>
            <w:pPr/>
          </w:p>
        </w:tc>
        <w:tc>
          <w:tcPr>
            <w:tcW w:w="834" w:type="dxa"/>
          </w:tcPr>
          <w:p>
            <w:pPr>
              <w:pStyle w:val="TableParagraph"/>
              <w:spacing w:line="258" w:lineRule="exact"/>
              <w:ind w:left="109" w:right="178"/>
              <w:jc w:val="center"/>
              <w:rPr>
                <w:b/>
                <w:sz w:val="24"/>
              </w:rPr>
            </w:pPr>
            <w:r>
              <w:rPr>
                <w:b/>
                <w:sz w:val="24"/>
              </w:rPr>
              <w:t>PÁG</w:t>
            </w:r>
          </w:p>
        </w:tc>
      </w:tr>
      <w:tr>
        <w:trPr>
          <w:trHeight w:val="276" w:hRule="exact"/>
        </w:trPr>
        <w:tc>
          <w:tcPr>
            <w:tcW w:w="8996" w:type="dxa"/>
          </w:tcPr>
          <w:p>
            <w:pPr>
              <w:pStyle w:val="TableParagraph"/>
              <w:spacing w:line="260" w:lineRule="exact"/>
              <w:ind w:left="200"/>
              <w:rPr>
                <w:b/>
                <w:sz w:val="24"/>
              </w:rPr>
            </w:pPr>
            <w:r>
              <w:rPr>
                <w:b/>
                <w:sz w:val="24"/>
              </w:rPr>
              <w:t>LISTA DE TABLAS</w:t>
            </w:r>
          </w:p>
        </w:tc>
        <w:tc>
          <w:tcPr>
            <w:tcW w:w="834" w:type="dxa"/>
          </w:tcPr>
          <w:p>
            <w:pPr>
              <w:pStyle w:val="TableParagraph"/>
              <w:spacing w:line="256" w:lineRule="exact"/>
              <w:ind w:left="106" w:right="178"/>
              <w:jc w:val="center"/>
              <w:rPr>
                <w:sz w:val="24"/>
              </w:rPr>
            </w:pPr>
            <w:r>
              <w:rPr>
                <w:sz w:val="24"/>
              </w:rPr>
              <w:t>vii</w:t>
            </w:r>
          </w:p>
        </w:tc>
      </w:tr>
      <w:tr>
        <w:trPr>
          <w:trHeight w:val="276" w:hRule="exact"/>
        </w:trPr>
        <w:tc>
          <w:tcPr>
            <w:tcW w:w="8996" w:type="dxa"/>
          </w:tcPr>
          <w:p>
            <w:pPr>
              <w:pStyle w:val="TableParagraph"/>
              <w:spacing w:line="260" w:lineRule="exact"/>
              <w:ind w:left="200"/>
              <w:rPr>
                <w:b/>
                <w:sz w:val="24"/>
              </w:rPr>
            </w:pPr>
            <w:r>
              <w:rPr>
                <w:b/>
                <w:sz w:val="24"/>
              </w:rPr>
              <w:t>LISTA DE FIGURAS</w:t>
            </w:r>
          </w:p>
        </w:tc>
        <w:tc>
          <w:tcPr>
            <w:tcW w:w="834" w:type="dxa"/>
          </w:tcPr>
          <w:p>
            <w:pPr>
              <w:pStyle w:val="TableParagraph"/>
              <w:spacing w:line="256" w:lineRule="exact"/>
              <w:ind w:left="109" w:right="176"/>
              <w:jc w:val="center"/>
              <w:rPr>
                <w:sz w:val="24"/>
              </w:rPr>
            </w:pPr>
            <w:r>
              <w:rPr>
                <w:sz w:val="24"/>
              </w:rPr>
              <w:t>viii</w:t>
            </w:r>
          </w:p>
        </w:tc>
      </w:tr>
      <w:tr>
        <w:trPr>
          <w:trHeight w:val="276" w:hRule="exact"/>
        </w:trPr>
        <w:tc>
          <w:tcPr>
            <w:tcW w:w="8996" w:type="dxa"/>
          </w:tcPr>
          <w:p>
            <w:pPr>
              <w:pStyle w:val="TableParagraph"/>
              <w:spacing w:line="260" w:lineRule="exact"/>
              <w:ind w:left="200"/>
              <w:rPr>
                <w:b/>
                <w:sz w:val="24"/>
              </w:rPr>
            </w:pPr>
            <w:r>
              <w:rPr>
                <w:b/>
                <w:sz w:val="24"/>
              </w:rPr>
              <w:t>LISTA DE TABLAS ANEXAS</w:t>
            </w:r>
          </w:p>
        </w:tc>
        <w:tc>
          <w:tcPr>
            <w:tcW w:w="834" w:type="dxa"/>
          </w:tcPr>
          <w:p>
            <w:pPr>
              <w:pStyle w:val="TableParagraph"/>
              <w:spacing w:line="256" w:lineRule="exact"/>
              <w:ind w:left="109" w:right="176"/>
              <w:jc w:val="center"/>
              <w:rPr>
                <w:sz w:val="24"/>
              </w:rPr>
            </w:pPr>
            <w:r>
              <w:rPr>
                <w:sz w:val="24"/>
              </w:rPr>
              <w:t>viii</w:t>
            </w:r>
          </w:p>
        </w:tc>
      </w:tr>
      <w:tr>
        <w:trPr>
          <w:trHeight w:val="276" w:hRule="exact"/>
        </w:trPr>
        <w:tc>
          <w:tcPr>
            <w:tcW w:w="8996" w:type="dxa"/>
          </w:tcPr>
          <w:p>
            <w:pPr>
              <w:pStyle w:val="TableParagraph"/>
              <w:spacing w:line="260" w:lineRule="exact"/>
              <w:ind w:left="200"/>
              <w:rPr>
                <w:b/>
                <w:sz w:val="24"/>
              </w:rPr>
            </w:pPr>
            <w:r>
              <w:rPr>
                <w:b/>
                <w:sz w:val="24"/>
              </w:rPr>
              <w:t>RESUMEN GENERAL</w:t>
            </w:r>
          </w:p>
        </w:tc>
        <w:tc>
          <w:tcPr>
            <w:tcW w:w="834" w:type="dxa"/>
          </w:tcPr>
          <w:p>
            <w:pPr>
              <w:pStyle w:val="TableParagraph"/>
              <w:spacing w:line="256" w:lineRule="exact"/>
              <w:ind w:left="108" w:right="178"/>
              <w:jc w:val="center"/>
              <w:rPr>
                <w:sz w:val="24"/>
              </w:rPr>
            </w:pPr>
            <w:r>
              <w:rPr>
                <w:sz w:val="24"/>
              </w:rPr>
              <w:t>ix</w:t>
            </w:r>
          </w:p>
        </w:tc>
      </w:tr>
      <w:tr>
        <w:trPr>
          <w:trHeight w:val="276" w:hRule="exact"/>
        </w:trPr>
        <w:tc>
          <w:tcPr>
            <w:tcW w:w="8996" w:type="dxa"/>
          </w:tcPr>
          <w:p>
            <w:pPr>
              <w:pStyle w:val="TableParagraph"/>
              <w:spacing w:line="260" w:lineRule="exact"/>
              <w:ind w:left="200"/>
              <w:rPr>
                <w:b/>
                <w:sz w:val="24"/>
              </w:rPr>
            </w:pPr>
            <w:r>
              <w:rPr>
                <w:b/>
                <w:sz w:val="24"/>
              </w:rPr>
              <w:t>ABSTRACT</w:t>
            </w:r>
          </w:p>
        </w:tc>
        <w:tc>
          <w:tcPr>
            <w:tcW w:w="834" w:type="dxa"/>
          </w:tcPr>
          <w:p>
            <w:pPr>
              <w:pStyle w:val="TableParagraph"/>
              <w:spacing w:line="256" w:lineRule="exact"/>
              <w:ind w:right="71"/>
              <w:jc w:val="center"/>
              <w:rPr>
                <w:sz w:val="24"/>
              </w:rPr>
            </w:pPr>
            <w:r>
              <w:rPr>
                <w:sz w:val="24"/>
              </w:rPr>
              <w:t>x</w:t>
            </w:r>
          </w:p>
        </w:tc>
      </w:tr>
      <w:tr>
        <w:trPr>
          <w:trHeight w:val="276" w:hRule="exact"/>
        </w:trPr>
        <w:tc>
          <w:tcPr>
            <w:tcW w:w="8996" w:type="dxa"/>
          </w:tcPr>
          <w:p>
            <w:pPr>
              <w:pStyle w:val="TableParagraph"/>
              <w:spacing w:line="260" w:lineRule="exact"/>
              <w:ind w:left="200"/>
              <w:rPr>
                <w:b/>
                <w:sz w:val="24"/>
              </w:rPr>
            </w:pPr>
            <w:r>
              <w:rPr>
                <w:b/>
                <w:sz w:val="24"/>
              </w:rPr>
              <w:t>I. INTRODUCCIÓN</w:t>
            </w:r>
          </w:p>
        </w:tc>
        <w:tc>
          <w:tcPr>
            <w:tcW w:w="834" w:type="dxa"/>
          </w:tcPr>
          <w:p>
            <w:pPr>
              <w:pStyle w:val="TableParagraph"/>
              <w:spacing w:line="256" w:lineRule="exact"/>
              <w:ind w:right="71"/>
              <w:jc w:val="center"/>
              <w:rPr>
                <w:sz w:val="24"/>
              </w:rPr>
            </w:pPr>
            <w:r>
              <w:rPr>
                <w:sz w:val="24"/>
              </w:rPr>
              <w:t>1</w:t>
            </w:r>
          </w:p>
        </w:tc>
      </w:tr>
      <w:tr>
        <w:trPr>
          <w:trHeight w:val="276" w:hRule="exact"/>
        </w:trPr>
        <w:tc>
          <w:tcPr>
            <w:tcW w:w="8996" w:type="dxa"/>
          </w:tcPr>
          <w:p>
            <w:pPr>
              <w:pStyle w:val="TableParagraph"/>
              <w:spacing w:line="260" w:lineRule="exact"/>
              <w:ind w:left="200"/>
              <w:rPr>
                <w:b/>
                <w:sz w:val="24"/>
              </w:rPr>
            </w:pPr>
            <w:r>
              <w:rPr>
                <w:b/>
                <w:sz w:val="24"/>
              </w:rPr>
              <w:t>II. REVISIÓN DE LITERATURA</w:t>
            </w:r>
          </w:p>
        </w:tc>
        <w:tc>
          <w:tcPr>
            <w:tcW w:w="834" w:type="dxa"/>
          </w:tcPr>
          <w:p>
            <w:pPr>
              <w:pStyle w:val="TableParagraph"/>
              <w:spacing w:line="256" w:lineRule="exact"/>
              <w:ind w:right="71"/>
              <w:jc w:val="center"/>
              <w:rPr>
                <w:sz w:val="24"/>
              </w:rPr>
            </w:pPr>
            <w:r>
              <w:rPr>
                <w:sz w:val="24"/>
              </w:rPr>
              <w:t>4</w:t>
            </w:r>
          </w:p>
        </w:tc>
      </w:tr>
      <w:tr>
        <w:trPr>
          <w:trHeight w:val="274" w:hRule="exact"/>
        </w:trPr>
        <w:tc>
          <w:tcPr>
            <w:tcW w:w="8996" w:type="dxa"/>
          </w:tcPr>
          <w:p>
            <w:pPr>
              <w:pStyle w:val="TableParagraph"/>
              <w:spacing w:line="256" w:lineRule="exact"/>
              <w:ind w:left="200"/>
              <w:rPr>
                <w:sz w:val="24"/>
              </w:rPr>
            </w:pPr>
            <w:r>
              <w:rPr>
                <w:sz w:val="24"/>
              </w:rPr>
              <w:t>2.1. Origen geográfico</w:t>
            </w:r>
          </w:p>
        </w:tc>
        <w:tc>
          <w:tcPr>
            <w:tcW w:w="834" w:type="dxa"/>
          </w:tcPr>
          <w:p>
            <w:pPr>
              <w:pStyle w:val="TableParagraph"/>
              <w:spacing w:line="256" w:lineRule="exact"/>
              <w:ind w:right="71"/>
              <w:jc w:val="center"/>
              <w:rPr>
                <w:sz w:val="24"/>
              </w:rPr>
            </w:pPr>
            <w:r>
              <w:rPr>
                <w:sz w:val="24"/>
              </w:rPr>
              <w:t>4</w:t>
            </w:r>
          </w:p>
        </w:tc>
      </w:tr>
      <w:tr>
        <w:trPr>
          <w:trHeight w:val="276" w:hRule="exact"/>
        </w:trPr>
        <w:tc>
          <w:tcPr>
            <w:tcW w:w="8996" w:type="dxa"/>
          </w:tcPr>
          <w:p>
            <w:pPr>
              <w:pStyle w:val="TableParagraph"/>
              <w:spacing w:line="258" w:lineRule="exact"/>
              <w:ind w:left="200"/>
              <w:rPr>
                <w:sz w:val="24"/>
              </w:rPr>
            </w:pPr>
            <w:r>
              <w:rPr>
                <w:sz w:val="24"/>
              </w:rPr>
              <w:t>2.2. Importancia del cultivo de haba nivel a estatal, nacional e internacional</w:t>
            </w:r>
          </w:p>
        </w:tc>
        <w:tc>
          <w:tcPr>
            <w:tcW w:w="834" w:type="dxa"/>
          </w:tcPr>
          <w:p>
            <w:pPr>
              <w:pStyle w:val="TableParagraph"/>
              <w:spacing w:line="258" w:lineRule="exact"/>
              <w:ind w:right="71"/>
              <w:jc w:val="center"/>
              <w:rPr>
                <w:sz w:val="24"/>
              </w:rPr>
            </w:pPr>
            <w:r>
              <w:rPr>
                <w:sz w:val="24"/>
              </w:rPr>
              <w:t>4</w:t>
            </w:r>
          </w:p>
        </w:tc>
      </w:tr>
      <w:tr>
        <w:trPr>
          <w:trHeight w:val="276" w:hRule="exact"/>
        </w:trPr>
        <w:tc>
          <w:tcPr>
            <w:tcW w:w="8996" w:type="dxa"/>
          </w:tcPr>
          <w:p>
            <w:pPr>
              <w:pStyle w:val="TableParagraph"/>
              <w:spacing w:line="258" w:lineRule="exact"/>
              <w:ind w:left="200"/>
              <w:rPr>
                <w:sz w:val="24"/>
              </w:rPr>
            </w:pPr>
            <w:r>
              <w:rPr>
                <w:sz w:val="24"/>
              </w:rPr>
              <w:t>2.3. Estudios de variabilidad genética en haba</w:t>
            </w:r>
          </w:p>
        </w:tc>
        <w:tc>
          <w:tcPr>
            <w:tcW w:w="834" w:type="dxa"/>
          </w:tcPr>
          <w:p>
            <w:pPr>
              <w:pStyle w:val="TableParagraph"/>
              <w:spacing w:line="258" w:lineRule="exact"/>
              <w:ind w:right="71"/>
              <w:jc w:val="center"/>
              <w:rPr>
                <w:sz w:val="24"/>
              </w:rPr>
            </w:pPr>
            <w:r>
              <w:rPr>
                <w:sz w:val="24"/>
              </w:rPr>
              <w:t>6</w:t>
            </w:r>
          </w:p>
        </w:tc>
      </w:tr>
      <w:tr>
        <w:trPr>
          <w:trHeight w:val="276" w:hRule="exact"/>
        </w:trPr>
        <w:tc>
          <w:tcPr>
            <w:tcW w:w="8996" w:type="dxa"/>
          </w:tcPr>
          <w:p>
            <w:pPr>
              <w:pStyle w:val="TableParagraph"/>
              <w:spacing w:line="258" w:lineRule="exact"/>
              <w:ind w:left="200"/>
              <w:rPr>
                <w:sz w:val="24"/>
              </w:rPr>
            </w:pPr>
            <w:r>
              <w:rPr>
                <w:sz w:val="24"/>
              </w:rPr>
              <w:t>2.4. Caracterización mediante marcadores morfológicos</w:t>
            </w:r>
          </w:p>
        </w:tc>
        <w:tc>
          <w:tcPr>
            <w:tcW w:w="834" w:type="dxa"/>
          </w:tcPr>
          <w:p>
            <w:pPr>
              <w:pStyle w:val="TableParagraph"/>
              <w:spacing w:line="258" w:lineRule="exact"/>
              <w:ind w:right="71"/>
              <w:jc w:val="center"/>
              <w:rPr>
                <w:sz w:val="24"/>
              </w:rPr>
            </w:pPr>
            <w:r>
              <w:rPr>
                <w:sz w:val="24"/>
              </w:rPr>
              <w:t>7</w:t>
            </w:r>
          </w:p>
        </w:tc>
      </w:tr>
      <w:tr>
        <w:trPr>
          <w:trHeight w:val="276" w:hRule="exact"/>
        </w:trPr>
        <w:tc>
          <w:tcPr>
            <w:tcW w:w="8996" w:type="dxa"/>
          </w:tcPr>
          <w:p>
            <w:pPr>
              <w:pStyle w:val="TableParagraph"/>
              <w:spacing w:line="258" w:lineRule="exact"/>
              <w:ind w:left="200"/>
              <w:rPr>
                <w:sz w:val="24"/>
              </w:rPr>
            </w:pPr>
            <w:r>
              <w:rPr>
                <w:sz w:val="24"/>
              </w:rPr>
              <w:t>2.5. Caracterización mediante marcadores moleculares</w:t>
            </w:r>
          </w:p>
        </w:tc>
        <w:tc>
          <w:tcPr>
            <w:tcW w:w="834" w:type="dxa"/>
          </w:tcPr>
          <w:p>
            <w:pPr>
              <w:pStyle w:val="TableParagraph"/>
              <w:spacing w:line="258" w:lineRule="exact"/>
              <w:ind w:left="107" w:right="178"/>
              <w:jc w:val="center"/>
              <w:rPr>
                <w:sz w:val="24"/>
              </w:rPr>
            </w:pPr>
            <w:r>
              <w:rPr>
                <w:sz w:val="24"/>
              </w:rPr>
              <w:t>10</w:t>
            </w:r>
          </w:p>
        </w:tc>
      </w:tr>
      <w:tr>
        <w:trPr>
          <w:trHeight w:val="276" w:hRule="exact"/>
        </w:trPr>
        <w:tc>
          <w:tcPr>
            <w:tcW w:w="8996" w:type="dxa"/>
          </w:tcPr>
          <w:p>
            <w:pPr>
              <w:pStyle w:val="TableParagraph"/>
              <w:spacing w:line="258" w:lineRule="exact"/>
              <w:ind w:left="200"/>
              <w:rPr>
                <w:sz w:val="24"/>
              </w:rPr>
            </w:pPr>
            <w:r>
              <w:rPr>
                <w:sz w:val="24"/>
              </w:rPr>
              <w:t>2.6. Perspectivas futuras del cultivo de haba</w:t>
            </w:r>
          </w:p>
        </w:tc>
        <w:tc>
          <w:tcPr>
            <w:tcW w:w="834" w:type="dxa"/>
          </w:tcPr>
          <w:p>
            <w:pPr>
              <w:pStyle w:val="TableParagraph"/>
              <w:spacing w:line="258" w:lineRule="exact"/>
              <w:ind w:left="107" w:right="178"/>
              <w:jc w:val="center"/>
              <w:rPr>
                <w:sz w:val="24"/>
              </w:rPr>
            </w:pPr>
            <w:r>
              <w:rPr>
                <w:sz w:val="24"/>
              </w:rPr>
              <w:t>12</w:t>
            </w:r>
          </w:p>
        </w:tc>
      </w:tr>
      <w:tr>
        <w:trPr>
          <w:trHeight w:val="278" w:hRule="exact"/>
        </w:trPr>
        <w:tc>
          <w:tcPr>
            <w:tcW w:w="8996" w:type="dxa"/>
          </w:tcPr>
          <w:p>
            <w:pPr>
              <w:pStyle w:val="TableParagraph"/>
              <w:spacing w:line="263" w:lineRule="exact"/>
              <w:ind w:left="200"/>
              <w:rPr>
                <w:b/>
                <w:sz w:val="24"/>
              </w:rPr>
            </w:pPr>
            <w:r>
              <w:rPr>
                <w:b/>
                <w:sz w:val="24"/>
              </w:rPr>
              <w:t>III. MATERIALES Y MÉTODOS</w:t>
            </w:r>
          </w:p>
        </w:tc>
        <w:tc>
          <w:tcPr>
            <w:tcW w:w="834" w:type="dxa"/>
          </w:tcPr>
          <w:p>
            <w:pPr>
              <w:pStyle w:val="TableParagraph"/>
              <w:spacing w:line="258" w:lineRule="exact"/>
              <w:ind w:left="107" w:right="178"/>
              <w:jc w:val="center"/>
              <w:rPr>
                <w:sz w:val="24"/>
              </w:rPr>
            </w:pPr>
            <w:r>
              <w:rPr>
                <w:sz w:val="24"/>
              </w:rPr>
              <w:t>13</w:t>
            </w:r>
          </w:p>
        </w:tc>
      </w:tr>
      <w:tr>
        <w:trPr>
          <w:trHeight w:val="274" w:hRule="exact"/>
        </w:trPr>
        <w:tc>
          <w:tcPr>
            <w:tcW w:w="8996" w:type="dxa"/>
          </w:tcPr>
          <w:p>
            <w:pPr>
              <w:pStyle w:val="TableParagraph"/>
              <w:spacing w:line="256" w:lineRule="exact"/>
              <w:ind w:left="200"/>
              <w:rPr>
                <w:sz w:val="24"/>
              </w:rPr>
            </w:pPr>
            <w:r>
              <w:rPr>
                <w:sz w:val="24"/>
              </w:rPr>
              <w:t>3.1. Descripción del área de estudio</w:t>
            </w:r>
          </w:p>
        </w:tc>
        <w:tc>
          <w:tcPr>
            <w:tcW w:w="834" w:type="dxa"/>
          </w:tcPr>
          <w:p>
            <w:pPr>
              <w:pStyle w:val="TableParagraph"/>
              <w:spacing w:line="256" w:lineRule="exact"/>
              <w:ind w:left="107" w:right="178"/>
              <w:jc w:val="center"/>
              <w:rPr>
                <w:sz w:val="24"/>
              </w:rPr>
            </w:pPr>
            <w:r>
              <w:rPr>
                <w:sz w:val="24"/>
              </w:rPr>
              <w:t>13</w:t>
            </w:r>
          </w:p>
        </w:tc>
      </w:tr>
      <w:tr>
        <w:trPr>
          <w:trHeight w:val="276" w:hRule="exact"/>
        </w:trPr>
        <w:tc>
          <w:tcPr>
            <w:tcW w:w="8996" w:type="dxa"/>
          </w:tcPr>
          <w:p>
            <w:pPr>
              <w:pStyle w:val="TableParagraph"/>
              <w:spacing w:line="258" w:lineRule="exact"/>
              <w:ind w:left="200"/>
              <w:rPr>
                <w:sz w:val="24"/>
              </w:rPr>
            </w:pPr>
            <w:r>
              <w:rPr>
                <w:sz w:val="24"/>
              </w:rPr>
              <w:t>3.2. Material genético</w:t>
            </w:r>
          </w:p>
        </w:tc>
        <w:tc>
          <w:tcPr>
            <w:tcW w:w="834" w:type="dxa"/>
          </w:tcPr>
          <w:p>
            <w:pPr>
              <w:pStyle w:val="TableParagraph"/>
              <w:spacing w:line="258" w:lineRule="exact"/>
              <w:ind w:left="107" w:right="178"/>
              <w:jc w:val="center"/>
              <w:rPr>
                <w:sz w:val="24"/>
              </w:rPr>
            </w:pPr>
            <w:r>
              <w:rPr>
                <w:sz w:val="24"/>
              </w:rPr>
              <w:t>14</w:t>
            </w:r>
          </w:p>
        </w:tc>
      </w:tr>
      <w:tr>
        <w:trPr>
          <w:trHeight w:val="278" w:hRule="exact"/>
        </w:trPr>
        <w:tc>
          <w:tcPr>
            <w:tcW w:w="8996" w:type="dxa"/>
          </w:tcPr>
          <w:p>
            <w:pPr>
              <w:pStyle w:val="TableParagraph"/>
              <w:spacing w:line="263" w:lineRule="exact"/>
              <w:ind w:left="200"/>
              <w:rPr>
                <w:b/>
                <w:sz w:val="24"/>
              </w:rPr>
            </w:pPr>
            <w:r>
              <w:rPr>
                <w:b/>
                <w:sz w:val="24"/>
              </w:rPr>
              <w:t>3.3. Caracterización molecular</w:t>
            </w:r>
          </w:p>
        </w:tc>
        <w:tc>
          <w:tcPr>
            <w:tcW w:w="834" w:type="dxa"/>
          </w:tcPr>
          <w:p>
            <w:pPr>
              <w:pStyle w:val="TableParagraph"/>
              <w:spacing w:line="258" w:lineRule="exact"/>
              <w:ind w:left="107" w:right="178"/>
              <w:jc w:val="center"/>
              <w:rPr>
                <w:sz w:val="24"/>
              </w:rPr>
            </w:pPr>
            <w:r>
              <w:rPr>
                <w:sz w:val="24"/>
              </w:rPr>
              <w:t>14</w:t>
            </w:r>
          </w:p>
        </w:tc>
      </w:tr>
      <w:tr>
        <w:trPr>
          <w:trHeight w:val="274" w:hRule="exact"/>
        </w:trPr>
        <w:tc>
          <w:tcPr>
            <w:tcW w:w="8996" w:type="dxa"/>
          </w:tcPr>
          <w:p>
            <w:pPr>
              <w:pStyle w:val="TableParagraph"/>
              <w:spacing w:line="256" w:lineRule="exact"/>
              <w:ind w:left="200"/>
              <w:rPr>
                <w:sz w:val="24"/>
              </w:rPr>
            </w:pPr>
            <w:r>
              <w:rPr>
                <w:sz w:val="24"/>
              </w:rPr>
              <w:t>3.3.1. Siembra del material vegetal</w:t>
            </w:r>
          </w:p>
        </w:tc>
        <w:tc>
          <w:tcPr>
            <w:tcW w:w="834" w:type="dxa"/>
          </w:tcPr>
          <w:p>
            <w:pPr>
              <w:pStyle w:val="TableParagraph"/>
              <w:spacing w:line="256" w:lineRule="exact"/>
              <w:ind w:left="107" w:right="178"/>
              <w:jc w:val="center"/>
              <w:rPr>
                <w:sz w:val="24"/>
              </w:rPr>
            </w:pPr>
            <w:r>
              <w:rPr>
                <w:sz w:val="24"/>
              </w:rPr>
              <w:t>14</w:t>
            </w:r>
          </w:p>
        </w:tc>
      </w:tr>
      <w:tr>
        <w:trPr>
          <w:trHeight w:val="276" w:hRule="exact"/>
        </w:trPr>
        <w:tc>
          <w:tcPr>
            <w:tcW w:w="8996" w:type="dxa"/>
          </w:tcPr>
          <w:p>
            <w:pPr>
              <w:pStyle w:val="TableParagraph"/>
              <w:spacing w:line="258" w:lineRule="exact"/>
              <w:ind w:left="200"/>
              <w:rPr>
                <w:sz w:val="24"/>
              </w:rPr>
            </w:pPr>
            <w:r>
              <w:rPr>
                <w:sz w:val="24"/>
              </w:rPr>
              <w:t>3.3.2. Extracción del ADN</w:t>
            </w:r>
          </w:p>
        </w:tc>
        <w:tc>
          <w:tcPr>
            <w:tcW w:w="834" w:type="dxa"/>
          </w:tcPr>
          <w:p>
            <w:pPr>
              <w:pStyle w:val="TableParagraph"/>
              <w:spacing w:line="258" w:lineRule="exact"/>
              <w:ind w:left="107" w:right="178"/>
              <w:jc w:val="center"/>
              <w:rPr>
                <w:sz w:val="24"/>
              </w:rPr>
            </w:pPr>
            <w:r>
              <w:rPr>
                <w:sz w:val="24"/>
              </w:rPr>
              <w:t>15</w:t>
            </w:r>
          </w:p>
        </w:tc>
      </w:tr>
      <w:tr>
        <w:trPr>
          <w:trHeight w:val="276" w:hRule="exact"/>
        </w:trPr>
        <w:tc>
          <w:tcPr>
            <w:tcW w:w="8996" w:type="dxa"/>
          </w:tcPr>
          <w:p>
            <w:pPr>
              <w:pStyle w:val="TableParagraph"/>
              <w:spacing w:line="258" w:lineRule="exact"/>
              <w:ind w:left="200"/>
              <w:rPr>
                <w:sz w:val="24"/>
              </w:rPr>
            </w:pPr>
            <w:r>
              <w:rPr>
                <w:sz w:val="24"/>
              </w:rPr>
              <w:t>3.3.2.1. Método de Bromuro de Cetil Trimetil Amonio</w:t>
            </w:r>
          </w:p>
        </w:tc>
        <w:tc>
          <w:tcPr>
            <w:tcW w:w="834" w:type="dxa"/>
          </w:tcPr>
          <w:p>
            <w:pPr>
              <w:pStyle w:val="TableParagraph"/>
              <w:spacing w:line="258" w:lineRule="exact"/>
              <w:ind w:left="107" w:right="178"/>
              <w:jc w:val="center"/>
              <w:rPr>
                <w:sz w:val="24"/>
              </w:rPr>
            </w:pPr>
            <w:r>
              <w:rPr>
                <w:sz w:val="24"/>
              </w:rPr>
              <w:t>15</w:t>
            </w:r>
          </w:p>
        </w:tc>
      </w:tr>
      <w:tr>
        <w:trPr>
          <w:trHeight w:val="276" w:hRule="exact"/>
        </w:trPr>
        <w:tc>
          <w:tcPr>
            <w:tcW w:w="8996" w:type="dxa"/>
          </w:tcPr>
          <w:p>
            <w:pPr>
              <w:pStyle w:val="TableParagraph"/>
              <w:spacing w:line="258" w:lineRule="exact"/>
              <w:ind w:left="200"/>
              <w:rPr>
                <w:sz w:val="24"/>
              </w:rPr>
            </w:pPr>
            <w:r>
              <w:rPr>
                <w:sz w:val="24"/>
              </w:rPr>
              <w:t>3.3.2.2. Método de Docedil Sulfato de Sodio</w:t>
            </w:r>
          </w:p>
        </w:tc>
        <w:tc>
          <w:tcPr>
            <w:tcW w:w="834" w:type="dxa"/>
          </w:tcPr>
          <w:p>
            <w:pPr>
              <w:pStyle w:val="TableParagraph"/>
              <w:spacing w:line="258" w:lineRule="exact"/>
              <w:ind w:left="107" w:right="178"/>
              <w:jc w:val="center"/>
              <w:rPr>
                <w:sz w:val="24"/>
              </w:rPr>
            </w:pPr>
            <w:r>
              <w:rPr>
                <w:sz w:val="24"/>
              </w:rPr>
              <w:t>16</w:t>
            </w:r>
          </w:p>
        </w:tc>
      </w:tr>
      <w:tr>
        <w:trPr>
          <w:trHeight w:val="276" w:hRule="exact"/>
        </w:trPr>
        <w:tc>
          <w:tcPr>
            <w:tcW w:w="8996" w:type="dxa"/>
          </w:tcPr>
          <w:p>
            <w:pPr>
              <w:pStyle w:val="TableParagraph"/>
              <w:spacing w:line="258" w:lineRule="exact"/>
              <w:ind w:left="200"/>
              <w:rPr>
                <w:sz w:val="24"/>
              </w:rPr>
            </w:pPr>
            <w:r>
              <w:rPr>
                <w:sz w:val="24"/>
              </w:rPr>
              <w:t>3.3.3. Cuantificación, pureza y calidad del ADN</w:t>
            </w:r>
          </w:p>
        </w:tc>
        <w:tc>
          <w:tcPr>
            <w:tcW w:w="834" w:type="dxa"/>
          </w:tcPr>
          <w:p>
            <w:pPr>
              <w:pStyle w:val="TableParagraph"/>
              <w:spacing w:line="258" w:lineRule="exact"/>
              <w:ind w:left="107" w:right="178"/>
              <w:jc w:val="center"/>
              <w:rPr>
                <w:sz w:val="24"/>
              </w:rPr>
            </w:pPr>
            <w:r>
              <w:rPr>
                <w:sz w:val="24"/>
              </w:rPr>
              <w:t>17</w:t>
            </w:r>
          </w:p>
        </w:tc>
      </w:tr>
      <w:tr>
        <w:trPr>
          <w:trHeight w:val="276" w:hRule="exact"/>
        </w:trPr>
        <w:tc>
          <w:tcPr>
            <w:tcW w:w="8996" w:type="dxa"/>
          </w:tcPr>
          <w:p>
            <w:pPr>
              <w:pStyle w:val="TableParagraph"/>
              <w:spacing w:line="258" w:lineRule="exact"/>
              <w:ind w:left="200"/>
              <w:rPr>
                <w:sz w:val="24"/>
              </w:rPr>
            </w:pPr>
            <w:r>
              <w:rPr>
                <w:sz w:val="24"/>
              </w:rPr>
              <w:t>3.3.4. Amplificación del ADN mediante la Reacción en Cadena de la Polimerasa (PCR)</w:t>
            </w:r>
          </w:p>
        </w:tc>
        <w:tc>
          <w:tcPr>
            <w:tcW w:w="834" w:type="dxa"/>
          </w:tcPr>
          <w:p>
            <w:pPr>
              <w:pStyle w:val="TableParagraph"/>
              <w:spacing w:line="258" w:lineRule="exact"/>
              <w:ind w:left="107" w:right="178"/>
              <w:jc w:val="center"/>
              <w:rPr>
                <w:sz w:val="24"/>
              </w:rPr>
            </w:pPr>
            <w:r>
              <w:rPr>
                <w:sz w:val="24"/>
              </w:rPr>
              <w:t>18</w:t>
            </w:r>
          </w:p>
        </w:tc>
      </w:tr>
      <w:tr>
        <w:trPr>
          <w:trHeight w:val="276" w:hRule="exact"/>
        </w:trPr>
        <w:tc>
          <w:tcPr>
            <w:tcW w:w="8996" w:type="dxa"/>
          </w:tcPr>
          <w:p>
            <w:pPr>
              <w:pStyle w:val="TableParagraph"/>
              <w:spacing w:line="258" w:lineRule="exact"/>
              <w:ind w:left="200"/>
              <w:rPr>
                <w:sz w:val="24"/>
              </w:rPr>
            </w:pPr>
            <w:r>
              <w:rPr>
                <w:sz w:val="24"/>
              </w:rPr>
              <w:t>3.3.5. Revelado de los productos de la amplificación</w:t>
            </w:r>
          </w:p>
        </w:tc>
        <w:tc>
          <w:tcPr>
            <w:tcW w:w="834" w:type="dxa"/>
          </w:tcPr>
          <w:p>
            <w:pPr>
              <w:pStyle w:val="TableParagraph"/>
              <w:spacing w:line="258" w:lineRule="exact"/>
              <w:ind w:left="107" w:right="178"/>
              <w:jc w:val="center"/>
              <w:rPr>
                <w:sz w:val="24"/>
              </w:rPr>
            </w:pPr>
            <w:r>
              <w:rPr>
                <w:sz w:val="24"/>
              </w:rPr>
              <w:t>19</w:t>
            </w:r>
          </w:p>
        </w:tc>
      </w:tr>
      <w:tr>
        <w:trPr>
          <w:trHeight w:val="276" w:hRule="exact"/>
        </w:trPr>
        <w:tc>
          <w:tcPr>
            <w:tcW w:w="8996" w:type="dxa"/>
          </w:tcPr>
          <w:p>
            <w:pPr>
              <w:pStyle w:val="TableParagraph"/>
              <w:spacing w:line="258" w:lineRule="exact"/>
              <w:ind w:left="200"/>
              <w:rPr>
                <w:sz w:val="24"/>
              </w:rPr>
            </w:pPr>
            <w:r>
              <w:rPr>
                <w:sz w:val="24"/>
              </w:rPr>
              <w:t>3.3.6. Documentación de los productos de la amplificación</w:t>
            </w:r>
          </w:p>
        </w:tc>
        <w:tc>
          <w:tcPr>
            <w:tcW w:w="834" w:type="dxa"/>
          </w:tcPr>
          <w:p>
            <w:pPr>
              <w:pStyle w:val="TableParagraph"/>
              <w:spacing w:line="258" w:lineRule="exact"/>
              <w:ind w:left="107" w:right="178"/>
              <w:jc w:val="center"/>
              <w:rPr>
                <w:sz w:val="24"/>
              </w:rPr>
            </w:pPr>
            <w:r>
              <w:rPr>
                <w:sz w:val="24"/>
              </w:rPr>
              <w:t>19</w:t>
            </w:r>
          </w:p>
        </w:tc>
      </w:tr>
      <w:tr>
        <w:trPr>
          <w:trHeight w:val="276" w:hRule="exact"/>
        </w:trPr>
        <w:tc>
          <w:tcPr>
            <w:tcW w:w="8996" w:type="dxa"/>
          </w:tcPr>
          <w:p>
            <w:pPr>
              <w:pStyle w:val="TableParagraph"/>
              <w:spacing w:line="258" w:lineRule="exact"/>
              <w:ind w:left="200"/>
              <w:rPr>
                <w:sz w:val="24"/>
              </w:rPr>
            </w:pPr>
            <w:r>
              <w:rPr>
                <w:sz w:val="24"/>
              </w:rPr>
              <w:t>3.3.7. Construcción de la matríz binaria de datos</w:t>
            </w:r>
          </w:p>
        </w:tc>
        <w:tc>
          <w:tcPr>
            <w:tcW w:w="834" w:type="dxa"/>
          </w:tcPr>
          <w:p>
            <w:pPr>
              <w:pStyle w:val="TableParagraph"/>
              <w:spacing w:line="258" w:lineRule="exact"/>
              <w:ind w:left="107" w:right="178"/>
              <w:jc w:val="center"/>
              <w:rPr>
                <w:sz w:val="24"/>
              </w:rPr>
            </w:pPr>
            <w:r>
              <w:rPr>
                <w:sz w:val="24"/>
              </w:rPr>
              <w:t>19</w:t>
            </w:r>
          </w:p>
        </w:tc>
      </w:tr>
      <w:tr>
        <w:trPr>
          <w:trHeight w:val="276" w:hRule="exact"/>
        </w:trPr>
        <w:tc>
          <w:tcPr>
            <w:tcW w:w="8996" w:type="dxa"/>
          </w:tcPr>
          <w:p>
            <w:pPr>
              <w:pStyle w:val="TableParagraph"/>
              <w:spacing w:line="258" w:lineRule="exact"/>
              <w:ind w:left="200"/>
              <w:rPr>
                <w:sz w:val="24"/>
              </w:rPr>
            </w:pPr>
            <w:r>
              <w:rPr>
                <w:sz w:val="24"/>
              </w:rPr>
              <w:t>3.3.8. Análisis estadístico</w:t>
            </w:r>
          </w:p>
        </w:tc>
        <w:tc>
          <w:tcPr>
            <w:tcW w:w="834" w:type="dxa"/>
          </w:tcPr>
          <w:p>
            <w:pPr>
              <w:pStyle w:val="TableParagraph"/>
              <w:spacing w:line="258" w:lineRule="exact"/>
              <w:ind w:left="107" w:right="178"/>
              <w:jc w:val="center"/>
              <w:rPr>
                <w:sz w:val="24"/>
              </w:rPr>
            </w:pPr>
            <w:r>
              <w:rPr>
                <w:sz w:val="24"/>
              </w:rPr>
              <w:t>20</w:t>
            </w:r>
          </w:p>
        </w:tc>
      </w:tr>
      <w:tr>
        <w:trPr>
          <w:trHeight w:val="278" w:hRule="exact"/>
        </w:trPr>
        <w:tc>
          <w:tcPr>
            <w:tcW w:w="8996" w:type="dxa"/>
          </w:tcPr>
          <w:p>
            <w:pPr>
              <w:pStyle w:val="TableParagraph"/>
              <w:spacing w:line="263" w:lineRule="exact"/>
              <w:ind w:left="200"/>
              <w:rPr>
                <w:b/>
                <w:sz w:val="24"/>
              </w:rPr>
            </w:pPr>
            <w:r>
              <w:rPr>
                <w:b/>
                <w:sz w:val="24"/>
              </w:rPr>
              <w:t>3.4. Caracterización morfológica</w:t>
            </w:r>
          </w:p>
        </w:tc>
        <w:tc>
          <w:tcPr>
            <w:tcW w:w="834" w:type="dxa"/>
          </w:tcPr>
          <w:p>
            <w:pPr>
              <w:pStyle w:val="TableParagraph"/>
              <w:spacing w:line="258" w:lineRule="exact"/>
              <w:ind w:left="107" w:right="178"/>
              <w:jc w:val="center"/>
              <w:rPr>
                <w:sz w:val="24"/>
              </w:rPr>
            </w:pPr>
            <w:r>
              <w:rPr>
                <w:sz w:val="24"/>
              </w:rPr>
              <w:t>20</w:t>
            </w:r>
          </w:p>
        </w:tc>
      </w:tr>
      <w:tr>
        <w:trPr>
          <w:trHeight w:val="274" w:hRule="exact"/>
        </w:trPr>
        <w:tc>
          <w:tcPr>
            <w:tcW w:w="8996" w:type="dxa"/>
          </w:tcPr>
          <w:p>
            <w:pPr>
              <w:pStyle w:val="TableParagraph"/>
              <w:spacing w:line="256" w:lineRule="exact"/>
              <w:ind w:left="200"/>
              <w:rPr>
                <w:sz w:val="24"/>
              </w:rPr>
            </w:pPr>
            <w:r>
              <w:rPr>
                <w:sz w:val="24"/>
              </w:rPr>
              <w:t>3.4.1. Establecimiento del experimento en campo</w:t>
            </w:r>
          </w:p>
        </w:tc>
        <w:tc>
          <w:tcPr>
            <w:tcW w:w="834" w:type="dxa"/>
          </w:tcPr>
          <w:p>
            <w:pPr>
              <w:pStyle w:val="TableParagraph"/>
              <w:spacing w:line="256" w:lineRule="exact"/>
              <w:ind w:left="107" w:right="178"/>
              <w:jc w:val="center"/>
              <w:rPr>
                <w:sz w:val="24"/>
              </w:rPr>
            </w:pPr>
            <w:r>
              <w:rPr>
                <w:sz w:val="24"/>
              </w:rPr>
              <w:t>20</w:t>
            </w:r>
          </w:p>
        </w:tc>
      </w:tr>
      <w:tr>
        <w:trPr>
          <w:trHeight w:val="276" w:hRule="exact"/>
        </w:trPr>
        <w:tc>
          <w:tcPr>
            <w:tcW w:w="8996" w:type="dxa"/>
          </w:tcPr>
          <w:p>
            <w:pPr>
              <w:pStyle w:val="TableParagraph"/>
              <w:spacing w:line="258" w:lineRule="exact"/>
              <w:ind w:left="200"/>
              <w:rPr>
                <w:sz w:val="24"/>
              </w:rPr>
            </w:pPr>
            <w:r>
              <w:rPr>
                <w:sz w:val="24"/>
              </w:rPr>
              <w:t>3.4.2. Preparación del terreno</w:t>
            </w:r>
          </w:p>
        </w:tc>
        <w:tc>
          <w:tcPr>
            <w:tcW w:w="834" w:type="dxa"/>
          </w:tcPr>
          <w:p>
            <w:pPr>
              <w:pStyle w:val="TableParagraph"/>
              <w:spacing w:line="258" w:lineRule="exact"/>
              <w:ind w:left="107" w:right="178"/>
              <w:jc w:val="center"/>
              <w:rPr>
                <w:sz w:val="24"/>
              </w:rPr>
            </w:pPr>
            <w:r>
              <w:rPr>
                <w:sz w:val="24"/>
              </w:rPr>
              <w:t>21</w:t>
            </w:r>
          </w:p>
        </w:tc>
      </w:tr>
      <w:tr>
        <w:trPr>
          <w:trHeight w:val="276" w:hRule="exact"/>
        </w:trPr>
        <w:tc>
          <w:tcPr>
            <w:tcW w:w="8996" w:type="dxa"/>
          </w:tcPr>
          <w:p>
            <w:pPr>
              <w:pStyle w:val="TableParagraph"/>
              <w:spacing w:line="258" w:lineRule="exact"/>
              <w:ind w:left="200"/>
              <w:rPr>
                <w:sz w:val="24"/>
              </w:rPr>
            </w:pPr>
            <w:r>
              <w:rPr>
                <w:sz w:val="24"/>
              </w:rPr>
              <w:t>3.4.3. Registro de las variables a evaluar</w:t>
            </w:r>
          </w:p>
        </w:tc>
        <w:tc>
          <w:tcPr>
            <w:tcW w:w="834" w:type="dxa"/>
          </w:tcPr>
          <w:p>
            <w:pPr>
              <w:pStyle w:val="TableParagraph"/>
              <w:spacing w:line="258" w:lineRule="exact"/>
              <w:ind w:left="107" w:right="178"/>
              <w:jc w:val="center"/>
              <w:rPr>
                <w:sz w:val="24"/>
              </w:rPr>
            </w:pPr>
            <w:r>
              <w:rPr>
                <w:sz w:val="24"/>
              </w:rPr>
              <w:t>21</w:t>
            </w:r>
          </w:p>
        </w:tc>
      </w:tr>
      <w:tr>
        <w:trPr>
          <w:trHeight w:val="276" w:hRule="exact"/>
        </w:trPr>
        <w:tc>
          <w:tcPr>
            <w:tcW w:w="8996" w:type="dxa"/>
          </w:tcPr>
          <w:p>
            <w:pPr>
              <w:pStyle w:val="TableParagraph"/>
              <w:spacing w:line="258" w:lineRule="exact"/>
              <w:ind w:left="200"/>
              <w:rPr>
                <w:sz w:val="24"/>
              </w:rPr>
            </w:pPr>
            <w:r>
              <w:rPr>
                <w:sz w:val="24"/>
              </w:rPr>
              <w:t>3.4.4. Manejo del experimento</w:t>
            </w:r>
          </w:p>
        </w:tc>
        <w:tc>
          <w:tcPr>
            <w:tcW w:w="834" w:type="dxa"/>
          </w:tcPr>
          <w:p>
            <w:pPr>
              <w:pStyle w:val="TableParagraph"/>
              <w:spacing w:line="258" w:lineRule="exact"/>
              <w:ind w:left="107" w:right="178"/>
              <w:jc w:val="center"/>
              <w:rPr>
                <w:sz w:val="24"/>
              </w:rPr>
            </w:pPr>
            <w:r>
              <w:rPr>
                <w:sz w:val="24"/>
              </w:rPr>
              <w:t>23</w:t>
            </w:r>
          </w:p>
        </w:tc>
      </w:tr>
      <w:tr>
        <w:trPr>
          <w:trHeight w:val="276" w:hRule="exact"/>
        </w:trPr>
        <w:tc>
          <w:tcPr>
            <w:tcW w:w="8996" w:type="dxa"/>
          </w:tcPr>
          <w:p>
            <w:pPr>
              <w:pStyle w:val="TableParagraph"/>
              <w:spacing w:line="258" w:lineRule="exact"/>
              <w:ind w:left="200"/>
              <w:rPr>
                <w:sz w:val="24"/>
              </w:rPr>
            </w:pPr>
            <w:r>
              <w:rPr>
                <w:sz w:val="24"/>
              </w:rPr>
              <w:t>3.4.5. Cosecha</w:t>
            </w:r>
          </w:p>
        </w:tc>
        <w:tc>
          <w:tcPr>
            <w:tcW w:w="834" w:type="dxa"/>
          </w:tcPr>
          <w:p>
            <w:pPr>
              <w:pStyle w:val="TableParagraph"/>
              <w:spacing w:line="258" w:lineRule="exact"/>
              <w:ind w:left="107" w:right="178"/>
              <w:jc w:val="center"/>
              <w:rPr>
                <w:sz w:val="24"/>
              </w:rPr>
            </w:pPr>
            <w:r>
              <w:rPr>
                <w:sz w:val="24"/>
              </w:rPr>
              <w:t>23</w:t>
            </w:r>
          </w:p>
        </w:tc>
      </w:tr>
      <w:tr>
        <w:trPr>
          <w:trHeight w:val="276" w:hRule="exact"/>
        </w:trPr>
        <w:tc>
          <w:tcPr>
            <w:tcW w:w="8996" w:type="dxa"/>
          </w:tcPr>
          <w:p>
            <w:pPr>
              <w:pStyle w:val="TableParagraph"/>
              <w:spacing w:line="258" w:lineRule="exact"/>
              <w:ind w:left="200"/>
              <w:rPr>
                <w:sz w:val="24"/>
              </w:rPr>
            </w:pPr>
            <w:r>
              <w:rPr>
                <w:sz w:val="24"/>
              </w:rPr>
              <w:t>3.4.6. Análisis estadístico</w:t>
            </w:r>
          </w:p>
        </w:tc>
        <w:tc>
          <w:tcPr>
            <w:tcW w:w="834" w:type="dxa"/>
          </w:tcPr>
          <w:p>
            <w:pPr>
              <w:pStyle w:val="TableParagraph"/>
              <w:spacing w:line="258" w:lineRule="exact"/>
              <w:ind w:left="107" w:right="178"/>
              <w:jc w:val="center"/>
              <w:rPr>
                <w:sz w:val="24"/>
              </w:rPr>
            </w:pPr>
            <w:r>
              <w:rPr>
                <w:sz w:val="24"/>
              </w:rPr>
              <w:t>23</w:t>
            </w:r>
          </w:p>
        </w:tc>
      </w:tr>
      <w:tr>
        <w:trPr>
          <w:trHeight w:val="278" w:hRule="exact"/>
        </w:trPr>
        <w:tc>
          <w:tcPr>
            <w:tcW w:w="8996" w:type="dxa"/>
          </w:tcPr>
          <w:p>
            <w:pPr>
              <w:pStyle w:val="TableParagraph"/>
              <w:spacing w:line="263" w:lineRule="exact"/>
              <w:ind w:left="200"/>
              <w:rPr>
                <w:b/>
                <w:sz w:val="24"/>
              </w:rPr>
            </w:pPr>
            <w:r>
              <w:rPr>
                <w:b/>
                <w:sz w:val="24"/>
              </w:rPr>
              <w:t>IV. RESULTADOS Y DISCUSIÓN</w:t>
            </w:r>
          </w:p>
        </w:tc>
        <w:tc>
          <w:tcPr>
            <w:tcW w:w="834" w:type="dxa"/>
          </w:tcPr>
          <w:p>
            <w:pPr>
              <w:pStyle w:val="TableParagraph"/>
              <w:spacing w:line="258" w:lineRule="exact"/>
              <w:ind w:left="107" w:right="178"/>
              <w:jc w:val="center"/>
              <w:rPr>
                <w:sz w:val="24"/>
              </w:rPr>
            </w:pPr>
            <w:r>
              <w:rPr>
                <w:sz w:val="24"/>
              </w:rPr>
              <w:t>25</w:t>
            </w:r>
          </w:p>
        </w:tc>
      </w:tr>
      <w:tr>
        <w:trPr>
          <w:trHeight w:val="550" w:hRule="exact"/>
        </w:trPr>
        <w:tc>
          <w:tcPr>
            <w:tcW w:w="8996" w:type="dxa"/>
          </w:tcPr>
          <w:p>
            <w:pPr>
              <w:pStyle w:val="TableParagraph"/>
              <w:spacing w:line="256" w:lineRule="exact"/>
              <w:ind w:left="200"/>
              <w:rPr>
                <w:sz w:val="24"/>
              </w:rPr>
            </w:pPr>
            <w:r>
              <w:rPr>
                <w:b/>
                <w:sz w:val="24"/>
              </w:rPr>
              <w:t>4.1.Artículo I:</w:t>
            </w:r>
            <w:r>
              <w:rPr>
                <w:sz w:val="24"/>
              </w:rPr>
              <w:t>Genetic variability analysis of faba bean (</w:t>
            </w:r>
            <w:r>
              <w:rPr>
                <w:i/>
                <w:sz w:val="24"/>
              </w:rPr>
              <w:t>Vicia faba </w:t>
            </w:r>
            <w:r>
              <w:rPr>
                <w:sz w:val="24"/>
              </w:rPr>
              <w:t>L.) accessions  using</w:t>
            </w:r>
          </w:p>
          <w:p>
            <w:pPr>
              <w:pStyle w:val="TableParagraph"/>
              <w:ind w:left="200"/>
              <w:rPr>
                <w:sz w:val="24"/>
              </w:rPr>
            </w:pPr>
            <w:r>
              <w:rPr>
                <w:sz w:val="24"/>
              </w:rPr>
              <w:t>Inter-Simple Sequence Repeat (ISSR) markers</w:t>
            </w:r>
          </w:p>
        </w:tc>
        <w:tc>
          <w:tcPr>
            <w:tcW w:w="834" w:type="dxa"/>
          </w:tcPr>
          <w:p>
            <w:pPr>
              <w:pStyle w:val="TableParagraph"/>
              <w:spacing w:before="2"/>
              <w:rPr>
                <w:sz w:val="22"/>
              </w:rPr>
            </w:pPr>
          </w:p>
          <w:p>
            <w:pPr>
              <w:pStyle w:val="TableParagraph"/>
              <w:ind w:left="107" w:right="178"/>
              <w:jc w:val="center"/>
              <w:rPr>
                <w:sz w:val="24"/>
              </w:rPr>
            </w:pPr>
            <w:r>
              <w:rPr>
                <w:sz w:val="24"/>
              </w:rPr>
              <w:t>27</w:t>
            </w:r>
          </w:p>
        </w:tc>
      </w:tr>
      <w:tr>
        <w:trPr>
          <w:trHeight w:val="552" w:hRule="exact"/>
        </w:trPr>
        <w:tc>
          <w:tcPr>
            <w:tcW w:w="8996" w:type="dxa"/>
          </w:tcPr>
          <w:p>
            <w:pPr>
              <w:pStyle w:val="TableParagraph"/>
              <w:tabs>
                <w:tab w:pos="3208" w:val="left" w:leader="none"/>
                <w:tab w:pos="5942" w:val="left" w:leader="none"/>
              </w:tabs>
              <w:spacing w:line="258" w:lineRule="exact"/>
              <w:ind w:left="200"/>
              <w:rPr>
                <w:sz w:val="24"/>
              </w:rPr>
            </w:pPr>
            <w:r>
              <w:rPr>
                <w:b/>
                <w:sz w:val="24"/>
              </w:rPr>
              <w:t>4.2.Artículo</w:t>
            </w:r>
            <w:r>
              <w:rPr>
                <w:b/>
                <w:spacing w:val="46"/>
                <w:sz w:val="24"/>
              </w:rPr>
              <w:t> </w:t>
            </w:r>
            <w:r>
              <w:rPr>
                <w:b/>
                <w:sz w:val="24"/>
              </w:rPr>
              <w:t>II:</w:t>
            </w:r>
            <w:r>
              <w:rPr>
                <w:sz w:val="24"/>
              </w:rPr>
              <w:t>Variabilidad</w:t>
              <w:tab/>
              <w:t>fenotípica  en</w:t>
            </w:r>
            <w:r>
              <w:rPr>
                <w:spacing w:val="39"/>
                <w:sz w:val="24"/>
              </w:rPr>
              <w:t> </w:t>
            </w:r>
            <w:r>
              <w:rPr>
                <w:sz w:val="24"/>
              </w:rPr>
              <w:t>colectas</w:t>
            </w:r>
            <w:r>
              <w:rPr>
                <w:spacing w:val="48"/>
                <w:sz w:val="24"/>
              </w:rPr>
              <w:t> </w:t>
            </w:r>
            <w:r>
              <w:rPr>
                <w:sz w:val="24"/>
              </w:rPr>
              <w:t>de</w:t>
              <w:tab/>
              <w:t>haba  provenientes  del</w:t>
            </w:r>
            <w:r>
              <w:rPr>
                <w:spacing w:val="26"/>
                <w:sz w:val="24"/>
              </w:rPr>
              <w:t> </w:t>
            </w:r>
            <w:r>
              <w:rPr>
                <w:sz w:val="24"/>
              </w:rPr>
              <w:t>Valle</w:t>
            </w:r>
          </w:p>
          <w:p>
            <w:pPr>
              <w:pStyle w:val="TableParagraph"/>
              <w:ind w:left="200"/>
              <w:rPr>
                <w:sz w:val="24"/>
              </w:rPr>
            </w:pPr>
            <w:r>
              <w:rPr>
                <w:sz w:val="24"/>
              </w:rPr>
              <w:t>Toluca-Atlacomulco, México</w:t>
            </w:r>
          </w:p>
        </w:tc>
        <w:tc>
          <w:tcPr>
            <w:tcW w:w="834" w:type="dxa"/>
          </w:tcPr>
          <w:p>
            <w:pPr>
              <w:pStyle w:val="TableParagraph"/>
              <w:spacing w:before="5"/>
              <w:rPr>
                <w:sz w:val="22"/>
              </w:rPr>
            </w:pPr>
          </w:p>
          <w:p>
            <w:pPr>
              <w:pStyle w:val="TableParagraph"/>
              <w:ind w:left="107" w:right="178"/>
              <w:jc w:val="center"/>
              <w:rPr>
                <w:sz w:val="24"/>
              </w:rPr>
            </w:pPr>
            <w:r>
              <w:rPr>
                <w:sz w:val="24"/>
              </w:rPr>
              <w:t>50</w:t>
            </w:r>
          </w:p>
        </w:tc>
      </w:tr>
      <w:tr>
        <w:trPr>
          <w:trHeight w:val="278" w:hRule="exact"/>
        </w:trPr>
        <w:tc>
          <w:tcPr>
            <w:tcW w:w="8996" w:type="dxa"/>
          </w:tcPr>
          <w:p>
            <w:pPr>
              <w:pStyle w:val="TableParagraph"/>
              <w:spacing w:line="263" w:lineRule="exact"/>
              <w:ind w:left="200"/>
              <w:rPr>
                <w:b/>
                <w:sz w:val="24"/>
              </w:rPr>
            </w:pPr>
            <w:r>
              <w:rPr>
                <w:b/>
                <w:sz w:val="24"/>
              </w:rPr>
              <w:t>V. CONCLUSIONES GENERALES</w:t>
            </w:r>
          </w:p>
        </w:tc>
        <w:tc>
          <w:tcPr>
            <w:tcW w:w="834" w:type="dxa"/>
          </w:tcPr>
          <w:p>
            <w:pPr>
              <w:pStyle w:val="TableParagraph"/>
              <w:spacing w:line="258" w:lineRule="exact"/>
              <w:ind w:left="107" w:right="178"/>
              <w:jc w:val="center"/>
              <w:rPr>
                <w:sz w:val="24"/>
              </w:rPr>
            </w:pPr>
            <w:r>
              <w:rPr>
                <w:sz w:val="24"/>
              </w:rPr>
              <w:t>79</w:t>
            </w:r>
          </w:p>
        </w:tc>
      </w:tr>
      <w:tr>
        <w:trPr>
          <w:trHeight w:val="260" w:hRule="exact"/>
        </w:trPr>
        <w:tc>
          <w:tcPr>
            <w:tcW w:w="8996" w:type="dxa"/>
          </w:tcPr>
          <w:p>
            <w:pPr>
              <w:pStyle w:val="TableParagraph"/>
              <w:spacing w:line="260" w:lineRule="exact"/>
              <w:ind w:left="200"/>
              <w:rPr>
                <w:b/>
                <w:sz w:val="24"/>
              </w:rPr>
            </w:pPr>
            <w:r>
              <w:rPr>
                <w:b/>
                <w:sz w:val="24"/>
              </w:rPr>
              <w:t>VI. LITERATURA COMPLEMENTARIA</w:t>
            </w:r>
          </w:p>
        </w:tc>
        <w:tc>
          <w:tcPr>
            <w:tcW w:w="834" w:type="dxa"/>
          </w:tcPr>
          <w:p>
            <w:pPr>
              <w:pStyle w:val="TableParagraph"/>
              <w:spacing w:line="256" w:lineRule="exact"/>
              <w:ind w:left="107" w:right="178"/>
              <w:jc w:val="center"/>
              <w:rPr>
                <w:sz w:val="24"/>
              </w:rPr>
            </w:pPr>
            <w:r>
              <w:rPr>
                <w:sz w:val="24"/>
              </w:rPr>
              <w:t>80</w:t>
            </w:r>
          </w:p>
        </w:tc>
      </w:tr>
    </w:tbl>
    <w:p>
      <w:pPr>
        <w:spacing w:after="0" w:line="256" w:lineRule="exact"/>
        <w:jc w:val="center"/>
        <w:rPr>
          <w:sz w:val="24"/>
        </w:rPr>
        <w:sectPr>
          <w:pgSz w:w="12240" w:h="15840"/>
          <w:pgMar w:top="1300" w:bottom="280" w:left="1400" w:right="800"/>
        </w:sectPr>
      </w:pPr>
    </w:p>
    <w:p>
      <w:pPr>
        <w:spacing w:before="55"/>
        <w:ind w:left="45" w:right="133" w:firstLine="0"/>
        <w:jc w:val="center"/>
        <w:rPr>
          <w:b/>
          <w:sz w:val="24"/>
        </w:rPr>
      </w:pPr>
      <w:r>
        <w:rPr>
          <w:b/>
          <w:sz w:val="24"/>
        </w:rPr>
        <w:t>LISTA DE TABLAS</w:t>
      </w:r>
    </w:p>
    <w:p>
      <w:pPr>
        <w:pStyle w:val="BodyText"/>
        <w:rPr>
          <w:b/>
        </w:rPr>
      </w:pPr>
    </w:p>
    <w:p>
      <w:pPr>
        <w:tabs>
          <w:tab w:pos="8382" w:val="left" w:leader="none"/>
        </w:tabs>
        <w:spacing w:before="0"/>
        <w:ind w:left="45" w:right="0" w:firstLine="0"/>
        <w:jc w:val="center"/>
        <w:rPr>
          <w:b/>
          <w:sz w:val="24"/>
        </w:rPr>
      </w:pPr>
      <w:r>
        <w:rPr>
          <w:b/>
          <w:sz w:val="24"/>
        </w:rPr>
        <w:t>TABLA</w:t>
        <w:tab/>
        <w:t>PÁG.</w:t>
      </w:r>
    </w:p>
    <w:p>
      <w:pPr>
        <w:pStyle w:val="BodyText"/>
        <w:rPr>
          <w:b/>
        </w:rPr>
      </w:pPr>
    </w:p>
    <w:p>
      <w:pPr>
        <w:pStyle w:val="BodyText"/>
        <w:tabs>
          <w:tab w:pos="1364" w:val="left" w:leader="none"/>
        </w:tabs>
        <w:spacing w:line="274" w:lineRule="exact"/>
        <w:ind w:left="505"/>
      </w:pPr>
      <w:r>
        <w:rPr>
          <w:b/>
        </w:rPr>
        <w:t>1</w:t>
        <w:tab/>
      </w:r>
      <w:r>
        <w:rPr/>
        <w:t>Variables a evaluar, código de la variable, tipo de variable y</w:t>
      </w:r>
      <w:r>
        <w:rPr>
          <w:spacing w:val="51"/>
        </w:rPr>
        <w:t> </w:t>
      </w:r>
      <w:r>
        <w:rPr/>
        <w:t>parámetro</w:t>
      </w:r>
    </w:p>
    <w:p>
      <w:pPr>
        <w:pStyle w:val="BodyText"/>
        <w:tabs>
          <w:tab w:pos="8892" w:val="right" w:leader="none"/>
        </w:tabs>
        <w:spacing w:line="274" w:lineRule="exact"/>
        <w:ind w:left="1364"/>
      </w:pPr>
      <w:r>
        <w:rPr/>
        <w:t>de</w:t>
      </w:r>
      <w:r>
        <w:rPr>
          <w:spacing w:val="-2"/>
        </w:rPr>
        <w:t> </w:t>
      </w:r>
      <w:r>
        <w:rPr/>
        <w:t>registro</w:t>
      </w:r>
      <w:r>
        <w:rPr>
          <w:spacing w:val="-1"/>
        </w:rPr>
        <w:t> </w:t>
      </w:r>
      <w:r>
        <w:rPr/>
        <w:t>considerado.</w:t>
        <w:tab/>
        <w:t>22</w:t>
      </w:r>
    </w:p>
    <w:p>
      <w:pPr>
        <w:pStyle w:val="BodyText"/>
        <w:spacing w:before="276"/>
        <w:ind w:left="1364" w:right="923"/>
      </w:pPr>
      <w:r>
        <w:rPr>
          <w:b/>
        </w:rPr>
        <w:t>4.1.</w:t>
      </w:r>
      <w:r>
        <w:rPr/>
        <w:t>Genetic variability analysis of faba bean (</w:t>
      </w:r>
      <w:r>
        <w:rPr>
          <w:i/>
        </w:rPr>
        <w:t>Vicia faba </w:t>
      </w:r>
      <w:r>
        <w:rPr/>
        <w:t>L.) accessions using Inter-Simple Sequence Repeat (ISSR) markers</w:t>
      </w:r>
    </w:p>
    <w:p>
      <w:pPr>
        <w:pStyle w:val="ListParagraph"/>
        <w:numPr>
          <w:ilvl w:val="0"/>
          <w:numId w:val="1"/>
        </w:numPr>
        <w:tabs>
          <w:tab w:pos="1364" w:val="left" w:leader="none"/>
          <w:tab w:pos="1365" w:val="left" w:leader="none"/>
          <w:tab w:pos="8892" w:val="right" w:leader="none"/>
        </w:tabs>
        <w:spacing w:line="272" w:lineRule="exact" w:before="11" w:after="0"/>
        <w:ind w:left="1364" w:right="265" w:hanging="859"/>
        <w:jc w:val="left"/>
        <w:rPr>
          <w:sz w:val="24"/>
        </w:rPr>
      </w:pPr>
      <w:r>
        <w:rPr>
          <w:sz w:val="24"/>
        </w:rPr>
        <w:t>Identification code, seed characteristics, gathering place, altitude  and geographic coordinates of the 39</w:t>
      </w:r>
      <w:r>
        <w:rPr>
          <w:spacing w:val="-2"/>
          <w:sz w:val="24"/>
        </w:rPr>
        <w:t> </w:t>
      </w:r>
      <w:r>
        <w:rPr>
          <w:sz w:val="24"/>
        </w:rPr>
        <w:t>assessed</w:t>
      </w:r>
      <w:r>
        <w:rPr>
          <w:spacing w:val="1"/>
          <w:sz w:val="24"/>
        </w:rPr>
        <w:t> </w:t>
      </w:r>
      <w:r>
        <w:rPr>
          <w:sz w:val="24"/>
        </w:rPr>
        <w:t>accessions.</w:t>
        <w:tab/>
        <w:t>44</w:t>
      </w:r>
    </w:p>
    <w:p>
      <w:pPr>
        <w:pStyle w:val="ListParagraph"/>
        <w:numPr>
          <w:ilvl w:val="0"/>
          <w:numId w:val="1"/>
        </w:numPr>
        <w:tabs>
          <w:tab w:pos="1364" w:val="left" w:leader="none"/>
          <w:tab w:pos="1365" w:val="left" w:leader="none"/>
        </w:tabs>
        <w:spacing w:line="274" w:lineRule="exact" w:before="2" w:after="0"/>
        <w:ind w:left="1364" w:right="0" w:hanging="859"/>
        <w:jc w:val="left"/>
        <w:rPr>
          <w:sz w:val="24"/>
        </w:rPr>
      </w:pPr>
      <w:r>
        <w:rPr>
          <w:sz w:val="24"/>
        </w:rPr>
        <w:t>Results from amplification and polymorphism of 12 ISSR primers</w:t>
      </w:r>
      <w:r>
        <w:rPr>
          <w:spacing w:val="-5"/>
          <w:sz w:val="24"/>
        </w:rPr>
        <w:t> </w:t>
      </w:r>
      <w:r>
        <w:rPr>
          <w:sz w:val="24"/>
        </w:rPr>
        <w:t>used</w:t>
      </w:r>
    </w:p>
    <w:p>
      <w:pPr>
        <w:pStyle w:val="BodyText"/>
        <w:tabs>
          <w:tab w:pos="8892" w:val="right" w:leader="none"/>
        </w:tabs>
        <w:spacing w:line="274" w:lineRule="exact"/>
        <w:ind w:left="1364"/>
      </w:pPr>
      <w:r>
        <w:rPr/>
        <w:t>in</w:t>
      </w:r>
      <w:r>
        <w:rPr>
          <w:spacing w:val="-1"/>
        </w:rPr>
        <w:t> </w:t>
      </w:r>
      <w:r>
        <w:rPr/>
        <w:t>this</w:t>
      </w:r>
      <w:r>
        <w:rPr>
          <w:spacing w:val="-1"/>
        </w:rPr>
        <w:t> </w:t>
      </w:r>
      <w:r>
        <w:rPr/>
        <w:t>study.</w:t>
        <w:tab/>
        <w:t>45</w:t>
      </w:r>
    </w:p>
    <w:p>
      <w:pPr>
        <w:pStyle w:val="ListParagraph"/>
        <w:numPr>
          <w:ilvl w:val="0"/>
          <w:numId w:val="1"/>
        </w:numPr>
        <w:tabs>
          <w:tab w:pos="1364" w:val="left" w:leader="none"/>
          <w:tab w:pos="1365" w:val="left" w:leader="none"/>
        </w:tabs>
        <w:spacing w:line="274" w:lineRule="exact" w:before="5" w:after="0"/>
        <w:ind w:left="1364" w:right="0" w:hanging="859"/>
        <w:jc w:val="left"/>
        <w:rPr>
          <w:sz w:val="24"/>
        </w:rPr>
      </w:pPr>
      <w:r>
        <w:rPr>
          <w:sz w:val="24"/>
        </w:rPr>
        <w:t>Genetic</w:t>
      </w:r>
      <w:r>
        <w:rPr>
          <w:spacing w:val="25"/>
          <w:sz w:val="24"/>
        </w:rPr>
        <w:t> </w:t>
      </w:r>
      <w:r>
        <w:rPr>
          <w:sz w:val="24"/>
        </w:rPr>
        <w:t>distances</w:t>
      </w:r>
      <w:r>
        <w:rPr>
          <w:spacing w:val="26"/>
          <w:sz w:val="24"/>
        </w:rPr>
        <w:t> </w:t>
      </w:r>
      <w:r>
        <w:rPr>
          <w:sz w:val="24"/>
        </w:rPr>
        <w:t>matrix</w:t>
      </w:r>
      <w:r>
        <w:rPr>
          <w:spacing w:val="29"/>
          <w:sz w:val="24"/>
        </w:rPr>
        <w:t> </w:t>
      </w:r>
      <w:r>
        <w:rPr>
          <w:sz w:val="24"/>
        </w:rPr>
        <w:t>between</w:t>
      </w:r>
      <w:r>
        <w:rPr>
          <w:spacing w:val="26"/>
          <w:sz w:val="24"/>
        </w:rPr>
        <w:t> </w:t>
      </w:r>
      <w:r>
        <w:rPr>
          <w:sz w:val="24"/>
        </w:rPr>
        <w:t>the</w:t>
      </w:r>
      <w:r>
        <w:rPr>
          <w:spacing w:val="25"/>
          <w:sz w:val="24"/>
        </w:rPr>
        <w:t> </w:t>
      </w:r>
      <w:r>
        <w:rPr>
          <w:sz w:val="24"/>
        </w:rPr>
        <w:t>39</w:t>
      </w:r>
      <w:r>
        <w:rPr>
          <w:spacing w:val="26"/>
          <w:sz w:val="24"/>
        </w:rPr>
        <w:t> </w:t>
      </w:r>
      <w:r>
        <w:rPr>
          <w:sz w:val="24"/>
        </w:rPr>
        <w:t>faba</w:t>
      </w:r>
      <w:r>
        <w:rPr>
          <w:spacing w:val="25"/>
          <w:sz w:val="24"/>
        </w:rPr>
        <w:t> </w:t>
      </w:r>
      <w:r>
        <w:rPr>
          <w:sz w:val="24"/>
        </w:rPr>
        <w:t>bean</w:t>
      </w:r>
      <w:r>
        <w:rPr>
          <w:spacing w:val="26"/>
          <w:sz w:val="24"/>
        </w:rPr>
        <w:t> </w:t>
      </w:r>
      <w:r>
        <w:rPr>
          <w:sz w:val="24"/>
        </w:rPr>
        <w:t>accessions,</w:t>
      </w:r>
      <w:r>
        <w:rPr>
          <w:spacing w:val="26"/>
          <w:sz w:val="24"/>
        </w:rPr>
        <w:t> </w:t>
      </w:r>
      <w:r>
        <w:rPr>
          <w:sz w:val="24"/>
        </w:rPr>
        <w:t>based</w:t>
      </w:r>
    </w:p>
    <w:p>
      <w:pPr>
        <w:pStyle w:val="BodyText"/>
        <w:tabs>
          <w:tab w:pos="8892" w:val="right" w:leader="none"/>
        </w:tabs>
        <w:spacing w:line="274" w:lineRule="exact"/>
        <w:ind w:left="1364"/>
      </w:pPr>
      <w:r>
        <w:rPr/>
        <w:t>on ISSR data and analyzed with</w:t>
      </w:r>
      <w:r>
        <w:rPr>
          <w:spacing w:val="2"/>
        </w:rPr>
        <w:t> </w:t>
      </w:r>
      <w:r>
        <w:rPr/>
        <w:t>Dice</w:t>
      </w:r>
      <w:r>
        <w:rPr>
          <w:spacing w:val="-3"/>
        </w:rPr>
        <w:t> </w:t>
      </w:r>
      <w:r>
        <w:rPr/>
        <w:t>coefficient.</w:t>
        <w:tab/>
        <w:t>48</w:t>
      </w:r>
    </w:p>
    <w:p>
      <w:pPr>
        <w:pStyle w:val="BodyText"/>
        <w:ind w:left="1364" w:right="923"/>
      </w:pPr>
      <w:r>
        <w:rPr>
          <w:b/>
        </w:rPr>
        <w:t>4.2</w:t>
      </w:r>
      <w:r>
        <w:rPr/>
        <w:t>Variabilidad fenotípica en colectas de haba provenientes del Valle Toluca-Atlacomulco, México.</w:t>
      </w:r>
    </w:p>
    <w:p>
      <w:pPr>
        <w:pStyle w:val="ListParagraph"/>
        <w:numPr>
          <w:ilvl w:val="0"/>
          <w:numId w:val="2"/>
        </w:numPr>
        <w:tabs>
          <w:tab w:pos="1364" w:val="left" w:leader="none"/>
          <w:tab w:pos="1365" w:val="left" w:leader="none"/>
          <w:tab w:pos="8892" w:val="right" w:leader="none"/>
        </w:tabs>
        <w:spacing w:line="237" w:lineRule="auto" w:before="7" w:after="0"/>
        <w:ind w:left="1364" w:right="265" w:hanging="859"/>
        <w:jc w:val="left"/>
        <w:rPr>
          <w:sz w:val="24"/>
        </w:rPr>
      </w:pPr>
      <w:r>
        <w:rPr>
          <w:sz w:val="24"/>
        </w:rPr>
        <w:t>Código  de  identificación,  características  de  las  semillas,  sitios  de  colecta,  altitud  y  coordenadas  geográficas  de   las   39   accesiones evaluadas.</w:t>
        <w:tab/>
        <w:t>69</w:t>
      </w:r>
    </w:p>
    <w:p>
      <w:pPr>
        <w:pStyle w:val="ListParagraph"/>
        <w:numPr>
          <w:ilvl w:val="0"/>
          <w:numId w:val="2"/>
        </w:numPr>
        <w:tabs>
          <w:tab w:pos="1364" w:val="left" w:leader="none"/>
          <w:tab w:pos="1365" w:val="left" w:leader="none"/>
          <w:tab w:pos="8892" w:val="right" w:leader="none"/>
        </w:tabs>
        <w:spacing w:line="272" w:lineRule="exact" w:before="288" w:after="0"/>
        <w:ind w:left="1364" w:right="265" w:hanging="859"/>
        <w:jc w:val="left"/>
        <w:rPr>
          <w:sz w:val="24"/>
        </w:rPr>
      </w:pPr>
      <w:r>
        <w:rPr>
          <w:sz w:val="24"/>
        </w:rPr>
        <w:t>Cuadrados medios y significancia estadística de los valores de F de las variables</w:t>
      </w:r>
      <w:r>
        <w:rPr>
          <w:spacing w:val="-1"/>
          <w:sz w:val="24"/>
        </w:rPr>
        <w:t> </w:t>
      </w:r>
      <w:r>
        <w:rPr>
          <w:sz w:val="24"/>
        </w:rPr>
        <w:t>de estudio.</w:t>
        <w:tab/>
        <w:t>70</w:t>
      </w:r>
    </w:p>
    <w:p>
      <w:pPr>
        <w:pStyle w:val="ListParagraph"/>
        <w:numPr>
          <w:ilvl w:val="0"/>
          <w:numId w:val="2"/>
        </w:numPr>
        <w:tabs>
          <w:tab w:pos="1364" w:val="left" w:leader="none"/>
          <w:tab w:pos="1365" w:val="left" w:leader="none"/>
        </w:tabs>
        <w:spacing w:line="240" w:lineRule="auto" w:before="278" w:after="0"/>
        <w:ind w:left="1364" w:right="922" w:hanging="859"/>
        <w:jc w:val="both"/>
        <w:rPr>
          <w:sz w:val="24"/>
        </w:rPr>
      </w:pPr>
      <w:r>
        <w:rPr>
          <w:sz w:val="24"/>
        </w:rPr>
        <w:t>Comparación de medias para las variables Número de Tallos (NT), Número de Nudos (NN), Número de Foliolos (NFo), Porcentaje de Floración (PF), Número de Flores (NFP), Número de Vainas por  Planta (NVP), Peso de Vainas por Planta (PVP), Número de Semillas por Vaina (NSV), Peso de 100 semillas (P100S), Peso de Semillas </w:t>
      </w:r>
      <w:r>
        <w:rPr>
          <w:spacing w:val="41"/>
          <w:sz w:val="24"/>
        </w:rPr>
        <w:t> </w:t>
      </w:r>
      <w:r>
        <w:rPr>
          <w:sz w:val="24"/>
        </w:rPr>
        <w:t>por</w:t>
      </w:r>
    </w:p>
    <w:p>
      <w:pPr>
        <w:pStyle w:val="BodyText"/>
        <w:tabs>
          <w:tab w:pos="8892" w:val="right" w:leader="none"/>
        </w:tabs>
        <w:ind w:left="1364"/>
      </w:pPr>
      <w:r>
        <w:rPr/>
        <w:t>Parcela (PSP), Rendimiento por Hectárea (RHA).</w:t>
      </w:r>
      <w:r>
        <w:rPr>
          <w:spacing w:val="-3"/>
        </w:rPr>
        <w:t> </w:t>
      </w:r>
      <w:r>
        <w:rPr/>
        <w:t>Población</w:t>
      </w:r>
      <w:r>
        <w:rPr>
          <w:spacing w:val="-2"/>
        </w:rPr>
        <w:t> </w:t>
      </w:r>
      <w:r>
        <w:rPr/>
        <w:t>(Pob.).</w:t>
        <w:tab/>
        <w:t>71</w:t>
      </w:r>
    </w:p>
    <w:p>
      <w:pPr>
        <w:pStyle w:val="ListParagraph"/>
        <w:numPr>
          <w:ilvl w:val="0"/>
          <w:numId w:val="2"/>
        </w:numPr>
        <w:tabs>
          <w:tab w:pos="1364" w:val="left" w:leader="none"/>
          <w:tab w:pos="1365" w:val="left" w:leader="none"/>
          <w:tab w:pos="8892" w:val="right" w:leader="none"/>
        </w:tabs>
        <w:spacing w:line="272" w:lineRule="exact" w:before="287" w:after="0"/>
        <w:ind w:left="1364" w:right="265" w:hanging="859"/>
        <w:jc w:val="left"/>
        <w:rPr>
          <w:sz w:val="24"/>
        </w:rPr>
      </w:pPr>
      <w:r>
        <w:rPr>
          <w:sz w:val="24"/>
        </w:rPr>
        <w:t>Componentes de varianza y heredabilidad en sentido amplio (H</w:t>
      </w:r>
      <w:r>
        <w:rPr>
          <w:position w:val="10"/>
          <w:sz w:val="16"/>
        </w:rPr>
        <w:t>2</w:t>
      </w:r>
      <w:r>
        <w:rPr>
          <w:sz w:val="24"/>
        </w:rPr>
        <w:t>) en 11 variables cuantitativas evaluadas en 39 cultivares de</w:t>
      </w:r>
      <w:r>
        <w:rPr>
          <w:spacing w:val="-2"/>
          <w:sz w:val="24"/>
        </w:rPr>
        <w:t> </w:t>
      </w:r>
      <w:r>
        <w:rPr>
          <w:sz w:val="24"/>
        </w:rPr>
        <w:t>haba.</w:t>
        <w:tab/>
        <w:t>73</w:t>
      </w:r>
    </w:p>
    <w:p>
      <w:pPr>
        <w:pStyle w:val="ListParagraph"/>
        <w:numPr>
          <w:ilvl w:val="0"/>
          <w:numId w:val="2"/>
        </w:numPr>
        <w:tabs>
          <w:tab w:pos="1364" w:val="left" w:leader="none"/>
          <w:tab w:pos="1365" w:val="left" w:leader="none"/>
        </w:tabs>
        <w:spacing w:line="272" w:lineRule="exact" w:before="278" w:after="0"/>
        <w:ind w:left="1364" w:right="0" w:hanging="859"/>
        <w:jc w:val="left"/>
        <w:rPr>
          <w:sz w:val="24"/>
        </w:rPr>
      </w:pPr>
      <w:r>
        <w:rPr>
          <w:sz w:val="24"/>
        </w:rPr>
        <w:t>Características de planta y follaje de 39 poblaciones de haba</w:t>
      </w:r>
      <w:r>
        <w:rPr>
          <w:spacing w:val="5"/>
          <w:sz w:val="24"/>
        </w:rPr>
        <w:t> </w:t>
      </w:r>
      <w:r>
        <w:rPr>
          <w:sz w:val="24"/>
        </w:rPr>
        <w:t>colectadas</w:t>
      </w:r>
    </w:p>
    <w:p>
      <w:pPr>
        <w:pStyle w:val="BodyText"/>
        <w:tabs>
          <w:tab w:pos="8892" w:val="right" w:leader="none"/>
        </w:tabs>
        <w:spacing w:line="272" w:lineRule="exact"/>
        <w:ind w:left="1364"/>
      </w:pPr>
      <w:r>
        <w:rPr/>
        <w:t>en el Valle</w:t>
      </w:r>
      <w:r>
        <w:rPr>
          <w:spacing w:val="-2"/>
        </w:rPr>
        <w:t> </w:t>
      </w:r>
      <w:r>
        <w:rPr/>
        <w:t>Toluca-Atlacomulco, México.</w:t>
        <w:tab/>
        <w:t>74</w:t>
      </w:r>
    </w:p>
    <w:p>
      <w:pPr>
        <w:pStyle w:val="ListParagraph"/>
        <w:numPr>
          <w:ilvl w:val="0"/>
          <w:numId w:val="2"/>
        </w:numPr>
        <w:tabs>
          <w:tab w:pos="1364" w:val="left" w:leader="none"/>
          <w:tab w:pos="1365" w:val="left" w:leader="none"/>
          <w:tab w:pos="8892" w:val="right" w:leader="none"/>
        </w:tabs>
        <w:spacing w:line="272" w:lineRule="exact" w:before="287" w:after="0"/>
        <w:ind w:left="1364" w:right="265" w:hanging="859"/>
        <w:jc w:val="left"/>
        <w:rPr>
          <w:sz w:val="24"/>
        </w:rPr>
      </w:pPr>
      <w:r>
        <w:rPr>
          <w:sz w:val="24"/>
        </w:rPr>
        <w:t>Características de flor de 39 poblaciones de haba colectadas en el Valle Toluca-Atlacomulco, México.</w:t>
        <w:tab/>
        <w:t>75</w:t>
      </w:r>
    </w:p>
    <w:p>
      <w:pPr>
        <w:pStyle w:val="ListParagraph"/>
        <w:numPr>
          <w:ilvl w:val="0"/>
          <w:numId w:val="2"/>
        </w:numPr>
        <w:tabs>
          <w:tab w:pos="1364" w:val="left" w:leader="none"/>
          <w:tab w:pos="1365" w:val="left" w:leader="none"/>
        </w:tabs>
        <w:spacing w:line="274" w:lineRule="exact" w:before="278" w:after="0"/>
        <w:ind w:left="1364" w:right="0" w:hanging="859"/>
        <w:jc w:val="left"/>
        <w:rPr>
          <w:sz w:val="24"/>
        </w:rPr>
      </w:pPr>
      <w:r>
        <w:rPr>
          <w:sz w:val="24"/>
        </w:rPr>
        <w:t>Características de vaina y semilla de 39 poblaciones de haba</w:t>
      </w:r>
      <w:r>
        <w:rPr>
          <w:spacing w:val="-8"/>
          <w:sz w:val="24"/>
        </w:rPr>
        <w:t> </w:t>
      </w:r>
      <w:r>
        <w:rPr>
          <w:sz w:val="24"/>
        </w:rPr>
        <w:t>colectadas</w:t>
      </w:r>
    </w:p>
    <w:p>
      <w:pPr>
        <w:pStyle w:val="BodyText"/>
        <w:tabs>
          <w:tab w:pos="8892" w:val="right" w:leader="none"/>
        </w:tabs>
        <w:spacing w:line="274" w:lineRule="exact"/>
        <w:ind w:left="1364"/>
      </w:pPr>
      <w:r>
        <w:rPr/>
        <w:t>en el Valle</w:t>
      </w:r>
      <w:r>
        <w:rPr>
          <w:spacing w:val="-2"/>
        </w:rPr>
        <w:t> </w:t>
      </w:r>
      <w:r>
        <w:rPr/>
        <w:t>Toluca-Atlacomulco, México.</w:t>
        <w:tab/>
        <w:t>76</w:t>
      </w:r>
    </w:p>
    <w:p>
      <w:pPr>
        <w:spacing w:after="0" w:line="274" w:lineRule="exact"/>
        <w:sectPr>
          <w:footerReference w:type="default" r:id="rId6"/>
          <w:pgSz w:w="12240" w:h="15840"/>
          <w:pgMar w:footer="1570" w:header="0" w:top="1360" w:bottom="1760" w:left="1720" w:right="1360"/>
        </w:sectPr>
      </w:pPr>
    </w:p>
    <w:tbl>
      <w:tblPr>
        <w:tblW w:w="0" w:type="auto"/>
        <w:jc w:val="left"/>
        <w:tblInd w:w="2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8"/>
        <w:gridCol w:w="7202"/>
        <w:gridCol w:w="708"/>
      </w:tblGrid>
      <w:tr>
        <w:trPr>
          <w:trHeight w:val="770" w:hRule="exact"/>
        </w:trPr>
        <w:tc>
          <w:tcPr>
            <w:tcW w:w="1198" w:type="dxa"/>
          </w:tcPr>
          <w:p>
            <w:pPr>
              <w:pStyle w:val="TableParagraph"/>
              <w:spacing w:before="345"/>
              <w:ind w:left="35"/>
              <w:rPr>
                <w:b/>
                <w:sz w:val="24"/>
              </w:rPr>
            </w:pPr>
            <w:r>
              <w:rPr>
                <w:b/>
                <w:sz w:val="24"/>
              </w:rPr>
              <w:t>FIGURA</w:t>
            </w:r>
          </w:p>
        </w:tc>
        <w:tc>
          <w:tcPr>
            <w:tcW w:w="7202" w:type="dxa"/>
          </w:tcPr>
          <w:p>
            <w:pPr>
              <w:pStyle w:val="TableParagraph"/>
              <w:spacing w:before="69"/>
              <w:ind w:left="2262" w:right="44"/>
              <w:rPr>
                <w:b/>
                <w:sz w:val="24"/>
              </w:rPr>
            </w:pPr>
            <w:r>
              <w:rPr>
                <w:b/>
                <w:sz w:val="24"/>
              </w:rPr>
              <w:t>LISTA DE FIGURAS</w:t>
            </w:r>
          </w:p>
        </w:tc>
        <w:tc>
          <w:tcPr>
            <w:tcW w:w="708" w:type="dxa"/>
          </w:tcPr>
          <w:p>
            <w:pPr>
              <w:pStyle w:val="TableParagraph"/>
              <w:rPr>
                <w:sz w:val="30"/>
              </w:rPr>
            </w:pPr>
          </w:p>
          <w:p>
            <w:pPr>
              <w:pStyle w:val="TableParagraph"/>
              <w:ind w:left="86" w:right="13"/>
              <w:jc w:val="center"/>
              <w:rPr>
                <w:b/>
                <w:sz w:val="24"/>
              </w:rPr>
            </w:pPr>
            <w:r>
              <w:rPr>
                <w:b/>
                <w:sz w:val="24"/>
              </w:rPr>
              <w:t>PÁG.</w:t>
            </w:r>
          </w:p>
        </w:tc>
      </w:tr>
      <w:tr>
        <w:trPr>
          <w:trHeight w:val="826" w:hRule="exact"/>
        </w:trPr>
        <w:tc>
          <w:tcPr>
            <w:tcW w:w="1198" w:type="dxa"/>
          </w:tcPr>
          <w:p>
            <w:pPr>
              <w:pStyle w:val="TableParagraph"/>
              <w:spacing w:before="127"/>
              <w:ind w:left="38"/>
              <w:jc w:val="center"/>
              <w:rPr>
                <w:b/>
                <w:sz w:val="24"/>
              </w:rPr>
            </w:pPr>
            <w:r>
              <w:rPr>
                <w:b/>
                <w:sz w:val="24"/>
              </w:rPr>
              <w:t>1</w:t>
            </w:r>
          </w:p>
        </w:tc>
        <w:tc>
          <w:tcPr>
            <w:tcW w:w="7202" w:type="dxa"/>
          </w:tcPr>
          <w:p>
            <w:pPr>
              <w:pStyle w:val="TableParagraph"/>
              <w:spacing w:before="122"/>
              <w:ind w:left="219" w:right="44"/>
              <w:rPr>
                <w:sz w:val="24"/>
              </w:rPr>
            </w:pPr>
            <w:r>
              <w:rPr>
                <w:sz w:val="24"/>
              </w:rPr>
              <w:t>Sitios de colecta de 39 poblaciones de haba en el Valle Toluca- Atlacomulco, México.</w:t>
            </w:r>
          </w:p>
        </w:tc>
        <w:tc>
          <w:tcPr>
            <w:tcW w:w="708" w:type="dxa"/>
          </w:tcPr>
          <w:p>
            <w:pPr>
              <w:pStyle w:val="TableParagraph"/>
              <w:spacing w:before="7"/>
              <w:rPr>
                <w:sz w:val="34"/>
              </w:rPr>
            </w:pPr>
          </w:p>
          <w:p>
            <w:pPr>
              <w:pStyle w:val="TableParagraph"/>
              <w:ind w:left="156" w:right="13"/>
              <w:jc w:val="center"/>
              <w:rPr>
                <w:sz w:val="24"/>
              </w:rPr>
            </w:pPr>
            <w:r>
              <w:rPr>
                <w:sz w:val="24"/>
              </w:rPr>
              <w:t>13</w:t>
            </w:r>
          </w:p>
        </w:tc>
      </w:tr>
      <w:tr>
        <w:trPr>
          <w:trHeight w:val="414" w:hRule="exact"/>
        </w:trPr>
        <w:tc>
          <w:tcPr>
            <w:tcW w:w="1198" w:type="dxa"/>
          </w:tcPr>
          <w:p>
            <w:pPr/>
          </w:p>
        </w:tc>
        <w:tc>
          <w:tcPr>
            <w:tcW w:w="7202" w:type="dxa"/>
          </w:tcPr>
          <w:p>
            <w:pPr>
              <w:pStyle w:val="TableParagraph"/>
              <w:spacing w:before="125"/>
              <w:ind w:left="219" w:right="44"/>
              <w:rPr>
                <w:sz w:val="24"/>
              </w:rPr>
            </w:pPr>
            <w:r>
              <w:rPr>
                <w:b/>
                <w:sz w:val="24"/>
              </w:rPr>
              <w:t>4.1.</w:t>
            </w:r>
            <w:r>
              <w:rPr>
                <w:sz w:val="24"/>
              </w:rPr>
              <w:t>Genetic variability analysis of faba bean (</w:t>
            </w:r>
            <w:r>
              <w:rPr>
                <w:i/>
                <w:sz w:val="24"/>
              </w:rPr>
              <w:t>Vicia faba </w:t>
            </w:r>
            <w:r>
              <w:rPr>
                <w:sz w:val="24"/>
              </w:rPr>
              <w:t>L.)  accessions</w:t>
            </w:r>
          </w:p>
        </w:tc>
        <w:tc>
          <w:tcPr>
            <w:tcW w:w="708" w:type="dxa"/>
          </w:tcPr>
          <w:p>
            <w:pPr/>
          </w:p>
        </w:tc>
      </w:tr>
      <w:tr>
        <w:trPr>
          <w:trHeight w:val="276" w:hRule="exact"/>
        </w:trPr>
        <w:tc>
          <w:tcPr>
            <w:tcW w:w="1198" w:type="dxa"/>
          </w:tcPr>
          <w:p>
            <w:pPr/>
          </w:p>
        </w:tc>
        <w:tc>
          <w:tcPr>
            <w:tcW w:w="7202" w:type="dxa"/>
          </w:tcPr>
          <w:p>
            <w:pPr>
              <w:pStyle w:val="TableParagraph"/>
              <w:spacing w:line="263" w:lineRule="exact"/>
              <w:ind w:left="219" w:right="44"/>
              <w:rPr>
                <w:sz w:val="24"/>
              </w:rPr>
            </w:pPr>
            <w:r>
              <w:rPr>
                <w:sz w:val="24"/>
              </w:rPr>
              <w:t>using Inter-Simple Sequence Repeat (ISSR) markers</w:t>
            </w:r>
          </w:p>
        </w:tc>
        <w:tc>
          <w:tcPr>
            <w:tcW w:w="708" w:type="dxa"/>
          </w:tcPr>
          <w:p>
            <w:pPr/>
          </w:p>
        </w:tc>
      </w:tr>
      <w:tr>
        <w:trPr>
          <w:trHeight w:val="552" w:hRule="exact"/>
        </w:trPr>
        <w:tc>
          <w:tcPr>
            <w:tcW w:w="1198" w:type="dxa"/>
          </w:tcPr>
          <w:p>
            <w:pPr>
              <w:pStyle w:val="TableParagraph"/>
              <w:spacing w:line="268" w:lineRule="exact"/>
              <w:ind w:left="38"/>
              <w:jc w:val="center"/>
              <w:rPr>
                <w:b/>
                <w:sz w:val="24"/>
              </w:rPr>
            </w:pPr>
            <w:r>
              <w:rPr>
                <w:b/>
                <w:sz w:val="24"/>
              </w:rPr>
              <w:t>1</w:t>
            </w:r>
          </w:p>
        </w:tc>
        <w:tc>
          <w:tcPr>
            <w:tcW w:w="7202" w:type="dxa"/>
          </w:tcPr>
          <w:p>
            <w:pPr>
              <w:pStyle w:val="TableParagraph"/>
              <w:ind w:left="219" w:right="107"/>
              <w:rPr>
                <w:sz w:val="24"/>
              </w:rPr>
            </w:pPr>
            <w:r>
              <w:rPr>
                <w:sz w:val="24"/>
              </w:rPr>
              <w:t>Electrophoresis in agarose gel at 2 % of 39 faba bean populations, using primer ISSR 848. M: Molecular weights marker; T:  </w:t>
            </w:r>
            <w:r>
              <w:rPr>
                <w:spacing w:val="47"/>
                <w:sz w:val="24"/>
              </w:rPr>
              <w:t> </w:t>
            </w:r>
            <w:r>
              <w:rPr>
                <w:sz w:val="24"/>
              </w:rPr>
              <w:t>non-related</w:t>
            </w:r>
          </w:p>
        </w:tc>
        <w:tc>
          <w:tcPr>
            <w:tcW w:w="708" w:type="dxa"/>
          </w:tcPr>
          <w:p>
            <w:pPr/>
          </w:p>
        </w:tc>
      </w:tr>
      <w:tr>
        <w:trPr>
          <w:trHeight w:val="276" w:hRule="exact"/>
        </w:trPr>
        <w:tc>
          <w:tcPr>
            <w:tcW w:w="1198" w:type="dxa"/>
          </w:tcPr>
          <w:p>
            <w:pPr/>
          </w:p>
        </w:tc>
        <w:tc>
          <w:tcPr>
            <w:tcW w:w="7202" w:type="dxa"/>
          </w:tcPr>
          <w:p>
            <w:pPr>
              <w:pStyle w:val="TableParagraph"/>
              <w:spacing w:line="263" w:lineRule="exact"/>
              <w:ind w:left="219" w:right="44"/>
              <w:rPr>
                <w:sz w:val="24"/>
              </w:rPr>
            </w:pPr>
            <w:r>
              <w:rPr>
                <w:sz w:val="24"/>
              </w:rPr>
              <w:t>species; W: water</w:t>
            </w:r>
          </w:p>
        </w:tc>
        <w:tc>
          <w:tcPr>
            <w:tcW w:w="708" w:type="dxa"/>
          </w:tcPr>
          <w:p>
            <w:pPr>
              <w:pStyle w:val="TableParagraph"/>
              <w:spacing w:line="263" w:lineRule="exact"/>
              <w:ind w:left="156" w:right="13"/>
              <w:jc w:val="center"/>
              <w:rPr>
                <w:sz w:val="24"/>
              </w:rPr>
            </w:pPr>
            <w:r>
              <w:rPr>
                <w:sz w:val="24"/>
              </w:rPr>
              <w:t>45</w:t>
            </w:r>
          </w:p>
        </w:tc>
      </w:tr>
      <w:tr>
        <w:trPr>
          <w:trHeight w:val="552" w:hRule="exact"/>
        </w:trPr>
        <w:tc>
          <w:tcPr>
            <w:tcW w:w="1198" w:type="dxa"/>
          </w:tcPr>
          <w:p>
            <w:pPr>
              <w:pStyle w:val="TableParagraph"/>
              <w:spacing w:line="268" w:lineRule="exact"/>
              <w:ind w:left="38"/>
              <w:jc w:val="center"/>
              <w:rPr>
                <w:b/>
                <w:sz w:val="24"/>
              </w:rPr>
            </w:pPr>
            <w:r>
              <w:rPr>
                <w:b/>
                <w:sz w:val="24"/>
              </w:rPr>
              <w:t>2</w:t>
            </w:r>
          </w:p>
        </w:tc>
        <w:tc>
          <w:tcPr>
            <w:tcW w:w="7202" w:type="dxa"/>
          </w:tcPr>
          <w:p>
            <w:pPr>
              <w:pStyle w:val="TableParagraph"/>
              <w:ind w:left="219" w:right="44"/>
              <w:rPr>
                <w:sz w:val="24"/>
              </w:rPr>
            </w:pPr>
            <w:r>
              <w:rPr>
                <w:sz w:val="24"/>
              </w:rPr>
              <w:t>Dendrogram from the UPGMA grouping analysis, using Dice coefficient and ISSR molecular markers in 39    faba bean populations;</w:t>
            </w:r>
          </w:p>
        </w:tc>
        <w:tc>
          <w:tcPr>
            <w:tcW w:w="708" w:type="dxa"/>
          </w:tcPr>
          <w:p>
            <w:pPr/>
          </w:p>
        </w:tc>
      </w:tr>
      <w:tr>
        <w:trPr>
          <w:trHeight w:val="276" w:hRule="exact"/>
        </w:trPr>
        <w:tc>
          <w:tcPr>
            <w:tcW w:w="1198" w:type="dxa"/>
          </w:tcPr>
          <w:p>
            <w:pPr/>
          </w:p>
        </w:tc>
        <w:tc>
          <w:tcPr>
            <w:tcW w:w="7202" w:type="dxa"/>
          </w:tcPr>
          <w:p>
            <w:pPr>
              <w:pStyle w:val="TableParagraph"/>
              <w:spacing w:line="263" w:lineRule="exact"/>
              <w:ind w:left="219" w:right="44"/>
              <w:rPr>
                <w:sz w:val="24"/>
              </w:rPr>
            </w:pPr>
            <w:r>
              <w:rPr>
                <w:sz w:val="24"/>
              </w:rPr>
              <w:t>the  number  of  nodes  indicates  the  percentage  obtained  with   1000</w:t>
            </w:r>
          </w:p>
        </w:tc>
        <w:tc>
          <w:tcPr>
            <w:tcW w:w="708" w:type="dxa"/>
          </w:tcPr>
          <w:p>
            <w:pPr/>
          </w:p>
        </w:tc>
      </w:tr>
      <w:tr>
        <w:trPr>
          <w:trHeight w:val="276" w:hRule="exact"/>
        </w:trPr>
        <w:tc>
          <w:tcPr>
            <w:tcW w:w="1198" w:type="dxa"/>
          </w:tcPr>
          <w:p>
            <w:pPr/>
          </w:p>
        </w:tc>
        <w:tc>
          <w:tcPr>
            <w:tcW w:w="7202" w:type="dxa"/>
          </w:tcPr>
          <w:p>
            <w:pPr>
              <w:pStyle w:val="TableParagraph"/>
              <w:spacing w:line="263" w:lineRule="exact"/>
              <w:ind w:left="219" w:right="44"/>
              <w:rPr>
                <w:sz w:val="24"/>
              </w:rPr>
            </w:pPr>
            <w:r>
              <w:rPr>
                <w:sz w:val="24"/>
              </w:rPr>
              <w:t>bootstrapping.</w:t>
            </w:r>
          </w:p>
        </w:tc>
        <w:tc>
          <w:tcPr>
            <w:tcW w:w="708" w:type="dxa"/>
          </w:tcPr>
          <w:p>
            <w:pPr>
              <w:pStyle w:val="TableParagraph"/>
              <w:spacing w:line="263" w:lineRule="exact"/>
              <w:ind w:left="156" w:right="13"/>
              <w:jc w:val="center"/>
              <w:rPr>
                <w:sz w:val="24"/>
              </w:rPr>
            </w:pPr>
            <w:r>
              <w:rPr>
                <w:sz w:val="24"/>
              </w:rPr>
              <w:t>46</w:t>
            </w:r>
          </w:p>
        </w:tc>
      </w:tr>
      <w:tr>
        <w:trPr>
          <w:trHeight w:val="552" w:hRule="exact"/>
        </w:trPr>
        <w:tc>
          <w:tcPr>
            <w:tcW w:w="1198" w:type="dxa"/>
          </w:tcPr>
          <w:p>
            <w:pPr>
              <w:pStyle w:val="TableParagraph"/>
              <w:spacing w:line="268" w:lineRule="exact"/>
              <w:ind w:left="38"/>
              <w:jc w:val="center"/>
              <w:rPr>
                <w:b/>
                <w:sz w:val="24"/>
              </w:rPr>
            </w:pPr>
            <w:r>
              <w:rPr>
                <w:b/>
                <w:sz w:val="24"/>
              </w:rPr>
              <w:t>3</w:t>
            </w:r>
          </w:p>
        </w:tc>
        <w:tc>
          <w:tcPr>
            <w:tcW w:w="7202" w:type="dxa"/>
          </w:tcPr>
          <w:p>
            <w:pPr>
              <w:pStyle w:val="TableParagraph"/>
              <w:ind w:left="219" w:right="44"/>
              <w:rPr>
                <w:sz w:val="24"/>
              </w:rPr>
            </w:pPr>
            <w:r>
              <w:rPr>
                <w:sz w:val="24"/>
              </w:rPr>
              <w:t>PCA results of the two first discriminating axes for the 39 faba bean accessions produced by 12 ISSR markers.</w:t>
            </w:r>
          </w:p>
        </w:tc>
        <w:tc>
          <w:tcPr>
            <w:tcW w:w="708" w:type="dxa"/>
          </w:tcPr>
          <w:p>
            <w:pPr>
              <w:pStyle w:val="TableParagraph"/>
              <w:spacing w:before="10"/>
              <w:rPr>
                <w:sz w:val="22"/>
              </w:rPr>
            </w:pPr>
          </w:p>
          <w:p>
            <w:pPr>
              <w:pStyle w:val="TableParagraph"/>
              <w:ind w:left="156" w:right="13"/>
              <w:jc w:val="center"/>
              <w:rPr>
                <w:sz w:val="24"/>
              </w:rPr>
            </w:pPr>
            <w:r>
              <w:rPr>
                <w:sz w:val="24"/>
              </w:rPr>
              <w:t>47</w:t>
            </w:r>
          </w:p>
        </w:tc>
      </w:tr>
      <w:tr>
        <w:trPr>
          <w:trHeight w:val="276" w:hRule="exact"/>
        </w:trPr>
        <w:tc>
          <w:tcPr>
            <w:tcW w:w="1198" w:type="dxa"/>
          </w:tcPr>
          <w:p>
            <w:pPr/>
          </w:p>
        </w:tc>
        <w:tc>
          <w:tcPr>
            <w:tcW w:w="7202" w:type="dxa"/>
          </w:tcPr>
          <w:p>
            <w:pPr>
              <w:pStyle w:val="TableParagraph"/>
              <w:spacing w:line="263" w:lineRule="exact"/>
              <w:ind w:left="219" w:right="44"/>
              <w:rPr>
                <w:sz w:val="24"/>
              </w:rPr>
            </w:pPr>
            <w:r>
              <w:rPr>
                <w:b/>
                <w:sz w:val="24"/>
              </w:rPr>
              <w:t>4.2</w:t>
            </w:r>
            <w:r>
              <w:rPr>
                <w:sz w:val="24"/>
              </w:rPr>
              <w:t>Variabilidad fenotípica en colectas de haba provenientes del    Valle</w:t>
            </w:r>
          </w:p>
        </w:tc>
        <w:tc>
          <w:tcPr>
            <w:tcW w:w="708" w:type="dxa"/>
          </w:tcPr>
          <w:p>
            <w:pPr/>
          </w:p>
        </w:tc>
      </w:tr>
      <w:tr>
        <w:trPr>
          <w:trHeight w:val="276" w:hRule="exact"/>
        </w:trPr>
        <w:tc>
          <w:tcPr>
            <w:tcW w:w="1198" w:type="dxa"/>
          </w:tcPr>
          <w:p>
            <w:pPr/>
          </w:p>
        </w:tc>
        <w:tc>
          <w:tcPr>
            <w:tcW w:w="7202" w:type="dxa"/>
          </w:tcPr>
          <w:p>
            <w:pPr>
              <w:pStyle w:val="TableParagraph"/>
              <w:spacing w:line="263" w:lineRule="exact"/>
              <w:ind w:left="219" w:right="44"/>
              <w:rPr>
                <w:sz w:val="24"/>
              </w:rPr>
            </w:pPr>
            <w:r>
              <w:rPr>
                <w:sz w:val="24"/>
              </w:rPr>
              <w:t>Toluca-Atlacomulco, México.</w:t>
            </w:r>
          </w:p>
        </w:tc>
        <w:tc>
          <w:tcPr>
            <w:tcW w:w="708" w:type="dxa"/>
          </w:tcPr>
          <w:p>
            <w:pPr/>
          </w:p>
        </w:tc>
      </w:tr>
      <w:tr>
        <w:trPr>
          <w:trHeight w:val="552" w:hRule="exact"/>
        </w:trPr>
        <w:tc>
          <w:tcPr>
            <w:tcW w:w="1198" w:type="dxa"/>
          </w:tcPr>
          <w:p>
            <w:pPr>
              <w:pStyle w:val="TableParagraph"/>
              <w:spacing w:line="268" w:lineRule="exact"/>
              <w:ind w:left="38"/>
              <w:jc w:val="center"/>
              <w:rPr>
                <w:b/>
                <w:sz w:val="24"/>
              </w:rPr>
            </w:pPr>
            <w:r>
              <w:rPr>
                <w:b/>
                <w:sz w:val="24"/>
              </w:rPr>
              <w:t>1</w:t>
            </w:r>
          </w:p>
        </w:tc>
        <w:tc>
          <w:tcPr>
            <w:tcW w:w="7202" w:type="dxa"/>
          </w:tcPr>
          <w:p>
            <w:pPr>
              <w:pStyle w:val="TableParagraph"/>
              <w:ind w:left="219" w:right="44"/>
              <w:rPr>
                <w:sz w:val="24"/>
              </w:rPr>
            </w:pPr>
            <w:r>
              <w:rPr>
                <w:sz w:val="24"/>
              </w:rPr>
              <w:t>Interrelaciones entre 39 cultivares de haba (en número) y 11 variables agronómicas (en letra).</w:t>
            </w:r>
          </w:p>
        </w:tc>
        <w:tc>
          <w:tcPr>
            <w:tcW w:w="708" w:type="dxa"/>
          </w:tcPr>
          <w:p>
            <w:pPr>
              <w:pStyle w:val="TableParagraph"/>
              <w:spacing w:before="10"/>
              <w:rPr>
                <w:sz w:val="22"/>
              </w:rPr>
            </w:pPr>
          </w:p>
          <w:p>
            <w:pPr>
              <w:pStyle w:val="TableParagraph"/>
              <w:ind w:left="156" w:right="13"/>
              <w:jc w:val="center"/>
              <w:rPr>
                <w:sz w:val="24"/>
              </w:rPr>
            </w:pPr>
            <w:r>
              <w:rPr>
                <w:sz w:val="24"/>
              </w:rPr>
              <w:t>77</w:t>
            </w:r>
          </w:p>
        </w:tc>
      </w:tr>
      <w:tr>
        <w:trPr>
          <w:trHeight w:val="552" w:hRule="exact"/>
        </w:trPr>
        <w:tc>
          <w:tcPr>
            <w:tcW w:w="1198" w:type="dxa"/>
          </w:tcPr>
          <w:p>
            <w:pPr>
              <w:pStyle w:val="TableParagraph"/>
              <w:spacing w:line="268" w:lineRule="exact"/>
              <w:ind w:left="38"/>
              <w:jc w:val="center"/>
              <w:rPr>
                <w:b/>
                <w:sz w:val="24"/>
              </w:rPr>
            </w:pPr>
            <w:r>
              <w:rPr>
                <w:b/>
                <w:sz w:val="24"/>
              </w:rPr>
              <w:t>2</w:t>
            </w:r>
          </w:p>
        </w:tc>
        <w:tc>
          <w:tcPr>
            <w:tcW w:w="7202" w:type="dxa"/>
          </w:tcPr>
          <w:p>
            <w:pPr>
              <w:pStyle w:val="TableParagraph"/>
              <w:ind w:left="219" w:right="44"/>
              <w:rPr>
                <w:sz w:val="24"/>
              </w:rPr>
            </w:pPr>
            <w:r>
              <w:rPr>
                <w:sz w:val="24"/>
              </w:rPr>
              <w:t>Agrupación de 39 cultivares de haba con base en 11 variables agronómicas. Método de agrupamiento de pares no ponderados con</w:t>
            </w:r>
          </w:p>
        </w:tc>
        <w:tc>
          <w:tcPr>
            <w:tcW w:w="708" w:type="dxa"/>
          </w:tcPr>
          <w:p>
            <w:pPr/>
          </w:p>
        </w:tc>
      </w:tr>
      <w:tr>
        <w:trPr>
          <w:trHeight w:val="358" w:hRule="exact"/>
        </w:trPr>
        <w:tc>
          <w:tcPr>
            <w:tcW w:w="1198" w:type="dxa"/>
          </w:tcPr>
          <w:p>
            <w:pPr/>
          </w:p>
        </w:tc>
        <w:tc>
          <w:tcPr>
            <w:tcW w:w="7202" w:type="dxa"/>
          </w:tcPr>
          <w:p>
            <w:pPr>
              <w:pStyle w:val="TableParagraph"/>
              <w:spacing w:line="263" w:lineRule="exact"/>
              <w:ind w:left="219" w:right="44"/>
              <w:rPr>
                <w:sz w:val="24"/>
              </w:rPr>
            </w:pPr>
            <w:r>
              <w:rPr>
                <w:sz w:val="24"/>
              </w:rPr>
              <w:t>medias aritméticas (Método UPGMA).</w:t>
            </w:r>
          </w:p>
        </w:tc>
        <w:tc>
          <w:tcPr>
            <w:tcW w:w="708" w:type="dxa"/>
          </w:tcPr>
          <w:p>
            <w:pPr>
              <w:pStyle w:val="TableParagraph"/>
              <w:spacing w:line="263" w:lineRule="exact"/>
              <w:ind w:left="156" w:right="13"/>
              <w:jc w:val="center"/>
              <w:rPr>
                <w:sz w:val="24"/>
              </w:rPr>
            </w:pPr>
            <w:r>
              <w:rPr>
                <w:sz w:val="24"/>
              </w:rPr>
              <w:t>78</w:t>
            </w:r>
          </w:p>
        </w:tc>
      </w:tr>
    </w:tbl>
    <w:p>
      <w:pPr>
        <w:pStyle w:val="BodyText"/>
        <w:rPr>
          <w:sz w:val="20"/>
        </w:rPr>
      </w:pPr>
    </w:p>
    <w:p>
      <w:pPr>
        <w:pStyle w:val="BodyText"/>
        <w:rPr>
          <w:sz w:val="20"/>
        </w:rPr>
      </w:pPr>
    </w:p>
    <w:p>
      <w:pPr>
        <w:pStyle w:val="BodyText"/>
        <w:rPr>
          <w:sz w:val="20"/>
        </w:rPr>
      </w:pPr>
    </w:p>
    <w:p>
      <w:pPr>
        <w:pStyle w:val="BodyText"/>
        <w:spacing w:before="8"/>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8"/>
        <w:gridCol w:w="7525"/>
        <w:gridCol w:w="793"/>
      </w:tblGrid>
      <w:tr>
        <w:trPr>
          <w:trHeight w:val="396" w:hRule="exact"/>
        </w:trPr>
        <w:tc>
          <w:tcPr>
            <w:tcW w:w="1158" w:type="dxa"/>
          </w:tcPr>
          <w:p>
            <w:pPr/>
          </w:p>
        </w:tc>
        <w:tc>
          <w:tcPr>
            <w:tcW w:w="7525" w:type="dxa"/>
          </w:tcPr>
          <w:p>
            <w:pPr>
              <w:pStyle w:val="TableParagraph"/>
              <w:spacing w:line="245" w:lineRule="exact"/>
              <w:ind w:left="1968"/>
              <w:rPr>
                <w:b/>
                <w:sz w:val="24"/>
              </w:rPr>
            </w:pPr>
            <w:r>
              <w:rPr>
                <w:b/>
                <w:sz w:val="24"/>
              </w:rPr>
              <w:t>LISTA DE TABLAS ANEXAS</w:t>
            </w:r>
          </w:p>
        </w:tc>
        <w:tc>
          <w:tcPr>
            <w:tcW w:w="793" w:type="dxa"/>
          </w:tcPr>
          <w:p>
            <w:pPr/>
          </w:p>
        </w:tc>
      </w:tr>
      <w:tr>
        <w:trPr>
          <w:trHeight w:val="550" w:hRule="exact"/>
        </w:trPr>
        <w:tc>
          <w:tcPr>
            <w:tcW w:w="1158" w:type="dxa"/>
          </w:tcPr>
          <w:p>
            <w:pPr>
              <w:pStyle w:val="TableParagraph"/>
              <w:spacing w:before="125"/>
              <w:ind w:left="180" w:right="110"/>
              <w:jc w:val="center"/>
              <w:rPr>
                <w:b/>
                <w:sz w:val="24"/>
              </w:rPr>
            </w:pPr>
            <w:r>
              <w:rPr>
                <w:b/>
                <w:sz w:val="24"/>
              </w:rPr>
              <w:t>TABLA</w:t>
            </w:r>
          </w:p>
        </w:tc>
        <w:tc>
          <w:tcPr>
            <w:tcW w:w="7525" w:type="dxa"/>
          </w:tcPr>
          <w:p>
            <w:pPr/>
          </w:p>
        </w:tc>
        <w:tc>
          <w:tcPr>
            <w:tcW w:w="793" w:type="dxa"/>
          </w:tcPr>
          <w:p>
            <w:pPr>
              <w:pStyle w:val="TableParagraph"/>
              <w:spacing w:before="125"/>
              <w:ind w:left="9" w:right="177"/>
              <w:jc w:val="center"/>
              <w:rPr>
                <w:b/>
                <w:sz w:val="24"/>
              </w:rPr>
            </w:pPr>
            <w:r>
              <w:rPr>
                <w:b/>
                <w:sz w:val="24"/>
              </w:rPr>
              <w:t>PÁG.</w:t>
            </w:r>
          </w:p>
        </w:tc>
      </w:tr>
      <w:tr>
        <w:trPr>
          <w:trHeight w:val="414" w:hRule="exact"/>
        </w:trPr>
        <w:tc>
          <w:tcPr>
            <w:tcW w:w="1158" w:type="dxa"/>
          </w:tcPr>
          <w:p>
            <w:pPr>
              <w:pStyle w:val="TableParagraph"/>
              <w:spacing w:before="127"/>
              <w:ind w:left="67"/>
              <w:jc w:val="center"/>
              <w:rPr>
                <w:b/>
                <w:sz w:val="24"/>
              </w:rPr>
            </w:pPr>
            <w:r>
              <w:rPr>
                <w:b/>
                <w:sz w:val="24"/>
              </w:rPr>
              <w:t>1</w:t>
            </w:r>
          </w:p>
        </w:tc>
        <w:tc>
          <w:tcPr>
            <w:tcW w:w="7525" w:type="dxa"/>
          </w:tcPr>
          <w:p>
            <w:pPr>
              <w:pStyle w:val="TableParagraph"/>
              <w:spacing w:before="122"/>
              <w:ind w:left="129"/>
              <w:rPr>
                <w:sz w:val="24"/>
              </w:rPr>
            </w:pPr>
            <w:r>
              <w:rPr>
                <w:sz w:val="24"/>
              </w:rPr>
              <w:t>Lecturas de Absorbancia para calcular la concentración de ADN</w:t>
            </w:r>
          </w:p>
        </w:tc>
        <w:tc>
          <w:tcPr>
            <w:tcW w:w="793" w:type="dxa"/>
          </w:tcPr>
          <w:p>
            <w:pPr>
              <w:pStyle w:val="TableParagraph"/>
              <w:spacing w:before="122"/>
              <w:ind w:left="9" w:right="175"/>
              <w:jc w:val="center"/>
              <w:rPr>
                <w:sz w:val="24"/>
              </w:rPr>
            </w:pPr>
            <w:r>
              <w:rPr>
                <w:sz w:val="24"/>
              </w:rPr>
              <w:t>83</w:t>
            </w:r>
          </w:p>
        </w:tc>
      </w:tr>
      <w:tr>
        <w:trPr>
          <w:trHeight w:val="276" w:hRule="exact"/>
        </w:trPr>
        <w:tc>
          <w:tcPr>
            <w:tcW w:w="1158" w:type="dxa"/>
          </w:tcPr>
          <w:p>
            <w:pPr>
              <w:pStyle w:val="TableParagraph"/>
              <w:spacing w:line="265" w:lineRule="exact"/>
              <w:ind w:left="67"/>
              <w:jc w:val="center"/>
              <w:rPr>
                <w:b/>
                <w:sz w:val="24"/>
              </w:rPr>
            </w:pPr>
            <w:r>
              <w:rPr>
                <w:b/>
                <w:sz w:val="24"/>
              </w:rPr>
              <w:t>2</w:t>
            </w:r>
          </w:p>
        </w:tc>
        <w:tc>
          <w:tcPr>
            <w:tcW w:w="7525" w:type="dxa"/>
            <w:vMerge w:val="restart"/>
          </w:tcPr>
          <w:p>
            <w:pPr>
              <w:pStyle w:val="TableParagraph"/>
              <w:spacing w:line="261" w:lineRule="exact"/>
              <w:ind w:left="129"/>
              <w:rPr>
                <w:sz w:val="24"/>
              </w:rPr>
            </w:pPr>
            <w:r>
              <w:rPr>
                <w:sz w:val="24"/>
              </w:rPr>
              <w:t>Componentes  y concentraciones  para  preparar  de  25  µL de  mezcla  de</w:t>
            </w:r>
          </w:p>
          <w:p>
            <w:pPr>
              <w:pStyle w:val="TableParagraph"/>
              <w:ind w:left="129"/>
              <w:rPr>
                <w:sz w:val="24"/>
              </w:rPr>
            </w:pPr>
            <w:r>
              <w:rPr>
                <w:sz w:val="24"/>
              </w:rPr>
              <w:t>reacción.</w:t>
            </w:r>
          </w:p>
        </w:tc>
        <w:tc>
          <w:tcPr>
            <w:tcW w:w="793" w:type="dxa"/>
          </w:tcPr>
          <w:p>
            <w:pPr/>
          </w:p>
        </w:tc>
      </w:tr>
      <w:tr>
        <w:trPr>
          <w:trHeight w:val="256" w:hRule="exact"/>
        </w:trPr>
        <w:tc>
          <w:tcPr>
            <w:tcW w:w="1158" w:type="dxa"/>
          </w:tcPr>
          <w:p>
            <w:pPr/>
          </w:p>
        </w:tc>
        <w:tc>
          <w:tcPr>
            <w:tcW w:w="7525" w:type="dxa"/>
            <w:vMerge/>
          </w:tcPr>
          <w:p>
            <w:pPr/>
          </w:p>
        </w:tc>
        <w:tc>
          <w:tcPr>
            <w:tcW w:w="793" w:type="dxa"/>
          </w:tcPr>
          <w:p>
            <w:pPr>
              <w:pStyle w:val="TableParagraph"/>
              <w:spacing w:line="261" w:lineRule="exact"/>
              <w:ind w:left="9" w:right="175"/>
              <w:jc w:val="center"/>
              <w:rPr>
                <w:sz w:val="24"/>
              </w:rPr>
            </w:pPr>
            <w:r>
              <w:rPr>
                <w:sz w:val="24"/>
              </w:rPr>
              <w:t>84</w:t>
            </w:r>
          </w:p>
        </w:tc>
      </w:tr>
    </w:tbl>
    <w:p>
      <w:pPr>
        <w:spacing w:after="0" w:line="261" w:lineRule="exact"/>
        <w:jc w:val="center"/>
        <w:rPr>
          <w:sz w:val="24"/>
        </w:rPr>
        <w:sectPr>
          <w:footerReference w:type="default" r:id="rId7"/>
          <w:pgSz w:w="12240" w:h="15840"/>
          <w:pgMar w:footer="2074" w:header="0" w:top="1340" w:bottom="2260" w:left="1440" w:right="1100"/>
        </w:sectPr>
      </w:pPr>
    </w:p>
    <w:p>
      <w:pPr>
        <w:spacing w:before="57"/>
        <w:ind w:left="102" w:right="118" w:firstLine="0"/>
        <w:jc w:val="center"/>
        <w:rPr>
          <w:b/>
          <w:sz w:val="24"/>
        </w:rPr>
      </w:pPr>
      <w:r>
        <w:rPr>
          <w:b/>
          <w:sz w:val="24"/>
        </w:rPr>
        <w:t>RESUMEN GENERAL</w:t>
      </w:r>
    </w:p>
    <w:p>
      <w:pPr>
        <w:pStyle w:val="BodyText"/>
        <w:rPr>
          <w:b/>
        </w:rPr>
      </w:pPr>
    </w:p>
    <w:p>
      <w:pPr>
        <w:pStyle w:val="BodyText"/>
        <w:spacing w:line="360" w:lineRule="auto" w:before="195"/>
        <w:ind w:left="102" w:right="111"/>
        <w:jc w:val="both"/>
      </w:pPr>
      <w:r>
        <w:rPr/>
        <w:t>El cultivo de haba (</w:t>
      </w:r>
      <w:r>
        <w:rPr>
          <w:i/>
        </w:rPr>
        <w:t>Vicia faba </w:t>
      </w:r>
      <w:r>
        <w:rPr/>
        <w:t>L.) en México ha cobrado importancia en los últimos años debido a su alto contenido de proteína ya que ha superado en el mercado los precios del maíz y el frijol, convirtiéndose en un cultivo alternativo con potencial. El objetivo de la presente investigación fue analizar la diversidad genética de 35 poblaciones y cuatro variedades de  haba colectadas en el Valle Toluca-Atlacomulco, México; mediante el uso de marcadores moleculares y morfológicos. Para el análisis molecular se utilizaron Inter Secuencias Simples Repetidas; con los datos obtenidos se construyó una matríz binaria misma que fue analizada para generar una matríz de distancias genéticasde acuerdo al Método Aritmético de Pares de Grupos no Ponderados (UPGMA), además fue construido un dendograma con 1000 replicas para hacer los análisis estadísticos correspondientes; mientras que para el análisis morfológico se estableció un experimento en campo de bloques completos al azar y se evaluaron 29 variables, las variables cuantitativas fueron evaluadas mediante un análisis de varianza (ANOVA) y un análisis de componentes principales.Los resultados del análisis molecular mostraron la presencia de 134 bandas polimórficas, mientras que las distancias genéticas oscilaron de 0.38 a 0.83, lo cual indica alta variabilidad a nivel de DNA. Las accesiones P25 y P29 fueron genéticamente diferentes al resto de poblaciones. Los resultados morfológicos permitieron corroborar que la expresión fenotípica de P29 también fue diferente. Además fue posible identificar poblaciones de interés como: P1, P2, P3, P4, P5, P7, P8, P9, P20, P27, P29, P30, P32 y P36, en cuanto a caracteres como precocidad, periodo de floración y arquitectura del tallo; así mismo, se observó variabilidad en caracteres asociados al rendimiento como número de vainas, número de semillas por vaina y peso de semillas por vaina. La diversidad detectada a nivel molecular y morfológico en las accesiones evaluadas puede ser utilizada en programas de mejoramiento genético, encaminados a resolver problemas específicos de los productores.</w:t>
      </w:r>
    </w:p>
    <w:p>
      <w:pPr>
        <w:spacing w:after="0" w:line="360" w:lineRule="auto"/>
        <w:jc w:val="both"/>
        <w:sectPr>
          <w:footerReference w:type="default" r:id="rId8"/>
          <w:pgSz w:w="12240" w:h="15840"/>
          <w:pgMar w:footer="1585" w:header="0" w:top="1360" w:bottom="1780" w:left="1600" w:right="1300"/>
          <w:pgNumType w:start="9"/>
        </w:sectPr>
      </w:pPr>
    </w:p>
    <w:p>
      <w:pPr>
        <w:pStyle w:val="Heading2"/>
        <w:ind w:right="117"/>
        <w:jc w:val="center"/>
      </w:pPr>
      <w:r>
        <w:rPr/>
        <w:t>ABSTRACT</w:t>
      </w:r>
    </w:p>
    <w:p>
      <w:pPr>
        <w:pStyle w:val="BodyText"/>
        <w:rPr>
          <w:b/>
        </w:rPr>
      </w:pPr>
    </w:p>
    <w:p>
      <w:pPr>
        <w:pStyle w:val="BodyText"/>
        <w:spacing w:before="7"/>
        <w:rPr>
          <w:b/>
          <w:sz w:val="23"/>
        </w:rPr>
      </w:pPr>
    </w:p>
    <w:p>
      <w:pPr>
        <w:pStyle w:val="BodyText"/>
        <w:spacing w:line="360" w:lineRule="auto"/>
        <w:ind w:left="102" w:right="113"/>
        <w:jc w:val="both"/>
      </w:pPr>
      <w:r>
        <w:rPr/>
        <w:t>In Mexico, the cultivation of faba bean (</w:t>
      </w:r>
      <w:r>
        <w:rPr>
          <w:i/>
        </w:rPr>
        <w:t>Vicia faba </w:t>
      </w:r>
      <w:r>
        <w:rPr/>
        <w:t>L.) has grown in importance in recent years due to its high content of protein; as it has surpassed the prices of maize and bean in the market, it has become an alternative crop with potential. The objective of the present research was to analyze the genetic diversity of 35 populations and four varieties of faba  bean, collected in the Valley of Toluca-Atlacomulco, Mexico, by means of molecular and morphological markers. For the molecular analysisInter Simple Sequence Repeats were used, with the obtained data a binary matrix was build, which was analyzed in order to generate a matrix of genetic distances according to UPGMA (Unweighted Pair Group Method with Arithmetic Mean). Additionally, a 1000-replica dendrogram was constructed to run the corresponding statistical analysis. While for the morphological analysis an in-field experiment was set with full bocks at random and 23 variables were analyzed; quantitative variables were assessed by means of a variance analysis (ANOVA) and a principal component analysis. Results from the molecular the analysis showed the presence of 134 polymorphic bands, while genetic distances oscillated from 0.38 to 0.83, which indicates high variability at DNA level. Accessions P25 and P29 were genetically different from the rest of populations. The morphological results allowed corroborating that phenotypic expression P29 was also different. Moreover, it was possible to identify populations of interest: such as </w:t>
      </w:r>
      <w:r>
        <w:rPr>
          <w:spacing w:val="2"/>
        </w:rPr>
        <w:t>P1, </w:t>
      </w:r>
      <w:r>
        <w:rPr/>
        <w:t>P2, P3, P4, P5, P7, P8, P9, P20, P27, P29, P30, P32 and P36, as for characters such  as  precocity, flowering period and stem architecture; likewise, variability was observed in characters associated to performance such as number of pods, number of seeds </w:t>
      </w:r>
      <w:r>
        <w:rPr>
          <w:spacing w:val="2"/>
        </w:rPr>
        <w:t>per </w:t>
      </w:r>
      <w:r>
        <w:rPr/>
        <w:t>pod and weight of seeds per pod. The diversity detected at molecular and morphologic level in the assessed accessions can be utilized in genetic improvement programs aimed at solving producer- specific</w:t>
      </w:r>
      <w:r>
        <w:rPr>
          <w:spacing w:val="-5"/>
        </w:rPr>
        <w:t> </w:t>
      </w:r>
      <w:r>
        <w:rPr/>
        <w:t>problems.</w:t>
      </w:r>
    </w:p>
    <w:p>
      <w:pPr>
        <w:spacing w:after="0" w:line="360" w:lineRule="auto"/>
        <w:jc w:val="both"/>
        <w:sectPr>
          <w:pgSz w:w="12240" w:h="15840"/>
          <w:pgMar w:header="0" w:footer="1585" w:top="1360" w:bottom="1780" w:left="1600" w:right="1300"/>
        </w:sectPr>
      </w:pPr>
    </w:p>
    <w:p>
      <w:pPr>
        <w:pStyle w:val="Heading2"/>
        <w:numPr>
          <w:ilvl w:val="1"/>
          <w:numId w:val="2"/>
        </w:numPr>
        <w:tabs>
          <w:tab w:pos="3832" w:val="left" w:leader="none"/>
        </w:tabs>
        <w:spacing w:line="240" w:lineRule="auto" w:before="57" w:after="0"/>
        <w:ind w:left="3831" w:right="0" w:hanging="273"/>
        <w:jc w:val="left"/>
      </w:pPr>
      <w:r>
        <w:rPr/>
        <w:t>INTRODUCCIÓN</w:t>
      </w:r>
    </w:p>
    <w:p>
      <w:pPr>
        <w:pStyle w:val="BodyText"/>
        <w:rPr>
          <w:b/>
        </w:rPr>
      </w:pPr>
    </w:p>
    <w:p>
      <w:pPr>
        <w:pStyle w:val="BodyText"/>
        <w:spacing w:line="480" w:lineRule="auto" w:before="192"/>
        <w:ind w:left="102" w:right="116"/>
        <w:jc w:val="both"/>
      </w:pPr>
      <w:r>
        <w:rPr/>
        <w:t>El haba es un cultivo alternativo en los Valles Altos del Centro México, donde casi el 90 % de la superficie se siembra en condiciones de temporal. Esta especie tolera bajas temperaturas y  la mayor producción se destina al autoconsumo, predominando ampliamente su asociación con cultivos como maíz y frijol; por su habilidad para fijar nitrógeno atmosférico y aún por crecer en zonas marginales (Pérez y González, 2003; Kalia y Sood,</w:t>
      </w:r>
      <w:r>
        <w:rPr>
          <w:spacing w:val="-11"/>
        </w:rPr>
        <w:t> </w:t>
      </w:r>
      <w:r>
        <w:rPr/>
        <w:t>2004).</w:t>
      </w:r>
    </w:p>
    <w:p>
      <w:pPr>
        <w:pStyle w:val="BodyText"/>
        <w:spacing w:line="477" w:lineRule="auto" w:before="207"/>
        <w:ind w:left="102" w:right="113"/>
        <w:jc w:val="both"/>
      </w:pPr>
      <w:r>
        <w:rPr/>
        <w:t>El Estado de México es la principal entidad productora de haba del país; se siembran aproximadamente 236 hectáreas (ha) de haba para grano y 5463.70 ha para la producción en verde, las cuales se establecen en condiciones de riego y temporal, con rendimientos promedio de entre 2.15 y 6.99 t ha</w:t>
      </w:r>
      <w:r>
        <w:rPr>
          <w:position w:val="9"/>
          <w:sz w:val="16"/>
        </w:rPr>
        <w:t>-1</w:t>
      </w:r>
      <w:r>
        <w:rPr/>
        <w:t>, respectivamente (SIAP 2009). En los últimos años se ha cotizado hasta en 60 pesos el kilo de haba en seco, siendo un cultivo promisorio para los productores.</w:t>
      </w:r>
    </w:p>
    <w:p>
      <w:pPr>
        <w:pStyle w:val="BodyText"/>
        <w:spacing w:line="480" w:lineRule="auto" w:before="212"/>
        <w:ind w:left="102" w:right="113"/>
        <w:jc w:val="both"/>
      </w:pPr>
      <w:r>
        <w:rPr/>
        <w:t>A pesar de la importancia que tiene esta leguminosa en los Valles Altos del Centro de México, su uso potencial se ha restringido, principalmente por la susceptibilidad a enfermedades y por la carencia de información sobre la diversidad y variabilidad genética, así como por el desconocimiento del adecuado y eficiente manejo de los componentes esenciales de los sistemas de producción, tanto extensivos como intensivos. (Ortiz </w:t>
      </w:r>
      <w:r>
        <w:rPr>
          <w:i/>
        </w:rPr>
        <w:t>et al</w:t>
      </w:r>
      <w:r>
        <w:rPr/>
        <w:t>., 1983).</w:t>
      </w:r>
    </w:p>
    <w:p>
      <w:pPr>
        <w:pStyle w:val="BodyText"/>
        <w:spacing w:line="480" w:lineRule="auto" w:before="207"/>
        <w:ind w:left="102" w:right="113"/>
        <w:jc w:val="both"/>
      </w:pPr>
      <w:r>
        <w:rPr/>
        <w:t>La diversidad genética disponible en México no ha sido totalmente documentada y utilizada. Sin embargo, estudios morfológicos han permitido identificar variabilidad entre y dentro de poblaciones (Lawes </w:t>
      </w:r>
      <w:r>
        <w:rPr>
          <w:i/>
        </w:rPr>
        <w:t>et al</w:t>
      </w:r>
      <w:r>
        <w:rPr/>
        <w:t>., 1983), misma que debe ser confirmada a nivel molecular a fin de identificar certeramente la variación genética entre y dentro de accesiones, a efecto de poder incorporar estos materiales en programas de mejoramiento genético, de ahí la importancia del presente estudio.</w:t>
      </w:r>
    </w:p>
    <w:p>
      <w:pPr>
        <w:spacing w:after="0" w:line="480" w:lineRule="auto"/>
        <w:jc w:val="both"/>
        <w:sectPr>
          <w:footerReference w:type="default" r:id="rId9"/>
          <w:pgSz w:w="12240" w:h="15840"/>
          <w:pgMar w:footer="0" w:header="0" w:top="1360" w:bottom="280" w:left="1600" w:right="1300"/>
        </w:sectPr>
      </w:pPr>
    </w:p>
    <w:p>
      <w:pPr>
        <w:pStyle w:val="BodyText"/>
        <w:spacing w:before="52"/>
        <w:ind w:left="102"/>
        <w:jc w:val="both"/>
      </w:pPr>
      <w:r>
        <w:rPr/>
        <w:t>Por lo que se planteó la siguiente:</w:t>
      </w:r>
    </w:p>
    <w:p>
      <w:pPr>
        <w:pStyle w:val="BodyText"/>
      </w:pPr>
    </w:p>
    <w:p>
      <w:pPr>
        <w:pStyle w:val="Heading2"/>
        <w:spacing w:before="204"/>
      </w:pPr>
      <w:r>
        <w:rPr/>
        <w:t>HIPÓTESIS</w:t>
      </w:r>
    </w:p>
    <w:p>
      <w:pPr>
        <w:pStyle w:val="BodyText"/>
        <w:rPr>
          <w:b/>
        </w:rPr>
      </w:pPr>
    </w:p>
    <w:p>
      <w:pPr>
        <w:pStyle w:val="BodyText"/>
        <w:spacing w:line="482" w:lineRule="auto" w:before="192"/>
        <w:ind w:left="102" w:right="101"/>
      </w:pPr>
      <w:r>
        <w:rPr/>
        <w:t>Existe variabilidad genética en las 39 poblaciones de haba evaluadas, y es posible determinarla mediante el uso de marcadoresmoleculares y morfológicos.</w:t>
      </w:r>
    </w:p>
    <w:p>
      <w:pPr>
        <w:pStyle w:val="BodyText"/>
        <w:spacing w:before="209"/>
        <w:ind w:left="102"/>
        <w:jc w:val="both"/>
      </w:pPr>
      <w:r>
        <w:rPr/>
        <w:t>Y los siguientes:</w:t>
      </w:r>
    </w:p>
    <w:p>
      <w:pPr>
        <w:pStyle w:val="BodyText"/>
      </w:pPr>
    </w:p>
    <w:p>
      <w:pPr>
        <w:pStyle w:val="Heading2"/>
        <w:spacing w:before="204"/>
      </w:pPr>
      <w:r>
        <w:rPr/>
        <w:t>OBJETIVO GENERAL</w:t>
      </w:r>
    </w:p>
    <w:p>
      <w:pPr>
        <w:pStyle w:val="BodyText"/>
        <w:rPr>
          <w:b/>
        </w:rPr>
      </w:pPr>
    </w:p>
    <w:p>
      <w:pPr>
        <w:pStyle w:val="BodyText"/>
        <w:tabs>
          <w:tab w:pos="3659" w:val="left" w:leader="none"/>
        </w:tabs>
        <w:spacing w:line="482" w:lineRule="auto" w:before="192"/>
        <w:ind w:left="102" w:right="113"/>
      </w:pPr>
      <w:r>
        <w:rPr/>
        <w:t>Analizar  la</w:t>
      </w:r>
      <w:r>
        <w:rPr>
          <w:spacing w:val="58"/>
        </w:rPr>
        <w:t> </w:t>
      </w:r>
      <w:r>
        <w:rPr/>
        <w:t>variabilidad </w:t>
      </w:r>
      <w:r>
        <w:rPr>
          <w:spacing w:val="2"/>
        </w:rPr>
        <w:t> </w:t>
      </w:r>
      <w:r>
        <w:rPr/>
        <w:t>genética</w:t>
        <w:tab/>
        <w:t>existente  en  39  accesiones  de  haba  del </w:t>
      </w:r>
      <w:r>
        <w:rPr>
          <w:spacing w:val="13"/>
        </w:rPr>
        <w:t> </w:t>
      </w:r>
      <w:r>
        <w:rPr/>
        <w:t>Valle  Toluca- Atlacomulco mediante marcadores moleculares y</w:t>
      </w:r>
      <w:r>
        <w:rPr>
          <w:spacing w:val="-11"/>
        </w:rPr>
        <w:t> </w:t>
      </w:r>
      <w:r>
        <w:rPr/>
        <w:t>morfológicos.</w:t>
      </w:r>
    </w:p>
    <w:p>
      <w:pPr>
        <w:pStyle w:val="Heading2"/>
        <w:spacing w:before="214"/>
      </w:pPr>
      <w:r>
        <w:rPr/>
        <w:t>OBJETIVOS ESPECÍFICOS</w:t>
      </w:r>
    </w:p>
    <w:p>
      <w:pPr>
        <w:pStyle w:val="BodyText"/>
        <w:rPr>
          <w:b/>
        </w:rPr>
      </w:pPr>
    </w:p>
    <w:p>
      <w:pPr>
        <w:pStyle w:val="ListParagraph"/>
        <w:numPr>
          <w:ilvl w:val="0"/>
          <w:numId w:val="3"/>
        </w:numPr>
        <w:tabs>
          <w:tab w:pos="821" w:val="left" w:leader="none"/>
          <w:tab w:pos="822" w:val="left" w:leader="none"/>
        </w:tabs>
        <w:spacing w:line="240" w:lineRule="auto" w:before="194" w:after="0"/>
        <w:ind w:left="822" w:right="0" w:hanging="360"/>
        <w:jc w:val="left"/>
        <w:rPr>
          <w:sz w:val="24"/>
        </w:rPr>
      </w:pPr>
      <w:r>
        <w:rPr>
          <w:sz w:val="24"/>
        </w:rPr>
        <w:t>Caracterizar molecular y morfológicamente 39 genotipos de</w:t>
      </w:r>
      <w:r>
        <w:rPr>
          <w:spacing w:val="-10"/>
          <w:sz w:val="24"/>
        </w:rPr>
        <w:t> </w:t>
      </w:r>
      <w:r>
        <w:rPr>
          <w:sz w:val="24"/>
        </w:rPr>
        <w:t>haba.</w:t>
      </w:r>
    </w:p>
    <w:p>
      <w:pPr>
        <w:pStyle w:val="BodyText"/>
        <w:spacing w:before="10"/>
        <w:rPr>
          <w:sz w:val="23"/>
        </w:rPr>
      </w:pPr>
    </w:p>
    <w:p>
      <w:pPr>
        <w:pStyle w:val="ListParagraph"/>
        <w:numPr>
          <w:ilvl w:val="0"/>
          <w:numId w:val="3"/>
        </w:numPr>
        <w:tabs>
          <w:tab w:pos="822" w:val="left" w:leader="none"/>
        </w:tabs>
        <w:spacing w:line="463" w:lineRule="auto" w:before="0" w:after="0"/>
        <w:ind w:left="822" w:right="113" w:hanging="360"/>
        <w:jc w:val="both"/>
        <w:rPr>
          <w:sz w:val="24"/>
        </w:rPr>
      </w:pPr>
      <w:r>
        <w:rPr>
          <w:sz w:val="24"/>
        </w:rPr>
        <w:t>Evaluar la eficiencia de los marcadores moleculares contra los marcadores morfológicos.</w:t>
      </w:r>
    </w:p>
    <w:p>
      <w:pPr>
        <w:pStyle w:val="ListParagraph"/>
        <w:numPr>
          <w:ilvl w:val="0"/>
          <w:numId w:val="3"/>
        </w:numPr>
        <w:tabs>
          <w:tab w:pos="822" w:val="left" w:leader="none"/>
        </w:tabs>
        <w:spacing w:line="472" w:lineRule="auto" w:before="31" w:after="0"/>
        <w:ind w:left="822" w:right="116" w:hanging="360"/>
        <w:jc w:val="both"/>
        <w:rPr>
          <w:sz w:val="24"/>
        </w:rPr>
      </w:pPr>
      <w:r>
        <w:rPr>
          <w:sz w:val="24"/>
        </w:rPr>
        <w:t>Utilizar los marcadores moleculares y morfológicos para detectar genotipos sobresalientes y recomendarlos para su incorporación en programas de mejoramiento genético.</w:t>
      </w:r>
    </w:p>
    <w:p>
      <w:pPr>
        <w:pStyle w:val="BodyText"/>
        <w:spacing w:before="10"/>
        <w:rPr>
          <w:sz w:val="18"/>
        </w:rPr>
      </w:pPr>
    </w:p>
    <w:p>
      <w:pPr>
        <w:pStyle w:val="BodyText"/>
        <w:spacing w:line="480" w:lineRule="auto"/>
        <w:ind w:left="102" w:right="117"/>
        <w:jc w:val="both"/>
      </w:pPr>
      <w:r>
        <w:rPr/>
        <w:t>Finalmente, considerando que el Estado de México es uno de los principales productores de haba a nivel nacional y tomando en cuenta el potencial económico e industrial que ha alcanzado en la última década, discurrimos en que es un excelente cultivo alternativo para los productores mexiquenses ya que los cultivos básicos tradicionales como el maíz y el frijol son</w:t>
      </w:r>
    </w:p>
    <w:p>
      <w:pPr>
        <w:spacing w:after="0" w:line="480" w:lineRule="auto"/>
        <w:jc w:val="both"/>
        <w:sectPr>
          <w:footerReference w:type="default" r:id="rId10"/>
          <w:pgSz w:w="12240" w:h="15840"/>
          <w:pgMar w:footer="1856" w:header="0" w:top="1360" w:bottom="2040" w:left="1600" w:right="1300"/>
        </w:sectPr>
      </w:pPr>
    </w:p>
    <w:p>
      <w:pPr>
        <w:pStyle w:val="BodyText"/>
        <w:spacing w:line="482" w:lineRule="auto" w:before="50"/>
        <w:ind w:left="102" w:right="111" w:firstLine="60"/>
        <w:jc w:val="both"/>
      </w:pPr>
      <w:r>
        <w:rPr/>
        <w:t>cada vez menos rentables, y producirlos ya no representa una fuente importante de ingresos, por lo que es necesario canalizar la producción hacia cultivos que le permitan al productor obtener mayores ganancias, tal es el caso del cultivo de haba.</w:t>
      </w:r>
    </w:p>
    <w:p>
      <w:pPr>
        <w:pStyle w:val="BodyText"/>
        <w:spacing w:line="480" w:lineRule="auto" w:before="204"/>
        <w:ind w:left="102" w:right="115"/>
        <w:jc w:val="both"/>
      </w:pPr>
      <w:r>
        <w:rPr/>
        <w:t>Sin embargo, se ha observado que la producción de haba a nivel mundial, nacional y estatal ha disminuido, debido principalmente a condiciones de estrés biótico y abiótico; por lo que resulta necesario e importante, detectar la variación genética con la que se cuenta en el Estado de México. Actualmente el uso de herramientas moleculares como los marcadores genéticos permiten hacer con mayor precisión y eficiencia ésta detección, esto aunado a tecnologías modernas de mejora de plantas sirve para identificar a las poblaciones de haba de interés agronómico que puedan ser incorporadas en programas de mejoramiento genético que respondan de manera específica a incrementar la producción, tolerar o resistir el ataque de plagas y enfermedades, tolerar condiciones deficientes de suelo, entre otros, Con ello se coadyuva a beneficiar a los productores mexiquenses y mexicanos que se dedican a la producción de éste</w:t>
      </w:r>
      <w:r>
        <w:rPr>
          <w:spacing w:val="-5"/>
        </w:rPr>
        <w:t> </w:t>
      </w:r>
      <w:r>
        <w:rPr/>
        <w:t>cultivo.</w:t>
      </w:r>
    </w:p>
    <w:p>
      <w:pPr>
        <w:spacing w:after="0" w:line="480" w:lineRule="auto"/>
        <w:jc w:val="both"/>
        <w:sectPr>
          <w:footerReference w:type="default" r:id="rId11"/>
          <w:pgSz w:w="12240" w:h="15840"/>
          <w:pgMar w:footer="1556" w:header="0" w:top="1360" w:bottom="1740" w:left="1600" w:right="1300"/>
        </w:sectPr>
      </w:pPr>
    </w:p>
    <w:p>
      <w:pPr>
        <w:pStyle w:val="Heading2"/>
        <w:numPr>
          <w:ilvl w:val="1"/>
          <w:numId w:val="2"/>
        </w:numPr>
        <w:tabs>
          <w:tab w:pos="3194" w:val="left" w:leader="none"/>
        </w:tabs>
        <w:spacing w:line="240" w:lineRule="auto" w:before="57" w:after="0"/>
        <w:ind w:left="3193" w:right="0" w:hanging="307"/>
        <w:jc w:val="left"/>
      </w:pPr>
      <w:r>
        <w:rPr/>
        <w:t>REVISIÓN DE</w:t>
      </w:r>
      <w:r>
        <w:rPr>
          <w:spacing w:val="-4"/>
        </w:rPr>
        <w:t> </w:t>
      </w:r>
      <w:r>
        <w:rPr/>
        <w:t>LITERATURA</w:t>
      </w:r>
    </w:p>
    <w:p>
      <w:pPr>
        <w:pStyle w:val="BodyText"/>
        <w:rPr>
          <w:b/>
          <w:sz w:val="20"/>
        </w:rPr>
      </w:pPr>
    </w:p>
    <w:p>
      <w:pPr>
        <w:pStyle w:val="BodyText"/>
        <w:spacing w:before="4"/>
        <w:rPr>
          <w:b/>
          <w:sz w:val="21"/>
        </w:rPr>
      </w:pPr>
    </w:p>
    <w:p>
      <w:pPr>
        <w:pStyle w:val="ListParagraph"/>
        <w:numPr>
          <w:ilvl w:val="1"/>
          <w:numId w:val="4"/>
        </w:numPr>
        <w:tabs>
          <w:tab w:pos="523" w:val="left" w:leader="none"/>
        </w:tabs>
        <w:spacing w:line="240" w:lineRule="auto" w:before="0" w:after="0"/>
        <w:ind w:left="522" w:right="0" w:hanging="420"/>
        <w:jc w:val="both"/>
        <w:rPr>
          <w:b/>
          <w:sz w:val="24"/>
        </w:rPr>
      </w:pPr>
      <w:r>
        <w:rPr>
          <w:b/>
          <w:sz w:val="24"/>
        </w:rPr>
        <w:t>Origen</w:t>
      </w:r>
      <w:r>
        <w:rPr>
          <w:b/>
          <w:spacing w:val="-3"/>
          <w:sz w:val="24"/>
        </w:rPr>
        <w:t> </w:t>
      </w:r>
      <w:r>
        <w:rPr>
          <w:b/>
          <w:sz w:val="24"/>
        </w:rPr>
        <w:t>geográfico</w:t>
      </w:r>
    </w:p>
    <w:p>
      <w:pPr>
        <w:pStyle w:val="BodyText"/>
        <w:rPr>
          <w:b/>
        </w:rPr>
      </w:pPr>
    </w:p>
    <w:p>
      <w:pPr>
        <w:pStyle w:val="BodyText"/>
        <w:spacing w:line="480" w:lineRule="auto" w:before="192"/>
        <w:ind w:left="102" w:right="111"/>
        <w:jc w:val="both"/>
      </w:pPr>
      <w:r>
        <w:rPr>
          <w:i/>
        </w:rPr>
        <w:t>Vicia faba </w:t>
      </w:r>
      <w:r>
        <w:rPr>
          <w:spacing w:val="-3"/>
        </w:rPr>
        <w:t>L. </w:t>
      </w:r>
      <w:r>
        <w:rPr/>
        <w:t>fue una de las primeras leguminosas domesticadas por el  hombre, tiene su  origen en la región mediterránea y en el suroeste de Asia, aunque se extendió rápidamente a Europa, el Norte de África, Etiopia a lo largo del Nilo, India, China y México. Cubero (1974) menciona como centro de origen el cercano Oriente, desde donde se extendió al Mediterráneo y posteriormente al resto del mundo. Esta especie fue introducida a México con la llegada de los españoles, hace casi 600 años. Actualmente se cultiva ampliamente en regiones templadas y subtropicales (Flores </w:t>
      </w:r>
      <w:r>
        <w:rPr>
          <w:i/>
        </w:rPr>
        <w:t>et al.,</w:t>
      </w:r>
      <w:r>
        <w:rPr>
          <w:i/>
          <w:spacing w:val="-6"/>
        </w:rPr>
        <w:t> </w:t>
      </w:r>
      <w:r>
        <w:rPr/>
        <w:t>2012).</w:t>
      </w:r>
    </w:p>
    <w:p>
      <w:pPr>
        <w:pStyle w:val="BodyText"/>
        <w:spacing w:before="9"/>
        <w:rPr>
          <w:sz w:val="18"/>
        </w:rPr>
      </w:pPr>
    </w:p>
    <w:p>
      <w:pPr>
        <w:pStyle w:val="Heading2"/>
        <w:numPr>
          <w:ilvl w:val="1"/>
          <w:numId w:val="4"/>
        </w:numPr>
        <w:tabs>
          <w:tab w:pos="522" w:val="left" w:leader="none"/>
        </w:tabs>
        <w:spacing w:line="240" w:lineRule="auto" w:before="0" w:after="0"/>
        <w:ind w:left="522" w:right="0" w:hanging="420"/>
        <w:jc w:val="both"/>
      </w:pPr>
      <w:r>
        <w:rPr/>
        <w:t>Importancia del cultivo de haba a nivel estatal, nacional e</w:t>
      </w:r>
      <w:r>
        <w:rPr>
          <w:spacing w:val="-10"/>
        </w:rPr>
        <w:t> </w:t>
      </w:r>
      <w:r>
        <w:rPr/>
        <w:t>internacional</w:t>
      </w:r>
    </w:p>
    <w:p>
      <w:pPr>
        <w:pStyle w:val="BodyText"/>
        <w:rPr>
          <w:b/>
        </w:rPr>
      </w:pPr>
    </w:p>
    <w:p>
      <w:pPr>
        <w:pStyle w:val="BodyText"/>
        <w:spacing w:line="477" w:lineRule="auto" w:before="192"/>
        <w:ind w:left="102" w:right="111"/>
        <w:jc w:val="both"/>
      </w:pPr>
      <w:r>
        <w:rPr/>
        <w:t>El Estado de México ocupa el primer lugar en producción de vaina verde y el cuarto sitio de haba en seco con rendimientos promedio de 6.3 tha</w:t>
      </w:r>
      <w:r>
        <w:rPr>
          <w:position w:val="9"/>
          <w:sz w:val="16"/>
        </w:rPr>
        <w:t>-1 </w:t>
      </w:r>
      <w:r>
        <w:rPr/>
        <w:t>y 1.48 t ha</w:t>
      </w:r>
      <w:r>
        <w:rPr>
          <w:position w:val="9"/>
          <w:sz w:val="16"/>
        </w:rPr>
        <w:t>-1</w:t>
      </w:r>
      <w:r>
        <w:rPr/>
        <w:t>, respectivamente (FAOSTAT, 2013).En los Distritos de Desarrollo Rural (DDR) de Toluca y Atlacomulco cuyas altitudes fluctúan entre 2600 y 2800 msnm, se reportan rendimientos de 12 a 15 ton/ha con las variedades Tlaltizapán e Icamex; y representan el 27.7 % del total de la superficie estatal destinada a éste cultivo. En el DDR Valle de Bravo se reportan rendimientos superiores a 15 ton/ha. Los principales municipios productores de los DDR de Atlacomulco y Toluca que abarcan el Valle Toluca-Atlacomulco son: San Felipe del progreso, Acambay, Temascalcingo, Ixtlahuaca, Almoloya de Juárez, Lerma, Toluca y Zinacantepec; además de Jilotepec,  Tejupilco y otros municipios del sur y el oriente de la entidad. (INIFAP, 2013).Aún cuando el Estado</w:t>
      </w:r>
      <w:r>
        <w:rPr>
          <w:spacing w:val="48"/>
        </w:rPr>
        <w:t> </w:t>
      </w:r>
      <w:r>
        <w:rPr/>
        <w:t>de</w:t>
      </w:r>
      <w:r>
        <w:rPr>
          <w:spacing w:val="48"/>
        </w:rPr>
        <w:t> </w:t>
      </w:r>
      <w:r>
        <w:rPr/>
        <w:t>México</w:t>
      </w:r>
      <w:r>
        <w:rPr>
          <w:spacing w:val="48"/>
        </w:rPr>
        <w:t> </w:t>
      </w:r>
      <w:r>
        <w:rPr/>
        <w:t>no</w:t>
      </w:r>
      <w:r>
        <w:rPr>
          <w:spacing w:val="50"/>
        </w:rPr>
        <w:t> </w:t>
      </w:r>
      <w:r>
        <w:rPr/>
        <w:t>ocupa</w:t>
      </w:r>
      <w:r>
        <w:rPr>
          <w:spacing w:val="51"/>
        </w:rPr>
        <w:t> </w:t>
      </w:r>
      <w:r>
        <w:rPr/>
        <w:t>el</w:t>
      </w:r>
      <w:r>
        <w:rPr>
          <w:spacing w:val="49"/>
        </w:rPr>
        <w:t> </w:t>
      </w:r>
      <w:r>
        <w:rPr/>
        <w:t>primer</w:t>
      </w:r>
      <w:r>
        <w:rPr>
          <w:spacing w:val="50"/>
        </w:rPr>
        <w:t> </w:t>
      </w:r>
      <w:r>
        <w:rPr/>
        <w:t>lugar</w:t>
      </w:r>
      <w:r>
        <w:rPr>
          <w:spacing w:val="50"/>
        </w:rPr>
        <w:t> </w:t>
      </w:r>
      <w:r>
        <w:rPr/>
        <w:t>en</w:t>
      </w:r>
      <w:r>
        <w:rPr>
          <w:spacing w:val="51"/>
        </w:rPr>
        <w:t> </w:t>
      </w:r>
      <w:r>
        <w:rPr/>
        <w:t>rendimiento</w:t>
      </w:r>
      <w:r>
        <w:rPr>
          <w:spacing w:val="51"/>
        </w:rPr>
        <w:t> </w:t>
      </w:r>
      <w:r>
        <w:rPr/>
        <w:t>a</w:t>
      </w:r>
      <w:r>
        <w:rPr>
          <w:spacing w:val="50"/>
        </w:rPr>
        <w:t> </w:t>
      </w:r>
      <w:r>
        <w:rPr/>
        <w:t>nivel</w:t>
      </w:r>
      <w:r>
        <w:rPr>
          <w:spacing w:val="49"/>
        </w:rPr>
        <w:t> </w:t>
      </w:r>
      <w:r>
        <w:rPr/>
        <w:t>nacional</w:t>
      </w:r>
      <w:r>
        <w:rPr>
          <w:spacing w:val="51"/>
        </w:rPr>
        <w:t> </w:t>
      </w:r>
      <w:r>
        <w:rPr/>
        <w:t>si</w:t>
      </w:r>
      <w:r>
        <w:rPr>
          <w:spacing w:val="49"/>
        </w:rPr>
        <w:t> </w:t>
      </w:r>
      <w:r>
        <w:rPr/>
        <w:t>se</w:t>
      </w:r>
      <w:r>
        <w:rPr>
          <w:spacing w:val="50"/>
        </w:rPr>
        <w:t> </w:t>
      </w:r>
      <w:r>
        <w:rPr/>
        <w:t>puede</w:t>
      </w:r>
    </w:p>
    <w:p>
      <w:pPr>
        <w:spacing w:after="0" w:line="477" w:lineRule="auto"/>
        <w:jc w:val="both"/>
        <w:sectPr>
          <w:footerReference w:type="default" r:id="rId12"/>
          <w:pgSz w:w="12240" w:h="15840"/>
          <w:pgMar w:footer="0" w:header="0" w:top="1360" w:bottom="280" w:left="1600" w:right="1300"/>
        </w:sectPr>
      </w:pPr>
    </w:p>
    <w:p>
      <w:pPr>
        <w:pStyle w:val="BodyText"/>
        <w:spacing w:line="482" w:lineRule="auto" w:before="50"/>
        <w:ind w:left="102" w:right="115"/>
        <w:jc w:val="both"/>
      </w:pPr>
      <w:r>
        <w:rPr/>
        <w:t>trabajar para lograrlo. En cuanto a precio en el mercado nacional de haba en seco si ocupa el primer lugar.</w:t>
      </w:r>
    </w:p>
    <w:p>
      <w:pPr>
        <w:pStyle w:val="BodyText"/>
        <w:spacing w:line="480" w:lineRule="auto" w:before="204"/>
        <w:ind w:left="102" w:right="112"/>
        <w:jc w:val="both"/>
      </w:pPr>
      <w:r>
        <w:rPr/>
        <w:t>A nivel nacional el consumo </w:t>
      </w:r>
      <w:r>
        <w:rPr>
          <w:i/>
        </w:rPr>
        <w:t>per cápita </w:t>
      </w:r>
      <w:r>
        <w:rPr/>
        <w:t>de haba es de un kilogramo. La región de los Valles Altos de la Mesa Central que comprenden las principales entidades productoras son: Puebla, México, Tlaxcala, Michoacán, Hidalgo y Guanajuato, las zonas altas de Veracruz y Chiapas, y en menor escala Baja California, Sinaloa y Durango (FAOSTAT, 2013). La habilidad del cultivo para adaptarse a un amplio rango de condiciones agro ecológicas asegura una mayor diversidad.</w:t>
      </w:r>
    </w:p>
    <w:p>
      <w:pPr>
        <w:pStyle w:val="BodyText"/>
        <w:spacing w:line="480" w:lineRule="auto" w:before="207"/>
        <w:ind w:left="102" w:right="112"/>
        <w:jc w:val="both"/>
      </w:pPr>
      <w:r>
        <w:rPr/>
        <w:t>A nivel global, China, Etiopía, Egipto, Marruecos, Italia y Perú son los principales países productores, el haba es la leguminosa que ocupa el séptimo lugar en importancia económica(Crepón </w:t>
      </w:r>
      <w:r>
        <w:rPr>
          <w:i/>
        </w:rPr>
        <w:t>et al</w:t>
      </w:r>
      <w:r>
        <w:rPr/>
        <w:t>., 2010), registrándose una producción mundial de 4.3 millones de toneladas. Tradicionalmente en Europa su uso es con fines de alimentación humana y para ganado, en países subdesarrollados de África y Asia, representa una fuente barata de proteína  y en América solo algunos países la producen como Perú, Argentina, Bolivia, Colombia y México (FAOSTAT, 2013). No obstante, por la amplia gama de usos que se le atribuyen actualmente, su potencial industrial ha aumentado y esto le permite ubicarse como un cultivo alternativo y promisorio para los</w:t>
      </w:r>
      <w:r>
        <w:rPr>
          <w:spacing w:val="-10"/>
        </w:rPr>
        <w:t> </w:t>
      </w:r>
      <w:r>
        <w:rPr/>
        <w:t>productores.</w:t>
      </w:r>
    </w:p>
    <w:p>
      <w:pPr>
        <w:pStyle w:val="BodyText"/>
        <w:spacing w:line="480" w:lineRule="auto" w:before="209"/>
        <w:ind w:left="102" w:right="117"/>
        <w:jc w:val="both"/>
      </w:pPr>
      <w:r>
        <w:rPr/>
        <w:t>Sin embargo, en casi todas las latitudes donde se le cultiva se enfrentan serios problemas de ataque de plagas y enfermedades lo que ha limitado considerablemente el rendimiento.</w:t>
      </w:r>
    </w:p>
    <w:p>
      <w:pPr>
        <w:spacing w:after="0" w:line="480" w:lineRule="auto"/>
        <w:jc w:val="both"/>
        <w:sectPr>
          <w:footerReference w:type="default" r:id="rId13"/>
          <w:pgSz w:w="12240" w:h="15840"/>
          <w:pgMar w:footer="2156" w:header="0" w:top="1360" w:bottom="2340" w:left="1600" w:right="1300"/>
        </w:sectPr>
      </w:pPr>
    </w:p>
    <w:p>
      <w:pPr>
        <w:pStyle w:val="Heading2"/>
        <w:numPr>
          <w:ilvl w:val="1"/>
          <w:numId w:val="4"/>
        </w:numPr>
        <w:tabs>
          <w:tab w:pos="522" w:val="left" w:leader="none"/>
        </w:tabs>
        <w:spacing w:line="240" w:lineRule="auto" w:before="57" w:after="0"/>
        <w:ind w:left="522" w:right="0" w:hanging="420"/>
        <w:jc w:val="both"/>
      </w:pPr>
      <w:r>
        <w:rPr/>
        <w:t>Estudios de variabilidad genética en</w:t>
      </w:r>
      <w:r>
        <w:rPr>
          <w:spacing w:val="-7"/>
        </w:rPr>
        <w:t> </w:t>
      </w:r>
      <w:r>
        <w:rPr/>
        <w:t>haba</w:t>
      </w:r>
    </w:p>
    <w:p>
      <w:pPr>
        <w:pStyle w:val="BodyText"/>
        <w:rPr>
          <w:b/>
        </w:rPr>
      </w:pPr>
    </w:p>
    <w:p>
      <w:pPr>
        <w:pStyle w:val="BodyText"/>
        <w:spacing w:line="480" w:lineRule="auto" w:before="192"/>
        <w:ind w:left="102" w:right="120"/>
        <w:jc w:val="both"/>
      </w:pPr>
      <w:r>
        <w:rPr/>
        <w:t>La colección, caracterización, conservación y utilización de los recursos fitogenéticos es de gran importancia. Tales recursos durante mucho tiempo han estado sometidos a una intensa presión de selección natural e inducida, esto aunado a la deriva génica, ha dado origen a un gran número de genotipos, ampliando con ello la diversidad y variabilidad genética.</w:t>
      </w:r>
    </w:p>
    <w:p>
      <w:pPr>
        <w:pStyle w:val="BodyText"/>
        <w:spacing w:line="480" w:lineRule="auto" w:before="207"/>
        <w:ind w:left="102" w:right="116"/>
        <w:jc w:val="both"/>
      </w:pPr>
      <w:r>
        <w:rPr/>
        <w:t>Sin embargo, dicha diversidad está reduciéndose por diversos factores comolas exigencias en el mercado, el desplazamiento de las variedades criollas por cultivares foráneos, el abuso de sustancias químicas y la destrucción de los ecosistemas que han conducido a la erosión genética, entre otros (Duc </w:t>
      </w:r>
      <w:r>
        <w:rPr>
          <w:i/>
        </w:rPr>
        <w:t>et al</w:t>
      </w:r>
      <w:r>
        <w:rPr/>
        <w:t>., 2010).Los estudios sobre variabilidad genética aplicados a los bancos de genes son una de las herramientas que ayudan a tener un control más efectivo sobre la erosión genética.</w:t>
      </w:r>
    </w:p>
    <w:p>
      <w:pPr>
        <w:pStyle w:val="BodyText"/>
        <w:spacing w:line="480" w:lineRule="auto" w:before="209"/>
        <w:ind w:left="102" w:right="114"/>
        <w:jc w:val="both"/>
      </w:pPr>
      <w:r>
        <w:rPr/>
        <w:t>Además, permiten seleccionar individuos que por sus características promisorias o por su tolerancia o resistencia a condiciones bióticas o abióticas, faciliten la incorporación de genes y el establecimiento de la mejor estrategia reproductiva en programas de mejoramiento genético. La importancia del mantenimiento de estos recursos está en la medición y caracterización de dicha diversidad o variabilidad genética (Alghamdi </w:t>
      </w:r>
      <w:r>
        <w:rPr>
          <w:i/>
        </w:rPr>
        <w:t>et al</w:t>
      </w:r>
      <w:r>
        <w:rPr/>
        <w:t>., 2012a).</w:t>
      </w:r>
    </w:p>
    <w:p>
      <w:pPr>
        <w:pStyle w:val="BodyText"/>
        <w:spacing w:line="480" w:lineRule="auto" w:before="207"/>
        <w:ind w:left="102" w:right="112"/>
        <w:jc w:val="both"/>
      </w:pPr>
      <w:r>
        <w:rPr/>
        <w:t>Para ello se utilizan descriptores o características cuya expresión sea fácil de medir, registrar o evaluar, y hace referencia a la forma, estructura o comportamiento de las especies. Los descriptores son aplicados en la caracterización y evaluación de accesiones debido a que ayudan a su diferenciación (Franco e Hidalgo, 2003). Para estudios de variabilidad los genotipos deben ser  descritos agronómica, morfológica y genéticamente, con la   finalidad de</w:t>
      </w:r>
    </w:p>
    <w:p>
      <w:pPr>
        <w:spacing w:after="0" w:line="480" w:lineRule="auto"/>
        <w:jc w:val="both"/>
        <w:sectPr>
          <w:footerReference w:type="default" r:id="rId14"/>
          <w:pgSz w:w="12240" w:h="15840"/>
          <w:pgMar w:footer="1604" w:header="0" w:top="1360" w:bottom="1800" w:left="1600" w:right="1300"/>
          <w:pgNumType w:start="6"/>
        </w:sectPr>
      </w:pPr>
    </w:p>
    <w:p>
      <w:pPr>
        <w:pStyle w:val="BodyText"/>
        <w:spacing w:line="480" w:lineRule="auto" w:before="50"/>
        <w:ind w:left="102" w:right="113" w:firstLine="60"/>
        <w:jc w:val="both"/>
      </w:pPr>
      <w:r>
        <w:rPr/>
        <w:t>observar los rasgos característicos de la especie y de diferenciar aquellos que varían entre y dentro de las especies (Madriz y Luciani, 2002). </w:t>
      </w:r>
      <w:r>
        <w:rPr>
          <w:spacing w:val="-3"/>
        </w:rPr>
        <w:t>La </w:t>
      </w:r>
      <w:r>
        <w:rPr/>
        <w:t>caracterización molecular de manera específica permitirá descubrir genes y alelos de interés para los mejoradores (Duc </w:t>
      </w:r>
      <w:r>
        <w:rPr>
          <w:i/>
        </w:rPr>
        <w:t>et al</w:t>
      </w:r>
      <w:r>
        <w:rPr/>
        <w:t>.,  2010).</w:t>
      </w:r>
    </w:p>
    <w:p>
      <w:pPr>
        <w:pStyle w:val="Heading2"/>
        <w:numPr>
          <w:ilvl w:val="1"/>
          <w:numId w:val="4"/>
        </w:numPr>
        <w:tabs>
          <w:tab w:pos="522" w:val="left" w:leader="none"/>
        </w:tabs>
        <w:spacing w:line="240" w:lineRule="auto" w:before="214" w:after="0"/>
        <w:ind w:left="522" w:right="0" w:hanging="420"/>
        <w:jc w:val="both"/>
      </w:pPr>
      <w:r>
        <w:rPr/>
        <w:t>Caracterización mediante marcadores</w:t>
      </w:r>
      <w:r>
        <w:rPr>
          <w:spacing w:val="-10"/>
        </w:rPr>
        <w:t> </w:t>
      </w:r>
      <w:r>
        <w:rPr/>
        <w:t>morfológicos</w:t>
      </w:r>
    </w:p>
    <w:p>
      <w:pPr>
        <w:pStyle w:val="BodyText"/>
        <w:rPr>
          <w:b/>
        </w:rPr>
      </w:pPr>
    </w:p>
    <w:p>
      <w:pPr>
        <w:pStyle w:val="BodyText"/>
        <w:spacing w:line="480" w:lineRule="auto" w:before="192"/>
        <w:ind w:left="102" w:right="109"/>
        <w:jc w:val="both"/>
      </w:pPr>
      <w:r>
        <w:rPr/>
        <w:t>El haba es una especie parcialmente alógma, lo que hace más caro y difícil el mantenimiento y estabilidad de los genotipos mejorados (Duc </w:t>
      </w:r>
      <w:r>
        <w:rPr>
          <w:i/>
        </w:rPr>
        <w:t>et al</w:t>
      </w:r>
      <w:r>
        <w:rPr/>
        <w:t>., 2010 y Pearce </w:t>
      </w:r>
      <w:r>
        <w:rPr>
          <w:i/>
        </w:rPr>
        <w:t>et al</w:t>
      </w:r>
      <w:r>
        <w:rPr/>
        <w:t>., 2000) por ello, los materiales criollos que a través del tiempo han fijado genes de interés, representan una importante fuente de germoplasma para presentes y futuros programas de mejoramiento genético (Yahia </w:t>
      </w:r>
      <w:r>
        <w:rPr>
          <w:i/>
        </w:rPr>
        <w:t>et al</w:t>
      </w:r>
      <w:r>
        <w:rPr/>
        <w:t>., 2012).</w:t>
      </w:r>
    </w:p>
    <w:p>
      <w:pPr>
        <w:pStyle w:val="BodyText"/>
        <w:spacing w:line="480" w:lineRule="auto" w:before="209"/>
        <w:ind w:left="102" w:right="115"/>
        <w:jc w:val="both"/>
      </w:pPr>
      <w:r>
        <w:rPr/>
        <w:t>El estudio de la variabilidad genética basada en los rasgos morfológicos y agronómicos es una herramienta básica e importante para una explotación efectiva en los esquemas de mejoramiento genético de plantas, en la conservación eficiente del germoplasma y en el manejo agronómico (Pearce </w:t>
      </w:r>
      <w:r>
        <w:rPr>
          <w:i/>
        </w:rPr>
        <w:t>et al</w:t>
      </w:r>
      <w:r>
        <w:rPr/>
        <w:t>., 2000). En el caso del haba, desde hace dos décadas, en Europa y Siria se han hecho grandes inversiones económicas destinadas a la investigación para descubrir la variabilidad genética y los caracteres de interés agronómico. En Alemania y Francia, se ha encontrado amplia diversidad en días a floración, precocidad, hábito de crecimiento, arquitectura del tallo, longitud de entrenudos, ramas, tipo de crecimiento, rigidez del tallo (Arbaoui </w:t>
      </w:r>
      <w:r>
        <w:rPr>
          <w:i/>
        </w:rPr>
        <w:t>et al</w:t>
      </w:r>
      <w:r>
        <w:rPr/>
        <w:t>., 2008); en Siria se ha registrado amplia variación fenotípica en la pigmentación del tallo, tamaño y forma de los foliolos, color de la mancha de melanina en el ala  y el  estandarte,  ángulo, forma,  superficie, color y  distribución de  las vainas, color de la</w:t>
      </w:r>
    </w:p>
    <w:p>
      <w:pPr>
        <w:spacing w:after="0" w:line="480" w:lineRule="auto"/>
        <w:jc w:val="both"/>
        <w:sectPr>
          <w:pgSz w:w="12240" w:h="15840"/>
          <w:pgMar w:header="0" w:footer="1604" w:top="1360" w:bottom="2000" w:left="1600" w:right="1300"/>
        </w:sectPr>
      </w:pPr>
    </w:p>
    <w:p>
      <w:pPr>
        <w:pStyle w:val="BodyText"/>
        <w:spacing w:line="480" w:lineRule="auto" w:before="50"/>
        <w:ind w:left="102" w:right="113" w:firstLine="60"/>
        <w:jc w:val="both"/>
      </w:pPr>
      <w:r>
        <w:rPr/>
        <w:t>semilla, de la testa y color del hilium (Robertson and El-Sherbeeny, 1991); mientras que en Etiopía se ha observado variabilidad en el tamaño de las hojas y en la posición y color de las vainas. A su vez en China Li-juan </w:t>
      </w:r>
      <w:r>
        <w:rPr>
          <w:i/>
        </w:rPr>
        <w:t>et al</w:t>
      </w:r>
      <w:r>
        <w:rPr/>
        <w:t>., (1993) al analizar mil 500 accesiones de diferentes provincias detectaron diferencias en el tamaño de la vaina, número de semillas por vaina y color de la semilla, de acuerdo a dos grupos bien definidos, los cultivares de invierno y de primavera. En México, también se han observado diferencias en el tamaño y color de la semilla, días a floración, ciclo vegetativo, altura y rendimiento (Pérez y González, 2003). Dicha variación está determinada por la adaptación del germoplasma a las condiciones agroecológicas, el origen de los materiales, la fecha de siembra, la altitud, la tolerancia a estrés biótico y abiótico, y al manejo agronómico.</w:t>
      </w:r>
    </w:p>
    <w:p>
      <w:pPr>
        <w:pStyle w:val="BodyText"/>
        <w:spacing w:line="480" w:lineRule="auto" w:before="207"/>
        <w:ind w:left="102" w:right="112"/>
        <w:jc w:val="both"/>
      </w:pPr>
      <w:r>
        <w:rPr/>
        <w:t>A nivel global se identifican cuatro variedades botánicas: </w:t>
      </w:r>
      <w:r>
        <w:rPr>
          <w:i/>
        </w:rPr>
        <w:t>Vicia faba paucijuga</w:t>
      </w:r>
      <w:r>
        <w:rPr/>
        <w:t>, </w:t>
      </w:r>
      <w:r>
        <w:rPr>
          <w:i/>
        </w:rPr>
        <w:t>Vicia faba </w:t>
      </w:r>
      <w:r>
        <w:rPr>
          <w:i/>
        </w:rPr>
        <w:t>mayor</w:t>
      </w:r>
      <w:r>
        <w:rPr/>
        <w:t>, </w:t>
      </w:r>
      <w:r>
        <w:rPr>
          <w:i/>
        </w:rPr>
        <w:t>Vicia faba equina </w:t>
      </w:r>
      <w:r>
        <w:rPr/>
        <w:t>y </w:t>
      </w:r>
      <w:r>
        <w:rPr>
          <w:i/>
        </w:rPr>
        <w:t>Vicia faba minor</w:t>
      </w:r>
      <w:r>
        <w:rPr/>
        <w:t>; tales distinciones están basadas sobre las diferencias en peso, forma y tamaño de la semilla(Cubero, 1974; Nadal </w:t>
      </w:r>
      <w:r>
        <w:rPr>
          <w:i/>
        </w:rPr>
        <w:t>et al</w:t>
      </w:r>
      <w:r>
        <w:rPr/>
        <w:t>., 2004). En México Díaz-Ruíz</w:t>
      </w:r>
      <w:r>
        <w:rPr>
          <w:i/>
        </w:rPr>
        <w:t>et al</w:t>
      </w:r>
      <w:r>
        <w:rPr/>
        <w:t>., (2006), comentan que hasta el momento solo se han identificado dos grupos botánicos, mayor y equina y que se han diferenciado por los diferentes colores de la semilla en seco como son amarilla, blanca o cimarrona, moteada o parraleña y roja o morada.</w:t>
      </w:r>
    </w:p>
    <w:p>
      <w:pPr>
        <w:pStyle w:val="BodyText"/>
        <w:spacing w:line="480" w:lineRule="auto" w:before="207"/>
        <w:ind w:left="102" w:right="115"/>
        <w:jc w:val="both"/>
      </w:pPr>
      <w:r>
        <w:rPr/>
        <w:t>Lo anterior implica que las poblaciones nativas o criollas son una mezcla de estos dos grupos botánicos que poseen genes diferentes y que se adaptan a las condiciones ambientales donde crecen. Motivo por el cual los estudios de caracterización morfológica cobran importancia.</w:t>
      </w:r>
    </w:p>
    <w:p>
      <w:pPr>
        <w:spacing w:after="0" w:line="480" w:lineRule="auto"/>
        <w:jc w:val="both"/>
        <w:sectPr>
          <w:footerReference w:type="default" r:id="rId15"/>
          <w:pgSz w:w="12240" w:h="15840"/>
          <w:pgMar w:footer="2355" w:header="0" w:top="1360" w:bottom="2540" w:left="1600" w:right="1300"/>
          <w:pgNumType w:start="8"/>
        </w:sectPr>
      </w:pPr>
    </w:p>
    <w:p>
      <w:pPr>
        <w:pStyle w:val="BodyText"/>
        <w:spacing w:line="480" w:lineRule="auto" w:before="50"/>
        <w:ind w:left="102" w:right="111"/>
        <w:jc w:val="both"/>
      </w:pPr>
      <w:r>
        <w:rPr/>
        <w:t>Orozco </w:t>
      </w:r>
      <w:r>
        <w:rPr>
          <w:i/>
        </w:rPr>
        <w:t>et al</w:t>
      </w:r>
      <w:r>
        <w:rPr/>
        <w:t>., (2013),evaluaron 36 poblaciones de haba en tres localidades del estado de México, ellos encontraron diferencias altamente significativaspara los ambientes, las poblaciones y su interacción en 11 de las 12 variables evaluadas, lo que indicó variabilidad en el comportamiento de los genotipos evaluados.</w:t>
      </w:r>
    </w:p>
    <w:p>
      <w:pPr>
        <w:pStyle w:val="BodyText"/>
        <w:spacing w:line="480" w:lineRule="auto" w:before="207"/>
        <w:ind w:left="102" w:right="109"/>
        <w:jc w:val="both"/>
      </w:pPr>
      <w:r>
        <w:rPr/>
        <w:t>Terzopoulos </w:t>
      </w:r>
      <w:r>
        <w:rPr>
          <w:i/>
        </w:rPr>
        <w:t>et al</w:t>
      </w:r>
      <w:r>
        <w:rPr/>
        <w:t>.,(2004), comentan que la caracterización y evaluación de accesiones criollas es importante para su uso en programas de mejoramiento. Ellos evaluaron 55 accesiones de haba de Grecia durante dos años consecutivos, basados en rasgos morfológicos  y agronómicos, y encontraron similitud con accesiones Europeas, debido a que los tipos </w:t>
      </w:r>
      <w:r>
        <w:rPr>
          <w:i/>
        </w:rPr>
        <w:t>minor </w:t>
      </w:r>
      <w:r>
        <w:rPr/>
        <w:t>y </w:t>
      </w:r>
      <w:r>
        <w:rPr>
          <w:i/>
        </w:rPr>
        <w:t>major </w:t>
      </w:r>
      <w:r>
        <w:rPr/>
        <w:t>también crecen en Europa; En cinco poblaciones se detectaron características propias del tipo </w:t>
      </w:r>
      <w:r>
        <w:rPr>
          <w:i/>
        </w:rPr>
        <w:t>minor</w:t>
      </w:r>
      <w:r>
        <w:rPr/>
        <w:t>, tales como distribución uniforme de las vainas en el tallo, ángulo erecto a la maduración y forma sub elíptica de la</w:t>
      </w:r>
      <w:r>
        <w:rPr>
          <w:spacing w:val="-7"/>
        </w:rPr>
        <w:t> </w:t>
      </w:r>
      <w:r>
        <w:rPr/>
        <w:t>vaina.</w:t>
      </w:r>
    </w:p>
    <w:p>
      <w:pPr>
        <w:pStyle w:val="BodyText"/>
        <w:spacing w:line="480" w:lineRule="auto" w:before="207"/>
        <w:ind w:left="102" w:right="112"/>
        <w:jc w:val="both"/>
      </w:pPr>
      <w:r>
        <w:rPr/>
        <w:t>Terzopoulos </w:t>
      </w:r>
      <w:r>
        <w:rPr>
          <w:i/>
        </w:rPr>
        <w:t>et al</w:t>
      </w:r>
      <w:r>
        <w:rPr/>
        <w:t>., (2008), encontraron mayor diversidad fenotípica en rasgos morfológicos dentro de las poblaciones que evaluaron, los caracteres que les permitieron detectar diferencias fueron longitud de vaina, número de flores, vainas por nudo, grosor del tallo y flores por inflorescencia por vaina por nudo; por lo que sugieren hacer un análisis profundo de la estructura génica de esos cultivares.</w:t>
      </w:r>
    </w:p>
    <w:p>
      <w:pPr>
        <w:pStyle w:val="BodyText"/>
        <w:spacing w:line="480" w:lineRule="auto" w:before="209"/>
        <w:ind w:left="102" w:right="115"/>
        <w:jc w:val="both"/>
      </w:pPr>
      <w:r>
        <w:rPr/>
        <w:t>Yahia </w:t>
      </w:r>
      <w:r>
        <w:rPr>
          <w:i/>
        </w:rPr>
        <w:t>et al</w:t>
      </w:r>
      <w:r>
        <w:rPr/>
        <w:t>., (2012), analizaron 42 cultivares criollos de haba provenientes de ocho localidades del sur de Túnez, utilizaron 35 descriptores morfológicos; ellos observaron diferencias significativas entre los cultivares para todos los descriptores utilizados. Según el análisis multivariado se formaron ocho grupos y dentro de ellos se observaron diferencias importantes,</w:t>
      </w:r>
    </w:p>
    <w:p>
      <w:pPr>
        <w:spacing w:after="0" w:line="480" w:lineRule="auto"/>
        <w:jc w:val="both"/>
        <w:sectPr>
          <w:pgSz w:w="12240" w:h="15840"/>
          <w:pgMar w:header="0" w:footer="2355" w:top="1360" w:bottom="2540" w:left="1600" w:right="1300"/>
        </w:sectPr>
      </w:pPr>
    </w:p>
    <w:p>
      <w:pPr>
        <w:pStyle w:val="BodyText"/>
        <w:spacing w:line="482" w:lineRule="auto" w:before="50"/>
        <w:ind w:left="102" w:right="118" w:firstLine="60"/>
        <w:jc w:val="both"/>
      </w:pPr>
      <w:r>
        <w:rPr/>
        <w:t>que al parecer no estuvieron determinadas por su origen de colecta, sin embargo, atribuyen las diferencias fenotípicas encontradas al origen genético de los materiales que es el Mediterráneo donde predominan los  tipos </w:t>
      </w:r>
      <w:r>
        <w:rPr>
          <w:i/>
        </w:rPr>
        <w:t>equina, minor </w:t>
      </w:r>
      <w:r>
        <w:rPr/>
        <w:t>y </w:t>
      </w:r>
      <w:r>
        <w:rPr>
          <w:i/>
        </w:rPr>
        <w:t>major</w:t>
      </w:r>
      <w:r>
        <w:rPr/>
        <w:t>.</w:t>
      </w:r>
    </w:p>
    <w:p>
      <w:pPr>
        <w:pStyle w:val="BodyText"/>
        <w:spacing w:line="480" w:lineRule="auto" w:before="204"/>
        <w:ind w:left="102" w:right="114"/>
        <w:jc w:val="both"/>
      </w:pPr>
      <w:r>
        <w:rPr/>
        <w:t>Por su parte, Mohammed </w:t>
      </w:r>
      <w:r>
        <w:rPr>
          <w:i/>
        </w:rPr>
        <w:t>et al</w:t>
      </w:r>
      <w:r>
        <w:rPr/>
        <w:t>., (2010) utilizaron 11 descriptores agronómicos y morfológicos para evaluar accesiones de haba durante dos ciclos de cultivo e identificar a los mejores materiales según su rendimiento, encontrando diferencias altamente significativas en los descriptores utilizados según el ciclo de cultivo. Tales resultados indicaron que en lugares con inviernos cortos la época de siembra es determinante para favorecer al cultivo.</w:t>
      </w:r>
    </w:p>
    <w:p>
      <w:pPr>
        <w:pStyle w:val="Heading2"/>
        <w:numPr>
          <w:ilvl w:val="1"/>
          <w:numId w:val="4"/>
        </w:numPr>
        <w:tabs>
          <w:tab w:pos="522" w:val="left" w:leader="none"/>
        </w:tabs>
        <w:spacing w:line="240" w:lineRule="auto" w:before="214" w:after="0"/>
        <w:ind w:left="522" w:right="0" w:hanging="420"/>
        <w:jc w:val="both"/>
      </w:pPr>
      <w:r>
        <w:rPr/>
        <w:t>Caracterización mediante marcadores</w:t>
      </w:r>
      <w:r>
        <w:rPr>
          <w:spacing w:val="-15"/>
        </w:rPr>
        <w:t> </w:t>
      </w:r>
      <w:r>
        <w:rPr/>
        <w:t>moleculares</w:t>
      </w:r>
    </w:p>
    <w:p>
      <w:pPr>
        <w:pStyle w:val="BodyText"/>
        <w:rPr>
          <w:b/>
        </w:rPr>
      </w:pPr>
    </w:p>
    <w:p>
      <w:pPr>
        <w:pStyle w:val="BodyText"/>
        <w:spacing w:line="480" w:lineRule="auto" w:before="194"/>
        <w:ind w:left="102" w:right="117"/>
        <w:jc w:val="both"/>
      </w:pPr>
      <w:r>
        <w:rPr/>
        <w:t>En los últimos años, el empleo de herramientas biotecnológicas como los marcadores moleculares, ha permitido complementar la información obtenida con caracteres morfológicos. A través de su uso es posible estimar la diversidad genética de manera más confiable; </w:t>
      </w:r>
      <w:r>
        <w:rPr>
          <w:spacing w:val="-3"/>
        </w:rPr>
        <w:t>ya </w:t>
      </w:r>
      <w:r>
        <w:rPr/>
        <w:t>que  se consideran características determinadas por un número pequeño de genes de alta heredabilidad y además se tiene un control eficiente de la interacción</w:t>
      </w:r>
      <w:r>
        <w:rPr>
          <w:spacing w:val="-10"/>
        </w:rPr>
        <w:t> </w:t>
      </w:r>
      <w:r>
        <w:rPr/>
        <w:t>genotipo-ambiente.</w:t>
      </w:r>
    </w:p>
    <w:p>
      <w:pPr>
        <w:pStyle w:val="BodyText"/>
        <w:spacing w:line="480" w:lineRule="auto" w:before="207"/>
        <w:ind w:left="102" w:right="111"/>
        <w:jc w:val="both"/>
      </w:pPr>
      <w:r>
        <w:rPr/>
        <w:t>Existen diferentes tipos de marcadores moleculares, Zeid </w:t>
      </w:r>
      <w:r>
        <w:rPr>
          <w:i/>
        </w:rPr>
        <w:t>et al</w:t>
      </w:r>
      <w:r>
        <w:rPr/>
        <w:t>., 2003 usaron los de polimorfismo en la longitud de fragmentos amplificados (AFLP, por sus siglas en inglés) de ADN en cultivares de haba provenientes de Asia, Europa y África del norte y detectaron una amplia diversidad genética, adicionalmente, determinaron las interrelaciones entre  progenitores y la heterosis en sus</w:t>
      </w:r>
      <w:r>
        <w:rPr>
          <w:spacing w:val="-8"/>
        </w:rPr>
        <w:t> </w:t>
      </w:r>
      <w:r>
        <w:rPr/>
        <w:t>progenies.</w:t>
      </w:r>
    </w:p>
    <w:p>
      <w:pPr>
        <w:spacing w:after="0" w:line="480" w:lineRule="auto"/>
        <w:jc w:val="both"/>
        <w:sectPr>
          <w:footerReference w:type="default" r:id="rId16"/>
          <w:pgSz w:w="12240" w:h="15840"/>
          <w:pgMar w:footer="1957" w:header="0" w:top="1360" w:bottom="2140" w:left="1600" w:right="1300"/>
          <w:pgNumType w:start="10"/>
        </w:sectPr>
      </w:pPr>
    </w:p>
    <w:p>
      <w:pPr>
        <w:pStyle w:val="BodyText"/>
        <w:spacing w:line="480" w:lineRule="auto" w:before="50"/>
        <w:ind w:left="102" w:right="113"/>
        <w:jc w:val="both"/>
      </w:pPr>
      <w:r>
        <w:rPr/>
        <w:t>Así mismo Yujiao y Wanwei, 2010; también utilizaron AFLP para analizar la diversidad genética de dos bancos de germoplasma de haba y encontraron que la estructura genética de uno de ellos se dividió en siete grupos, lo que permitió conocer que de las 149 poblaciones analizadas, 40 de éstas representaron más del 80 % de la información genética del cultivo de haba de la región que evaluaron, material que podría usarse con fines de mejoramiento genético,</w:t>
      </w:r>
    </w:p>
    <w:p>
      <w:pPr>
        <w:pStyle w:val="BodyText"/>
        <w:spacing w:line="480" w:lineRule="auto" w:before="207"/>
        <w:ind w:left="102" w:right="111"/>
        <w:jc w:val="both"/>
      </w:pPr>
      <w:r>
        <w:rPr/>
        <w:t>GongYa-ming </w:t>
      </w:r>
      <w:r>
        <w:rPr>
          <w:i/>
        </w:rPr>
        <w:t>et al</w:t>
      </w:r>
      <w:r>
        <w:rPr/>
        <w:t>., 2010 y 2011, usaron 11 marcadores de secuencias simples repetidas con registro de la expresión de secuencias etiquetadas (EST-SSR), para evaluar la diversidad genética de cultivares de China y Europa; los resultados indicaron que las habas de China tienen una línea genética base y que además las fuentes adicionales de accesiones genéticas podrían incrementar la variabilidad de la especie.</w:t>
      </w:r>
    </w:p>
    <w:p>
      <w:pPr>
        <w:pStyle w:val="BodyText"/>
        <w:spacing w:line="480" w:lineRule="auto" w:before="207"/>
        <w:ind w:left="102" w:right="113"/>
        <w:jc w:val="both"/>
      </w:pPr>
      <w:r>
        <w:rPr/>
        <w:t>En un estudio de la diversidad y relaciones genéticas entre 802 variedades criollas y mejoradas de diferentes zonas geográficas de China, usando marcadores de ISSR (Inter-Simple Sequence Repeat) con 11 cebadores encontraron un total de 212 bandas de las cuales 209 fueron polimórficas. Esto permitió conocer que hay una mayor diversidad genética en los cultivares del norte de China con respecto a los del centro, separándose claramente en dos grupos, los de invierno y los de primavera, según el análisis de componentes principales y el analizador de grupos UPGMA. Además los dendogramas fueron comparados con cultivares de germoplasma de haba de otras partes del mundo y se encontró que para ésta especie China representa un grupo geográfico a nivel de continentes, teniendo más cercanía genética con las variedades de Europa que con las del norte de África (Wang </w:t>
      </w:r>
      <w:r>
        <w:rPr>
          <w:i/>
        </w:rPr>
        <w:t>et al</w:t>
      </w:r>
      <w:r>
        <w:rPr/>
        <w:t>., 2012).</w:t>
      </w:r>
    </w:p>
    <w:p>
      <w:pPr>
        <w:spacing w:after="0" w:line="480" w:lineRule="auto"/>
        <w:jc w:val="both"/>
        <w:sectPr>
          <w:pgSz w:w="12240" w:h="15840"/>
          <w:pgMar w:header="0" w:footer="1957" w:top="1360" w:bottom="2200" w:left="1600" w:right="1300"/>
        </w:sectPr>
      </w:pPr>
    </w:p>
    <w:p>
      <w:pPr>
        <w:pStyle w:val="BodyText"/>
        <w:spacing w:line="480" w:lineRule="auto" w:before="50"/>
        <w:ind w:left="102" w:right="115"/>
        <w:jc w:val="both"/>
      </w:pPr>
      <w:r>
        <w:rPr/>
        <w:t>Abdel-Razzak </w:t>
      </w:r>
      <w:r>
        <w:rPr>
          <w:i/>
        </w:rPr>
        <w:t>et al</w:t>
      </w:r>
      <w:r>
        <w:rPr/>
        <w:t>., 2012, analizaron la variabilidad genética de 10 variedades de haba en dos lugares geográficamente diferentes de Egipto, ellos utilizaron marcadores ISSR y nueve iniciadores, detectando un 69.1 % de polimorfismo, lo que representa un relativo alto nivel de polimorfismo, esto  permitió distinguir dos  grupos  característicos,  uno para los  cultivares de</w:t>
      </w:r>
    </w:p>
    <w:p>
      <w:pPr>
        <w:pStyle w:val="ListParagraph"/>
        <w:numPr>
          <w:ilvl w:val="0"/>
          <w:numId w:val="5"/>
        </w:numPr>
        <w:tabs>
          <w:tab w:pos="441" w:val="left" w:leader="none"/>
        </w:tabs>
        <w:spacing w:line="482" w:lineRule="auto" w:before="10" w:after="0"/>
        <w:ind w:left="102" w:right="117" w:firstLine="0"/>
        <w:jc w:val="both"/>
        <w:rPr>
          <w:sz w:val="24"/>
        </w:rPr>
      </w:pPr>
      <w:r>
        <w:rPr>
          <w:i/>
          <w:sz w:val="24"/>
        </w:rPr>
        <w:t>faba </w:t>
      </w:r>
      <w:r>
        <w:rPr>
          <w:sz w:val="24"/>
        </w:rPr>
        <w:t>var. </w:t>
      </w:r>
      <w:r>
        <w:rPr>
          <w:i/>
          <w:sz w:val="24"/>
        </w:rPr>
        <w:t>major </w:t>
      </w:r>
      <w:r>
        <w:rPr>
          <w:sz w:val="24"/>
        </w:rPr>
        <w:t>y otro para V. </w:t>
      </w:r>
      <w:r>
        <w:rPr>
          <w:i/>
          <w:sz w:val="24"/>
        </w:rPr>
        <w:t>faba </w:t>
      </w:r>
      <w:r>
        <w:rPr>
          <w:sz w:val="24"/>
        </w:rPr>
        <w:t>var. </w:t>
      </w:r>
      <w:r>
        <w:rPr>
          <w:i/>
          <w:sz w:val="24"/>
        </w:rPr>
        <w:t>minor</w:t>
      </w:r>
      <w:r>
        <w:rPr>
          <w:sz w:val="24"/>
        </w:rPr>
        <w:t>. Porcentajes mayores de polimorfismo encontraron Terzopoulos y Bebeli</w:t>
      </w:r>
      <w:r>
        <w:rPr>
          <w:spacing w:val="-8"/>
          <w:sz w:val="24"/>
        </w:rPr>
        <w:t> </w:t>
      </w:r>
      <w:r>
        <w:rPr>
          <w:sz w:val="24"/>
        </w:rPr>
        <w:t>(2008).</w:t>
      </w:r>
    </w:p>
    <w:p>
      <w:pPr>
        <w:pStyle w:val="Heading2"/>
        <w:numPr>
          <w:ilvl w:val="1"/>
          <w:numId w:val="4"/>
        </w:numPr>
        <w:tabs>
          <w:tab w:pos="522" w:val="left" w:leader="none"/>
        </w:tabs>
        <w:spacing w:line="240" w:lineRule="auto" w:before="211" w:after="0"/>
        <w:ind w:left="522" w:right="0" w:hanging="420"/>
        <w:jc w:val="both"/>
      </w:pPr>
      <w:r>
        <w:rPr/>
        <w:t>Perspectivas futuras del cultivo de</w:t>
      </w:r>
      <w:r>
        <w:rPr>
          <w:spacing w:val="-8"/>
        </w:rPr>
        <w:t> </w:t>
      </w:r>
      <w:r>
        <w:rPr/>
        <w:t>haba</w:t>
      </w:r>
    </w:p>
    <w:p>
      <w:pPr>
        <w:pStyle w:val="BodyText"/>
        <w:rPr>
          <w:b/>
        </w:rPr>
      </w:pPr>
    </w:p>
    <w:p>
      <w:pPr>
        <w:pStyle w:val="BodyText"/>
        <w:spacing w:line="480" w:lineRule="auto" w:before="192"/>
        <w:ind w:left="102" w:right="110"/>
        <w:jc w:val="both"/>
      </w:pPr>
      <w:r>
        <w:rPr/>
        <w:t>El haba posee uno de los genomas más grandes entre las plantas cultivadas, pero también uno de los menos estudiados, </w:t>
      </w:r>
      <w:r>
        <w:rPr>
          <w:spacing w:val="-3"/>
        </w:rPr>
        <w:t>ya </w:t>
      </w:r>
      <w:r>
        <w:rPr/>
        <w:t>que en la actualidad son pocos los mapas genéticos reportados relacionados con ésta especie (Ellwood </w:t>
      </w:r>
      <w:r>
        <w:rPr>
          <w:i/>
        </w:rPr>
        <w:t>et al</w:t>
      </w:r>
      <w:r>
        <w:rPr/>
        <w:t>., 2008). Los mapas de ligamiento que existen están basados en análisis morfológicos, de isoenzimas, marcadores RAPDS, RFLP y microsatélites; por tal motivo el uso de nuevos marcadores,acompañados de mapeos cuantitativos como los de </w:t>
      </w:r>
      <w:r>
        <w:rPr>
          <w:i/>
        </w:rPr>
        <w:t>locus </w:t>
      </w:r>
      <w:r>
        <w:rPr/>
        <w:t>de rasgos cuantitativos (QTL, por sus siglas en inglés) serán cruciales para la construcción de mapas genéticos que provean información eficiente que pueda ser utilizada en estudios genéticos y de mejoramiento que permitan el uso de marcadores de selección asistida para caracteres de interés agronómico (Alghamdi,</w:t>
      </w:r>
      <w:r>
        <w:rPr>
          <w:spacing w:val="-15"/>
        </w:rPr>
        <w:t> </w:t>
      </w:r>
      <w:r>
        <w:rPr/>
        <w:t>2012a).</w:t>
      </w:r>
    </w:p>
    <w:p>
      <w:pPr>
        <w:spacing w:after="0" w:line="480" w:lineRule="auto"/>
        <w:jc w:val="both"/>
        <w:sectPr>
          <w:footerReference w:type="default" r:id="rId17"/>
          <w:pgSz w:w="12240" w:h="15840"/>
          <w:pgMar w:footer="1755" w:header="0" w:top="1360" w:bottom="1940" w:left="1600" w:right="1300"/>
        </w:sectPr>
      </w:pPr>
    </w:p>
    <w:p>
      <w:pPr>
        <w:pStyle w:val="Heading2"/>
        <w:numPr>
          <w:ilvl w:val="1"/>
          <w:numId w:val="5"/>
        </w:numPr>
        <w:tabs>
          <w:tab w:pos="3297" w:val="left" w:leader="none"/>
        </w:tabs>
        <w:spacing w:line="240" w:lineRule="auto" w:before="57" w:after="0"/>
        <w:ind w:left="4353" w:right="0" w:hanging="1457"/>
        <w:jc w:val="left"/>
      </w:pPr>
      <w:r>
        <w:rPr/>
        <w:t>MATERIALES Y</w:t>
      </w:r>
      <w:r>
        <w:rPr>
          <w:spacing w:val="-7"/>
        </w:rPr>
        <w:t> </w:t>
      </w:r>
      <w:r>
        <w:rPr/>
        <w:t>MÉTODOS</w:t>
      </w:r>
    </w:p>
    <w:p>
      <w:pPr>
        <w:pStyle w:val="BodyText"/>
        <w:rPr>
          <w:b/>
        </w:rPr>
      </w:pPr>
    </w:p>
    <w:p>
      <w:pPr>
        <w:pStyle w:val="ListParagraph"/>
        <w:numPr>
          <w:ilvl w:val="1"/>
          <w:numId w:val="6"/>
        </w:numPr>
        <w:tabs>
          <w:tab w:pos="522" w:val="left" w:leader="none"/>
        </w:tabs>
        <w:spacing w:line="240" w:lineRule="auto" w:before="199" w:after="0"/>
        <w:ind w:left="522" w:right="0" w:hanging="420"/>
        <w:jc w:val="both"/>
        <w:rPr>
          <w:b/>
          <w:sz w:val="24"/>
        </w:rPr>
      </w:pPr>
      <w:r>
        <w:rPr>
          <w:b/>
          <w:sz w:val="24"/>
        </w:rPr>
        <w:t>Descripción del área de</w:t>
      </w:r>
      <w:r>
        <w:rPr>
          <w:b/>
          <w:spacing w:val="-4"/>
          <w:sz w:val="24"/>
        </w:rPr>
        <w:t> </w:t>
      </w:r>
      <w:r>
        <w:rPr>
          <w:b/>
          <w:sz w:val="24"/>
        </w:rPr>
        <w:t>estudio</w:t>
      </w:r>
    </w:p>
    <w:p>
      <w:pPr>
        <w:pStyle w:val="BodyText"/>
        <w:rPr>
          <w:b/>
        </w:rPr>
      </w:pPr>
    </w:p>
    <w:p>
      <w:pPr>
        <w:pStyle w:val="BodyText"/>
        <w:spacing w:line="480" w:lineRule="auto" w:before="192"/>
        <w:ind w:left="102" w:right="231"/>
        <w:jc w:val="both"/>
      </w:pPr>
      <w:r>
        <w:rPr/>
        <w:t>El Valle Toluca-Atlacomulco, Estado de México; ubicado en la Mesa central de México, fue considerado como zona de colecta de las poblacionesevaluadas.La coleta se realizó en 12 municipios, mismos que se indican en la Figura 1.</w:t>
      </w:r>
    </w:p>
    <w:p>
      <w:pPr>
        <w:pStyle w:val="BodyText"/>
        <w:spacing w:before="5"/>
        <w:rPr>
          <w:sz w:val="15"/>
        </w:rPr>
      </w:pPr>
      <w:r>
        <w:rPr/>
        <w:pict>
          <v:group style="position:absolute;margin-left:86.519997pt;margin-top:10.855242pt;width:460.6pt;height:331.35pt;mso-position-horizontal-relative:page;mso-position-vertical-relative:paragraph;z-index:1336;mso-wrap-distance-left:0;mso-wrap-distance-right:0" coordorigin="1730,217" coordsize="9212,6627">
            <v:shape style="position:absolute;left:1730;top:217;width:9211;height:6626" type="#_x0000_t75" stroked="false">
              <v:imagedata r:id="rId19" o:title=""/>
            </v:shape>
            <v:shape style="position:absolute;left:6209;top:4780;width:1250;height:1860" type="#_x0000_t75" stroked="false">
              <v:imagedata r:id="rId20" o:title=""/>
            </v:shape>
            <w10:wrap type="topAndBottom"/>
          </v:group>
        </w:pict>
      </w:r>
    </w:p>
    <w:p>
      <w:pPr>
        <w:pStyle w:val="BodyText"/>
      </w:pPr>
    </w:p>
    <w:p>
      <w:pPr>
        <w:pStyle w:val="BodyText"/>
        <w:spacing w:line="482" w:lineRule="auto" w:before="166"/>
        <w:ind w:left="102" w:right="234"/>
        <w:jc w:val="both"/>
      </w:pPr>
      <w:r>
        <w:rPr/>
        <w:t>Figura 1. Sitios de colecta de 39 poblaciones de haba en el Valle  Toluca-Atlacomulco, México.</w:t>
      </w:r>
    </w:p>
    <w:p>
      <w:pPr>
        <w:spacing w:after="0" w:line="482" w:lineRule="auto"/>
        <w:jc w:val="both"/>
        <w:sectPr>
          <w:footerReference w:type="default" r:id="rId18"/>
          <w:pgSz w:w="12240" w:h="15840"/>
          <w:pgMar w:footer="0" w:header="0" w:top="1360" w:bottom="280" w:left="1600" w:right="1180"/>
        </w:sectPr>
      </w:pPr>
    </w:p>
    <w:p>
      <w:pPr>
        <w:pStyle w:val="Heading2"/>
        <w:numPr>
          <w:ilvl w:val="1"/>
          <w:numId w:val="6"/>
        </w:numPr>
        <w:tabs>
          <w:tab w:pos="522" w:val="left" w:leader="none"/>
        </w:tabs>
        <w:spacing w:line="240" w:lineRule="auto" w:before="57" w:after="0"/>
        <w:ind w:left="522" w:right="0" w:hanging="420"/>
        <w:jc w:val="both"/>
      </w:pPr>
      <w:r>
        <w:rPr/>
        <w:t>Material</w:t>
      </w:r>
      <w:r>
        <w:rPr>
          <w:spacing w:val="-6"/>
        </w:rPr>
        <w:t> </w:t>
      </w:r>
      <w:r>
        <w:rPr/>
        <w:t>genético</w:t>
      </w:r>
    </w:p>
    <w:p>
      <w:pPr>
        <w:pStyle w:val="BodyText"/>
        <w:rPr>
          <w:b/>
        </w:rPr>
      </w:pPr>
    </w:p>
    <w:p>
      <w:pPr>
        <w:pStyle w:val="BodyText"/>
        <w:spacing w:line="480" w:lineRule="auto" w:before="192"/>
        <w:ind w:left="102" w:right="113"/>
        <w:jc w:val="both"/>
      </w:pPr>
      <w:r>
        <w:rPr/>
        <w:t>Un total de 39 accesiones fueron consideradas para ser evaluadas en el presente estudio, 35 fueron colectas directas con los productores y cuatro fueron variedades generadas por el Instituto de Capacitación Agrícola, Acuícola y Forestal del Estado de México (ICAMEX). En el cuadro 1 se muestran algunas características de las poblaciones consideradas.</w:t>
      </w:r>
    </w:p>
    <w:p>
      <w:pPr>
        <w:pStyle w:val="Heading2"/>
        <w:numPr>
          <w:ilvl w:val="1"/>
          <w:numId w:val="6"/>
        </w:numPr>
        <w:tabs>
          <w:tab w:pos="522" w:val="left" w:leader="none"/>
        </w:tabs>
        <w:spacing w:line="240" w:lineRule="auto" w:before="214" w:after="0"/>
        <w:ind w:left="522" w:right="0" w:hanging="420"/>
        <w:jc w:val="both"/>
      </w:pPr>
      <w:r>
        <w:rPr/>
        <w:t>Caracterización</w:t>
      </w:r>
      <w:r>
        <w:rPr>
          <w:spacing w:val="-8"/>
        </w:rPr>
        <w:t> </w:t>
      </w:r>
      <w:r>
        <w:rPr/>
        <w:t>molecular</w:t>
      </w:r>
    </w:p>
    <w:p>
      <w:pPr>
        <w:pStyle w:val="BodyText"/>
        <w:rPr>
          <w:b/>
        </w:rPr>
      </w:pPr>
    </w:p>
    <w:p>
      <w:pPr>
        <w:pStyle w:val="BodyText"/>
        <w:spacing w:line="482" w:lineRule="auto" w:before="195"/>
        <w:ind w:left="102" w:right="121"/>
        <w:jc w:val="both"/>
      </w:pPr>
      <w:r>
        <w:rPr/>
        <w:t>El estudio de la variabilidad genética se realizó mediante el análisis de huellas genéticas, se procedió como se describe a continuación:</w:t>
      </w:r>
    </w:p>
    <w:p>
      <w:pPr>
        <w:pStyle w:val="Heading2"/>
        <w:numPr>
          <w:ilvl w:val="2"/>
          <w:numId w:val="6"/>
        </w:numPr>
        <w:tabs>
          <w:tab w:pos="702" w:val="left" w:leader="none"/>
        </w:tabs>
        <w:spacing w:line="240" w:lineRule="auto" w:before="211" w:after="0"/>
        <w:ind w:left="702" w:right="0" w:hanging="600"/>
        <w:jc w:val="both"/>
      </w:pPr>
      <w:r>
        <w:rPr/>
        <w:t>Siembra del material</w:t>
      </w:r>
      <w:r>
        <w:rPr>
          <w:spacing w:val="-10"/>
        </w:rPr>
        <w:t> </w:t>
      </w:r>
      <w:r>
        <w:rPr/>
        <w:t>vegetal</w:t>
      </w:r>
    </w:p>
    <w:p>
      <w:pPr>
        <w:pStyle w:val="BodyText"/>
        <w:rPr>
          <w:b/>
        </w:rPr>
      </w:pPr>
    </w:p>
    <w:p>
      <w:pPr>
        <w:pStyle w:val="BodyText"/>
        <w:spacing w:line="480" w:lineRule="auto" w:before="192"/>
        <w:ind w:left="102" w:right="113"/>
        <w:jc w:val="both"/>
      </w:pPr>
      <w:r>
        <w:rPr/>
        <w:t>Para la germinación de las semillas se utilizaron charolas de 200 cavidades, mismas que  fueron lavadas con agua corriente y jabón, luego se enjuagaron y finalmentese desinfectaron durante 10 minutos (min)con unantiséptico comercial. El sustrato para el llenado de las charolas consistió de una mezcla de </w:t>
      </w:r>
      <w:r>
        <w:rPr>
          <w:i/>
        </w:rPr>
        <w:t>Peat moss </w:t>
      </w:r>
      <w:r>
        <w:rPr/>
        <w:t>y Agrolita en proporción 2:1, previamente humedecida.</w:t>
      </w:r>
    </w:p>
    <w:p>
      <w:pPr>
        <w:pStyle w:val="BodyText"/>
        <w:spacing w:line="480" w:lineRule="auto" w:before="209"/>
        <w:ind w:left="102" w:right="110"/>
        <w:jc w:val="both"/>
      </w:pPr>
      <w:r>
        <w:rPr/>
        <w:t>Las semillas de las 39 poblaciones fueron desinfectadas con el fungicida comercial Manzate, para ello se mojaron y luego se impregnaron de éste. Posteriormente se sembraron en las charolas, depositando una semilla por pozo, considerando sembrando 10 plantas por accesión, una vez sembradas se regaron ligeramente y se colocaron en un invernadero con temperatura y humedad relativa controladas. Después se dieron riegos ligeros mañana y tarde hasta la germinación, que ocurrió 15 días después de la siembra.</w:t>
      </w:r>
    </w:p>
    <w:p>
      <w:pPr>
        <w:spacing w:after="0" w:line="480" w:lineRule="auto"/>
        <w:jc w:val="both"/>
        <w:sectPr>
          <w:footerReference w:type="default" r:id="rId21"/>
          <w:pgSz w:w="12240" w:h="15840"/>
          <w:pgMar w:footer="1755" w:header="0" w:top="1360" w:bottom="1940" w:left="1600" w:right="1300"/>
          <w:pgNumType w:start="14"/>
        </w:sectPr>
      </w:pPr>
    </w:p>
    <w:p>
      <w:pPr>
        <w:pStyle w:val="Heading2"/>
        <w:numPr>
          <w:ilvl w:val="2"/>
          <w:numId w:val="6"/>
        </w:numPr>
        <w:tabs>
          <w:tab w:pos="702" w:val="left" w:leader="none"/>
        </w:tabs>
        <w:spacing w:line="240" w:lineRule="auto" w:before="57" w:after="0"/>
        <w:ind w:left="702" w:right="0" w:hanging="600"/>
        <w:jc w:val="both"/>
      </w:pPr>
      <w:r>
        <w:rPr/>
        <w:t>Extracción del</w:t>
      </w:r>
      <w:r>
        <w:rPr>
          <w:spacing w:val="-3"/>
        </w:rPr>
        <w:t> </w:t>
      </w:r>
      <w:r>
        <w:rPr/>
        <w:t>ADN</w:t>
      </w:r>
    </w:p>
    <w:p>
      <w:pPr>
        <w:pStyle w:val="BodyText"/>
        <w:rPr>
          <w:b/>
        </w:rPr>
      </w:pPr>
    </w:p>
    <w:p>
      <w:pPr>
        <w:pStyle w:val="BodyText"/>
        <w:spacing w:line="480" w:lineRule="auto" w:before="192"/>
        <w:ind w:left="102" w:right="113"/>
        <w:jc w:val="both"/>
      </w:pPr>
      <w:r>
        <w:rPr/>
        <w:t>De las plantas germinadas se cortaron al azar aproximadamente dosgramos (g) de hojas jóvenes, sanas y sin daño físico o mecánico de cada una de las accesiones, el corte se realizó con un bisturí estéril, previo rociado de las plantas con etanol, para evitar posible contaminación del material.Las muestras fueron llevadas al laboratorio, se procesaron por duplicado por cada accesión.Para asegurar la extracción de ADN integro, se probaron cuatro métodos de extracción, que son los siguientes:</w:t>
      </w:r>
    </w:p>
    <w:p>
      <w:pPr>
        <w:pStyle w:val="Heading2"/>
        <w:numPr>
          <w:ilvl w:val="3"/>
          <w:numId w:val="6"/>
        </w:numPr>
        <w:tabs>
          <w:tab w:pos="882" w:val="left" w:leader="none"/>
        </w:tabs>
        <w:spacing w:line="240" w:lineRule="auto" w:before="215" w:after="0"/>
        <w:ind w:left="882" w:right="0" w:hanging="780"/>
        <w:jc w:val="both"/>
      </w:pPr>
      <w:r>
        <w:rPr/>
        <w:t>Método de Bromuro de Cetil Trimetil</w:t>
      </w:r>
      <w:r>
        <w:rPr>
          <w:spacing w:val="-13"/>
        </w:rPr>
        <w:t> </w:t>
      </w:r>
      <w:r>
        <w:rPr/>
        <w:t>Amonio</w:t>
      </w:r>
    </w:p>
    <w:p>
      <w:pPr>
        <w:pStyle w:val="BodyText"/>
        <w:rPr>
          <w:b/>
        </w:rPr>
      </w:pPr>
    </w:p>
    <w:p>
      <w:pPr>
        <w:pStyle w:val="BodyText"/>
        <w:spacing w:line="480" w:lineRule="auto" w:before="194"/>
        <w:ind w:left="102" w:right="111"/>
        <w:jc w:val="both"/>
      </w:pPr>
      <w:r>
        <w:rPr/>
        <w:t>Cada una de las muestras de las 39 poblaciones se procesaron de la siguiente manera: en una báscula Adventurer OHAUS fueron pesados 300 mg de tejido y se colocaron en un mortero estéril y frío, al cual le fue agregado nitrógeno líquido para favorecer la molienda, ésta se hizo con el pistilo. Luego éste macerado se colocó con una espátula estéril en un tubo Eppendorf que contenía un volumen de 750 µL de amortiguador de extracciónde Bromuro de Cetil Trimetil Amonio (CTAB, por sus siglas en inglés)(Doyle y Doyle, 1990). En ésta condiciónpermanecieron en incubación a 60 ºC durante 20 min. Posteriormente, las muestras se dejaron enfriar a temperatura ambiente durante 5 min para luego centrifugarlas 10 min a </w:t>
      </w:r>
      <w:r>
        <w:rPr>
          <w:spacing w:val="15"/>
        </w:rPr>
        <w:t> </w:t>
      </w:r>
      <w:r>
        <w:rPr/>
        <w:t>12</w:t>
      </w:r>
    </w:p>
    <w:p>
      <w:pPr>
        <w:pStyle w:val="BodyText"/>
        <w:spacing w:line="480" w:lineRule="auto" w:before="10"/>
        <w:ind w:left="102" w:right="114"/>
        <w:jc w:val="both"/>
      </w:pPr>
      <w:r>
        <w:rPr/>
        <w:t>000 gravedades (xg) en una centrífuga SURVALL, Thermo Electron. Finalizada la centrifugación se recuperó el sobrenadante y se le agregó un volumen de 600 µL cloroformo: alcohol isoamílico en proporción 24:1 y se mezcló durante 2 min por inversión. Luego se centrifugaron 10 min a 12 000 xg y al término se recuperó la fase acuosa de cada muestra y se les  agregaron  3 µL de ARNasa y se  dejaron 25  min a  temperatura  ambiente, al   término se</w:t>
      </w:r>
    </w:p>
    <w:p>
      <w:pPr>
        <w:spacing w:after="0" w:line="480" w:lineRule="auto"/>
        <w:jc w:val="both"/>
        <w:sectPr>
          <w:pgSz w:w="12240" w:h="15840"/>
          <w:pgMar w:header="0" w:footer="1755" w:top="1360" w:bottom="2000" w:left="1600" w:right="1300"/>
        </w:sectPr>
      </w:pPr>
    </w:p>
    <w:p>
      <w:pPr>
        <w:pStyle w:val="BodyText"/>
        <w:spacing w:line="480" w:lineRule="auto" w:before="50"/>
        <w:ind w:left="102" w:right="111" w:firstLine="60"/>
        <w:jc w:val="both"/>
      </w:pPr>
      <w:r>
        <w:rPr/>
        <w:t>agregaron 70 µL de acetato de sodio 3M y 600 µL de isopropanol frio, se agitaron por inversión hasta obtener el precipitado de ADN y se dejaron precipitar a – 20 ºC durante 30 min,posteriormente se centrifugaron 10 min a 12 000 xg y al final se eliminó el sobrenadante, cuidando de no perder el ADN contenido en la pastilla que quedó en los tubos Eppendorf, a  los cuales se les agregaron 500 µL de etanol al 70 % grado reactivo agitándose suavemente para disolver las sales, finalmente se centrifugaron a 8 000 xg durante 10 min, se decantaron las muestras, se dejaron escurrir en una toalla sanita, se secaron y se disolvieron en 500 µL de solución para disolver (TRIS y EDTA, TE), en ésta condición se almacenaron a 4 ºC para su uso</w:t>
      </w:r>
      <w:r>
        <w:rPr>
          <w:spacing w:val="-3"/>
        </w:rPr>
        <w:t> </w:t>
      </w:r>
      <w:r>
        <w:rPr/>
        <w:t>posterior.</w:t>
      </w:r>
    </w:p>
    <w:p>
      <w:pPr>
        <w:pStyle w:val="Heading2"/>
        <w:numPr>
          <w:ilvl w:val="3"/>
          <w:numId w:val="6"/>
        </w:numPr>
        <w:tabs>
          <w:tab w:pos="882" w:val="left" w:leader="none"/>
        </w:tabs>
        <w:spacing w:line="240" w:lineRule="auto" w:before="214" w:after="0"/>
        <w:ind w:left="882" w:right="0" w:hanging="780"/>
        <w:jc w:val="both"/>
      </w:pPr>
      <w:r>
        <w:rPr/>
        <w:t>Método de Docedil Sulfato de</w:t>
      </w:r>
      <w:r>
        <w:rPr>
          <w:spacing w:val="-7"/>
        </w:rPr>
        <w:t> </w:t>
      </w:r>
      <w:r>
        <w:rPr/>
        <w:t>Sodio</w:t>
      </w:r>
    </w:p>
    <w:p>
      <w:pPr>
        <w:pStyle w:val="BodyText"/>
        <w:rPr>
          <w:b/>
        </w:rPr>
      </w:pPr>
    </w:p>
    <w:p>
      <w:pPr>
        <w:pStyle w:val="BodyText"/>
        <w:spacing w:line="480" w:lineRule="auto" w:before="192"/>
        <w:ind w:left="102" w:right="115"/>
        <w:jc w:val="both"/>
      </w:pPr>
      <w:r>
        <w:rPr/>
        <w:t>Consistió en moler 200 mg de cada una de las muestras con nitrógeno líquido y colocarlas en tubos Eppendorf que contenían 800 µL de amortiguador de extracción Docedil Sulfato de Sodio (SDS, por sus siglas en inglés)(Dellaporta, 1983),  luego las muestras se incubaron a  65</w:t>
      </w:r>
    </w:p>
    <w:p>
      <w:pPr>
        <w:pStyle w:val="BodyText"/>
        <w:spacing w:line="477" w:lineRule="auto" w:before="10"/>
        <w:ind w:left="102" w:right="112"/>
        <w:jc w:val="both"/>
      </w:pPr>
      <w:r>
        <w:rPr/>
        <w:t>ºC durante 30 min y luego se centrifugaron a 12 000 xg durante 10 min, para posteriormente transferir los sobrenadantes a otros tubos y adicionarles ARNasa a concentración de 10 mgmL</w:t>
      </w:r>
      <w:r>
        <w:rPr>
          <w:position w:val="9"/>
          <w:sz w:val="16"/>
        </w:rPr>
        <w:t>- 1 </w:t>
      </w:r>
      <w:r>
        <w:rPr/>
        <w:t>e incubar a 37 ºC por 30 min. Luego se les adicionó un volumen de 800 µL de cloroformo: alcohol isoamílico en proporción 24:1 y se mezclaron por inversión. Después se centrifugaron a 13 000 xg durante 15 min a 4ºC y se trasfirieron los sobrenadantes a otros tubos Eppendorf y les fue adicionado 500 µL de isopropanol y se mezclaron por inversión, luego se dejaron durante una hora a 4 ºC para después centrifugar a 12 000 xg por 15 min a 4 ºC.  Posteriormente las  pastillas se  resuspendieron  en 400 µL de  TrisHCl pH 8 10 mM, EDTA</w:t>
      </w:r>
      <w:r>
        <w:rPr>
          <w:spacing w:val="-10"/>
        </w:rPr>
        <w:t> </w:t>
      </w:r>
      <w:r>
        <w:rPr/>
        <w:t>1</w:t>
      </w:r>
    </w:p>
    <w:p>
      <w:pPr>
        <w:spacing w:after="0" w:line="477" w:lineRule="auto"/>
        <w:jc w:val="both"/>
        <w:sectPr>
          <w:footerReference w:type="default" r:id="rId22"/>
          <w:pgSz w:w="12240" w:h="15840"/>
          <w:pgMar w:footer="2005" w:header="0" w:top="1360" w:bottom="2200" w:left="1600" w:right="1300"/>
        </w:sectPr>
      </w:pPr>
    </w:p>
    <w:p>
      <w:pPr>
        <w:pStyle w:val="BodyText"/>
        <w:spacing w:line="480" w:lineRule="auto" w:before="50"/>
        <w:ind w:left="102" w:right="111" w:firstLine="60"/>
        <w:jc w:val="both"/>
      </w:pPr>
      <w:r>
        <w:rPr/>
        <w:t>mM (TE) y se incubaron a 65 ºC durante 15 min, después de centrifugaron a 12 000 xg por 5 miny los sobrenadantes se transfirieron a otros tubos y se les adicionó un décimo de volumen (40 µL) de acetato de sodio y dos tercios de volumen (270 µL) de isopropanol frio, se mezclaron y se dejaron precipitar durante dos horas a 4 ºC. Luego se centrifugaron a 12 000  xg por 10 min a 4 ºC y al final se eliminaron los sobrenadantes, las pastillas de ADN se  lavaron con 800 µL de etanol (grado reactivo) al 80 % y se centrifugaron a 12 000 xg por 10 min, se eliminó el sobrenadante, se secaron las pastillas colocando los tubos Eppendorf abiertos con la tapa hacia abajo y se disolvieron en 100 µL de TE. Así se guardaron en refrigeración a 4 ºC hasta su</w:t>
      </w:r>
      <w:r>
        <w:rPr>
          <w:spacing w:val="-5"/>
        </w:rPr>
        <w:t> </w:t>
      </w:r>
      <w:r>
        <w:rPr/>
        <w:t>uso.</w:t>
      </w:r>
    </w:p>
    <w:p>
      <w:pPr>
        <w:pStyle w:val="BodyText"/>
        <w:spacing w:line="480" w:lineRule="auto" w:before="207"/>
        <w:ind w:left="102" w:right="115"/>
        <w:jc w:val="both"/>
      </w:pPr>
      <w:r>
        <w:rPr/>
        <w:t>Los otros dos métodos de extracción fueron modificaciones hechas al buffer de extracción del método de Dellaporta (1983), con la finalidad de evitar la oxidación causada por el exceso de taninos en las muestras. La primera modificación consistió en adicionarle 0.5 mM de ácido ascórbico y 1 % de metabisulfito de sodio(Stewart y Via, 1993) y la segunda solo   adicionarle</w:t>
      </w:r>
    </w:p>
    <w:p>
      <w:pPr>
        <w:pStyle w:val="BodyText"/>
        <w:spacing w:before="13"/>
        <w:ind w:left="102"/>
        <w:jc w:val="both"/>
      </w:pPr>
      <w:r>
        <w:rPr/>
        <w:t>0.5 mM de ácido ascórbico, según Hoelzel (1992).El resto de protocolo fue el mismo.</w:t>
      </w:r>
    </w:p>
    <w:p>
      <w:pPr>
        <w:pStyle w:val="BodyText"/>
      </w:pPr>
    </w:p>
    <w:p>
      <w:pPr>
        <w:pStyle w:val="BodyText"/>
        <w:spacing w:line="482" w:lineRule="auto" w:before="197"/>
        <w:ind w:left="102" w:right="117"/>
        <w:jc w:val="both"/>
      </w:pPr>
      <w:r>
        <w:rPr/>
        <w:t>Finalmente el método utilizado correspondió a Dellaporta (1983) con las modificaciones de Hoelzel, (1992).</w:t>
      </w:r>
    </w:p>
    <w:p>
      <w:pPr>
        <w:pStyle w:val="Heading2"/>
        <w:numPr>
          <w:ilvl w:val="2"/>
          <w:numId w:val="6"/>
        </w:numPr>
        <w:tabs>
          <w:tab w:pos="702" w:val="left" w:leader="none"/>
        </w:tabs>
        <w:spacing w:line="240" w:lineRule="auto" w:before="214" w:after="0"/>
        <w:ind w:left="702" w:right="0" w:hanging="600"/>
        <w:jc w:val="both"/>
      </w:pPr>
      <w:r>
        <w:rPr/>
        <w:t>Cuantificación, pureza y calidad del</w:t>
      </w:r>
      <w:r>
        <w:rPr>
          <w:spacing w:val="-10"/>
        </w:rPr>
        <w:t> </w:t>
      </w:r>
      <w:r>
        <w:rPr/>
        <w:t>ADN</w:t>
      </w:r>
    </w:p>
    <w:p>
      <w:pPr>
        <w:pStyle w:val="BodyText"/>
        <w:rPr>
          <w:b/>
        </w:rPr>
      </w:pPr>
    </w:p>
    <w:p>
      <w:pPr>
        <w:pStyle w:val="BodyText"/>
        <w:spacing w:line="480" w:lineRule="auto" w:before="192"/>
        <w:ind w:left="102" w:right="113"/>
        <w:jc w:val="both"/>
      </w:pPr>
      <w:r>
        <w:rPr/>
        <w:t>Para probar que el ADN estaba presente e integro, después de todo el proceso de extracción, se corrió una electroforesis en gel de agarosa, antes de hacer la cuantificacióny estandarizar la cantidad a utilizar para las amplificaciones finales. Para ello se preparó agarosa ultrapura Invitrogen  al 0.8  por   ciento  en 100 mL de  agua  destilada estéril, se  montó  la  cámara  de</w:t>
      </w:r>
    </w:p>
    <w:p>
      <w:pPr>
        <w:spacing w:after="0" w:line="480" w:lineRule="auto"/>
        <w:jc w:val="both"/>
        <w:sectPr>
          <w:footerReference w:type="default" r:id="rId23"/>
          <w:pgSz w:w="12240" w:h="15840"/>
          <w:pgMar w:footer="1604" w:header="0" w:top="1360" w:bottom="1800" w:left="1600" w:right="1300"/>
        </w:sectPr>
      </w:pPr>
    </w:p>
    <w:p>
      <w:pPr>
        <w:pStyle w:val="BodyText"/>
        <w:spacing w:line="482" w:lineRule="auto" w:before="50"/>
        <w:ind w:left="102" w:right="116" w:firstLine="60"/>
        <w:jc w:val="both"/>
      </w:pPr>
      <w:r>
        <w:rPr/>
        <w:t>electroforesis C,B.S. Scientific y se cargaron 10 µL de ADN y 2 µL de colorante de carga en cada pozo de cada una de las muestras. La cámara se conectó a una fuente de poder Thermo EC 105 y se corrió a 120 Volts, durante dos horas.</w:t>
      </w:r>
    </w:p>
    <w:p>
      <w:pPr>
        <w:pStyle w:val="BodyText"/>
        <w:spacing w:line="480" w:lineRule="auto" w:before="204"/>
        <w:ind w:left="102" w:right="114"/>
        <w:jc w:val="both"/>
      </w:pPr>
      <w:r>
        <w:rPr/>
        <w:t>Para conocer la cantidad de ADN presente en las muestras, se hicieron lecturas de absorbancia en un espectrofotómetro Thermo Scientific a longitud de 260 nanómetros (nm). Para ello se midieron 995 µL de agua destilada y se colocaron en un microtubo de 1.5 mL, luego se adicionaron 5 µL de ADN y se mezcló por inversión. Posteriormente con ayuda de una micropipeta de 1.0 mL se transfirió ésta solución a una celda de cuarzo, evitando que no se formaran burbujas y se colocó en el espectrofotómetro para tomar la lectura correspondiente y se registraron los datos. Éste  procedimiento  se  realizó  para  cada  una  de  las  muestras.  Con los datos obtenidos se calculó la concentración de ADN mediante la siguiente</w:t>
      </w:r>
      <w:r>
        <w:rPr>
          <w:spacing w:val="-15"/>
        </w:rPr>
        <w:t> </w:t>
      </w:r>
      <w:r>
        <w:rPr/>
        <w:t>fórmula:</w:t>
      </w:r>
    </w:p>
    <w:p>
      <w:pPr>
        <w:pStyle w:val="BodyText"/>
        <w:spacing w:before="193"/>
        <w:ind w:left="102"/>
        <w:jc w:val="both"/>
      </w:pPr>
      <w:r>
        <w:rPr>
          <w:position w:val="2"/>
        </w:rPr>
        <w:t>[ADN µg • µL</w:t>
      </w:r>
      <w:r>
        <w:rPr>
          <w:position w:val="11"/>
          <w:sz w:val="16"/>
        </w:rPr>
        <w:t>-1</w:t>
      </w:r>
      <w:r>
        <w:rPr>
          <w:position w:val="2"/>
        </w:rPr>
        <w:t>] = A</w:t>
      </w:r>
      <w:r>
        <w:rPr>
          <w:sz w:val="16"/>
        </w:rPr>
        <w:t>260 </w:t>
      </w:r>
      <w:r>
        <w:rPr>
          <w:position w:val="2"/>
        </w:rPr>
        <w:t>X 50 µg • mL</w:t>
      </w:r>
      <w:r>
        <w:rPr>
          <w:position w:val="11"/>
          <w:sz w:val="16"/>
        </w:rPr>
        <w:t>-1  </w:t>
      </w:r>
      <w:r>
        <w:rPr>
          <w:position w:val="2"/>
        </w:rPr>
        <w:t>X Factor de dilución / 1000</w:t>
      </w:r>
    </w:p>
    <w:p>
      <w:pPr>
        <w:pStyle w:val="BodyText"/>
        <w:rPr>
          <w:sz w:val="26"/>
        </w:rPr>
      </w:pPr>
    </w:p>
    <w:p>
      <w:pPr>
        <w:pStyle w:val="BodyText"/>
        <w:spacing w:line="480" w:lineRule="auto" w:before="174"/>
        <w:ind w:left="102" w:right="113"/>
        <w:jc w:val="both"/>
      </w:pPr>
      <w:r>
        <w:rPr/>
        <w:t>Una vez determinada la concentración de ADN se hicieron diluciones para obtener concentraciones de10 nanogramos (ng) por µL, en un volumen de 500 µL de agua(Tabla 1 de los anexos). Las muestras así cuantificadas fueron refrigeradas y utilizadas para la amplificación.</w:t>
      </w:r>
    </w:p>
    <w:p>
      <w:pPr>
        <w:pStyle w:val="Heading2"/>
        <w:numPr>
          <w:ilvl w:val="2"/>
          <w:numId w:val="6"/>
        </w:numPr>
        <w:tabs>
          <w:tab w:pos="702" w:val="left" w:leader="none"/>
        </w:tabs>
        <w:spacing w:line="240" w:lineRule="auto" w:before="214" w:after="0"/>
        <w:ind w:left="702" w:right="0" w:hanging="600"/>
        <w:jc w:val="both"/>
      </w:pPr>
      <w:r>
        <w:rPr/>
        <w:t>Amplificación del ADN mediante la Reacción en Cadena de la Polimerasa</w:t>
      </w:r>
      <w:r>
        <w:rPr>
          <w:spacing w:val="-17"/>
        </w:rPr>
        <w:t> </w:t>
      </w:r>
      <w:r>
        <w:rPr/>
        <w:t>(PCR)</w:t>
      </w:r>
    </w:p>
    <w:p>
      <w:pPr>
        <w:pStyle w:val="BodyText"/>
        <w:rPr>
          <w:b/>
        </w:rPr>
      </w:pPr>
    </w:p>
    <w:p>
      <w:pPr>
        <w:pStyle w:val="BodyText"/>
        <w:spacing w:line="482" w:lineRule="auto" w:before="192"/>
        <w:ind w:left="102" w:right="120"/>
        <w:jc w:val="both"/>
      </w:pPr>
      <w:r>
        <w:rPr/>
        <w:t>Se probaron 40 cebadores o iniciadores ISSR del Set de primers de la University British Columbia y el ISSR-2 que no pertenece al Set y fue sintetizado por la empresa SIGMA, S.A. de C.V. Del total de primers utilizados solo 12 amplificaron bandas polimórficas.</w:t>
      </w:r>
    </w:p>
    <w:p>
      <w:pPr>
        <w:spacing w:after="0" w:line="482" w:lineRule="auto"/>
        <w:jc w:val="both"/>
        <w:sectPr>
          <w:footerReference w:type="default" r:id="rId24"/>
          <w:pgSz w:w="12240" w:h="15840"/>
          <w:pgMar w:footer="1957" w:header="0" w:top="1360" w:bottom="2140" w:left="1600" w:right="1300"/>
          <w:pgNumType w:start="18"/>
        </w:sectPr>
      </w:pPr>
    </w:p>
    <w:p>
      <w:pPr>
        <w:pStyle w:val="BodyText"/>
        <w:spacing w:before="52"/>
        <w:ind w:left="164"/>
        <w:jc w:val="both"/>
      </w:pPr>
      <w:r>
        <w:rPr/>
        <w:t>Las secuencias de los 12 primers se refieren en la Tabla 2 del Artículo I.</w:t>
      </w:r>
    </w:p>
    <w:p>
      <w:pPr>
        <w:pStyle w:val="BodyText"/>
      </w:pPr>
    </w:p>
    <w:p>
      <w:pPr>
        <w:pStyle w:val="BodyText"/>
        <w:spacing w:line="480" w:lineRule="auto" w:before="197"/>
        <w:ind w:left="102" w:right="113"/>
        <w:jc w:val="both"/>
      </w:pPr>
      <w:r>
        <w:rPr/>
        <w:t>Las amplificaciones se hicieron para cada una de las muestras, utilizando 25 µL de mezcla de reacción preparada como se indica en la Tabla 2 del anexo y se le agregaron 2 µL de colorante de carga, luego se cargaron en los pozos de la cámara de electroforesis que contenía el gel de agarosa al 2 %. Las condiciones de amplificación del termociclador fueron las siguientes: pre apertura 93°C 20 s, desnaturalización 94°C 20 s, alineamiento 40°C 1 min, amplificación o polimerización de 51 a 61 °C 20 s (según el primer a amplificar), estas tres últimas  condiciones durante 40 ciclos, finalmente un ciclo adicional a 72°C 6 s para concluir el proceso. El corrimiento se realizó durante 2.5</w:t>
      </w:r>
      <w:r>
        <w:rPr>
          <w:spacing w:val="-9"/>
        </w:rPr>
        <w:t> </w:t>
      </w:r>
      <w:r>
        <w:rPr/>
        <w:t>horas.</w:t>
      </w:r>
    </w:p>
    <w:p>
      <w:pPr>
        <w:pStyle w:val="Heading2"/>
        <w:numPr>
          <w:ilvl w:val="2"/>
          <w:numId w:val="6"/>
        </w:numPr>
        <w:tabs>
          <w:tab w:pos="702" w:val="left" w:leader="none"/>
        </w:tabs>
        <w:spacing w:line="240" w:lineRule="auto" w:before="214" w:after="0"/>
        <w:ind w:left="702" w:right="0" w:hanging="600"/>
        <w:jc w:val="both"/>
      </w:pPr>
      <w:r>
        <w:rPr/>
        <w:t>Revelado de los productos de la</w:t>
      </w:r>
      <w:r>
        <w:rPr>
          <w:spacing w:val="-11"/>
        </w:rPr>
        <w:t> </w:t>
      </w:r>
      <w:r>
        <w:rPr/>
        <w:t>amplificación</w:t>
      </w:r>
    </w:p>
    <w:p>
      <w:pPr>
        <w:pStyle w:val="BodyText"/>
        <w:rPr>
          <w:b/>
        </w:rPr>
      </w:pPr>
    </w:p>
    <w:p>
      <w:pPr>
        <w:pStyle w:val="BodyText"/>
        <w:spacing w:line="468" w:lineRule="auto" w:before="194"/>
        <w:ind w:left="102" w:right="114"/>
        <w:jc w:val="both"/>
      </w:pPr>
      <w:r>
        <w:rPr/>
        <w:t>El revelado se realizó por inmersión de los geles durante 10 a 15 min en una solución de bromuro de etidio a concentración de 0.5 µgmL</w:t>
      </w:r>
      <w:r>
        <w:rPr>
          <w:position w:val="9"/>
          <w:sz w:val="16"/>
        </w:rPr>
        <w:t>-1 </w:t>
      </w:r>
      <w:r>
        <w:rPr/>
        <w:t>a partir de una solución concentrada de 10mgmL</w:t>
      </w:r>
      <w:r>
        <w:rPr>
          <w:position w:val="9"/>
          <w:sz w:val="16"/>
        </w:rPr>
        <w:t>-1 </w:t>
      </w:r>
      <w:r>
        <w:rPr/>
        <w:t>del reactivo.</w:t>
      </w:r>
    </w:p>
    <w:p>
      <w:pPr>
        <w:pStyle w:val="Heading2"/>
        <w:numPr>
          <w:ilvl w:val="2"/>
          <w:numId w:val="6"/>
        </w:numPr>
        <w:tabs>
          <w:tab w:pos="702" w:val="left" w:leader="none"/>
        </w:tabs>
        <w:spacing w:line="240" w:lineRule="auto" w:before="209" w:after="0"/>
        <w:ind w:left="702" w:right="0" w:hanging="600"/>
        <w:jc w:val="both"/>
      </w:pPr>
      <w:r>
        <w:rPr/>
        <w:t>Documentación de los productos de la</w:t>
      </w:r>
      <w:r>
        <w:rPr>
          <w:spacing w:val="-14"/>
        </w:rPr>
        <w:t> </w:t>
      </w:r>
      <w:r>
        <w:rPr/>
        <w:t>amplificación</w:t>
      </w:r>
    </w:p>
    <w:p>
      <w:pPr>
        <w:pStyle w:val="BodyText"/>
        <w:rPr>
          <w:b/>
        </w:rPr>
      </w:pPr>
    </w:p>
    <w:p>
      <w:pPr>
        <w:pStyle w:val="BodyText"/>
        <w:spacing w:line="480" w:lineRule="auto" w:before="192"/>
        <w:ind w:left="102" w:right="120"/>
        <w:jc w:val="both"/>
      </w:pPr>
      <w:r>
        <w:rPr/>
        <w:t>Una vez hecha la revelación, los geles fueron documentados en un Transiluminador High Performance UV conectado a una computadora convencional para almacenar la imagen con las bandas</w:t>
      </w:r>
      <w:r>
        <w:rPr>
          <w:spacing w:val="-7"/>
        </w:rPr>
        <w:t> </w:t>
      </w:r>
      <w:r>
        <w:rPr/>
        <w:t>registradas.</w:t>
      </w:r>
    </w:p>
    <w:p>
      <w:pPr>
        <w:pStyle w:val="BodyText"/>
        <w:spacing w:before="10"/>
        <w:rPr>
          <w:sz w:val="18"/>
        </w:rPr>
      </w:pPr>
    </w:p>
    <w:p>
      <w:pPr>
        <w:pStyle w:val="Heading2"/>
        <w:numPr>
          <w:ilvl w:val="2"/>
          <w:numId w:val="6"/>
        </w:numPr>
        <w:tabs>
          <w:tab w:pos="702" w:val="left" w:leader="none"/>
        </w:tabs>
        <w:spacing w:line="240" w:lineRule="auto" w:before="0" w:after="0"/>
        <w:ind w:left="702" w:right="0" w:hanging="600"/>
        <w:jc w:val="both"/>
      </w:pPr>
      <w:r>
        <w:rPr/>
        <w:t>Construcción de la matríz binaria de</w:t>
      </w:r>
      <w:r>
        <w:rPr>
          <w:spacing w:val="-8"/>
        </w:rPr>
        <w:t> </w:t>
      </w:r>
      <w:r>
        <w:rPr/>
        <w:t>datos</w:t>
      </w:r>
    </w:p>
    <w:p>
      <w:pPr>
        <w:pStyle w:val="BodyText"/>
        <w:rPr>
          <w:b/>
        </w:rPr>
      </w:pPr>
    </w:p>
    <w:p>
      <w:pPr>
        <w:pStyle w:val="BodyText"/>
        <w:spacing w:before="194"/>
        <w:ind w:left="102"/>
        <w:jc w:val="both"/>
      </w:pPr>
      <w:r>
        <w:rPr/>
        <w:t>Las   bandas  polimórficas   de   los 12  primers  que   amplificaron   fueron   contabilizadas </w:t>
      </w:r>
      <w:r>
        <w:rPr>
          <w:spacing w:val="53"/>
        </w:rPr>
        <w:t> </w:t>
      </w:r>
      <w:r>
        <w:rPr/>
        <w:t>y</w:t>
      </w:r>
    </w:p>
    <w:p>
      <w:pPr>
        <w:spacing w:after="0"/>
        <w:jc w:val="both"/>
        <w:sectPr>
          <w:pgSz w:w="12240" w:h="15840"/>
          <w:pgMar w:header="0" w:footer="1957" w:top="1360" w:bottom="2300" w:left="1600" w:right="1300"/>
        </w:sectPr>
      </w:pPr>
    </w:p>
    <w:p>
      <w:pPr>
        <w:pStyle w:val="BodyText"/>
        <w:spacing w:line="482" w:lineRule="auto" w:before="50"/>
        <w:ind w:left="102" w:right="119" w:firstLine="60"/>
        <w:jc w:val="both"/>
      </w:pPr>
      <w:r>
        <w:rPr/>
        <w:t>registradas para construir una matríz binaria de datos, considerando como 1 la presencia dela banda y como 0 la ausencia.</w:t>
      </w:r>
    </w:p>
    <w:p>
      <w:pPr>
        <w:pStyle w:val="Heading2"/>
        <w:numPr>
          <w:ilvl w:val="2"/>
          <w:numId w:val="6"/>
        </w:numPr>
        <w:tabs>
          <w:tab w:pos="702" w:val="left" w:leader="none"/>
        </w:tabs>
        <w:spacing w:line="240" w:lineRule="auto" w:before="211" w:after="0"/>
        <w:ind w:left="702" w:right="0" w:hanging="600"/>
        <w:jc w:val="both"/>
      </w:pPr>
      <w:r>
        <w:rPr/>
        <w:t>Análisis</w:t>
      </w:r>
      <w:r>
        <w:rPr>
          <w:spacing w:val="-4"/>
        </w:rPr>
        <w:t> </w:t>
      </w:r>
      <w:r>
        <w:rPr/>
        <w:t>estadístico</w:t>
      </w:r>
    </w:p>
    <w:p>
      <w:pPr>
        <w:pStyle w:val="BodyText"/>
        <w:rPr>
          <w:b/>
        </w:rPr>
      </w:pPr>
    </w:p>
    <w:p>
      <w:pPr>
        <w:pStyle w:val="BodyText"/>
        <w:spacing w:line="480" w:lineRule="auto" w:before="192"/>
        <w:ind w:left="102" w:right="114"/>
        <w:jc w:val="both"/>
      </w:pPr>
      <w:r>
        <w:rPr/>
        <w:t>La matríz binaria de datos fue analizada con el programa estadístico Free Tree (Versión 0.9.1.5) (Pavlicek </w:t>
      </w:r>
      <w:r>
        <w:rPr>
          <w:i/>
        </w:rPr>
        <w:t>et al</w:t>
      </w:r>
      <w:r>
        <w:rPr/>
        <w:t>., 1999) para generar la matríz de distancias genéticas usando el coeficiente DICE, también conocido como índice de similaridad de Nei´s y Li (1979). Los resultados de la matríz fueron analizados de acuerdo al UPGMA, así mismo se construyó un dendograma con 1000 replicas bootstrap. Para visualizar el dendograma se utilizó el programa Tree View-Tree. Con los resultados generados se realizó el análisis molecular. La seguridad informativa de los primers para diferenciar entre accesiones fue analizada mediante el Contenido de su Información Polimórfica, Indice del Marcador y el Poder de Resolución (PIC, MI y Rp, respectivamente, por sus siglas en inglés).</w:t>
      </w:r>
    </w:p>
    <w:p>
      <w:pPr>
        <w:pStyle w:val="BodyText"/>
        <w:spacing w:line="480" w:lineRule="auto" w:before="210"/>
        <w:ind w:left="102" w:right="113"/>
        <w:jc w:val="both"/>
      </w:pPr>
      <w:r>
        <w:rPr/>
        <w:t>Para el análisis molecular también se realizó un análisis de componentes principales obtenido mediante la correlación de la matríz binaria de datos en el programa GenA1Ex 6.501 (Peakall  y Smouse, 2006; 2012) e interpretado según sus tres  coordenadas</w:t>
      </w:r>
      <w:r>
        <w:rPr>
          <w:spacing w:val="-10"/>
        </w:rPr>
        <w:t> </w:t>
      </w:r>
      <w:r>
        <w:rPr/>
        <w:t>principales.</w:t>
      </w:r>
    </w:p>
    <w:p>
      <w:pPr>
        <w:pStyle w:val="Heading2"/>
        <w:numPr>
          <w:ilvl w:val="1"/>
          <w:numId w:val="7"/>
        </w:numPr>
        <w:tabs>
          <w:tab w:pos="522" w:val="left" w:leader="none"/>
        </w:tabs>
        <w:spacing w:line="240" w:lineRule="auto" w:before="214" w:after="0"/>
        <w:ind w:left="522" w:right="0" w:hanging="420"/>
        <w:jc w:val="both"/>
      </w:pPr>
      <w:r>
        <w:rPr/>
        <w:t>Caracterización</w:t>
      </w:r>
      <w:r>
        <w:rPr>
          <w:spacing w:val="-7"/>
        </w:rPr>
        <w:t> </w:t>
      </w:r>
      <w:r>
        <w:rPr/>
        <w:t>morfológica</w:t>
      </w:r>
    </w:p>
    <w:p>
      <w:pPr>
        <w:pStyle w:val="BodyText"/>
        <w:rPr>
          <w:b/>
        </w:rPr>
      </w:pPr>
    </w:p>
    <w:p>
      <w:pPr>
        <w:pStyle w:val="ListParagraph"/>
        <w:numPr>
          <w:ilvl w:val="2"/>
          <w:numId w:val="7"/>
        </w:numPr>
        <w:tabs>
          <w:tab w:pos="703" w:val="left" w:leader="none"/>
        </w:tabs>
        <w:spacing w:line="240" w:lineRule="auto" w:before="199" w:after="0"/>
        <w:ind w:left="702" w:right="0" w:hanging="600"/>
        <w:jc w:val="both"/>
        <w:rPr>
          <w:b/>
          <w:sz w:val="24"/>
        </w:rPr>
      </w:pPr>
      <w:r>
        <w:rPr>
          <w:b/>
          <w:sz w:val="24"/>
        </w:rPr>
        <w:t>Establecimiento del experimento en</w:t>
      </w:r>
      <w:r>
        <w:rPr>
          <w:b/>
          <w:spacing w:val="-10"/>
          <w:sz w:val="24"/>
        </w:rPr>
        <w:t> </w:t>
      </w:r>
      <w:r>
        <w:rPr>
          <w:b/>
          <w:sz w:val="24"/>
        </w:rPr>
        <w:t>campo</w:t>
      </w:r>
    </w:p>
    <w:p>
      <w:pPr>
        <w:pStyle w:val="BodyText"/>
        <w:rPr>
          <w:b/>
        </w:rPr>
      </w:pPr>
    </w:p>
    <w:p>
      <w:pPr>
        <w:pStyle w:val="BodyText"/>
        <w:spacing w:line="480" w:lineRule="auto" w:before="195"/>
        <w:ind w:left="102" w:right="117"/>
        <w:jc w:val="both"/>
      </w:pPr>
      <w:r>
        <w:rPr/>
        <w:t>La siembra se realizó en el ciclo primavera verano de 2013, en el Municipio de San Mateo Atenco, México, perteneciente al DDR I Toluca, en condiciones de temporal y fue establecido como se describe a continuación.</w:t>
      </w:r>
    </w:p>
    <w:p>
      <w:pPr>
        <w:spacing w:after="0" w:line="480" w:lineRule="auto"/>
        <w:jc w:val="both"/>
        <w:sectPr>
          <w:footerReference w:type="default" r:id="rId25"/>
          <w:pgSz w:w="12240" w:h="15840"/>
          <w:pgMar w:footer="1755" w:header="0" w:top="1360" w:bottom="1940" w:left="1600" w:right="1300"/>
        </w:sectPr>
      </w:pPr>
    </w:p>
    <w:p>
      <w:pPr>
        <w:pStyle w:val="Heading2"/>
        <w:numPr>
          <w:ilvl w:val="2"/>
          <w:numId w:val="7"/>
        </w:numPr>
        <w:tabs>
          <w:tab w:pos="702" w:val="left" w:leader="none"/>
        </w:tabs>
        <w:spacing w:line="240" w:lineRule="auto" w:before="57" w:after="0"/>
        <w:ind w:left="702" w:right="0" w:hanging="600"/>
        <w:jc w:val="both"/>
      </w:pPr>
      <w:r>
        <w:rPr/>
        <w:t>Preparación del</w:t>
      </w:r>
      <w:r>
        <w:rPr>
          <w:spacing w:val="-7"/>
        </w:rPr>
        <w:t> </w:t>
      </w:r>
      <w:r>
        <w:rPr/>
        <w:t>terreno</w:t>
      </w:r>
    </w:p>
    <w:p>
      <w:pPr>
        <w:pStyle w:val="BodyText"/>
        <w:rPr>
          <w:b/>
        </w:rPr>
      </w:pPr>
    </w:p>
    <w:p>
      <w:pPr>
        <w:pStyle w:val="BodyText"/>
        <w:spacing w:line="480" w:lineRule="auto" w:before="192"/>
        <w:ind w:left="102" w:right="115"/>
        <w:jc w:val="both"/>
      </w:pPr>
      <w:r>
        <w:rPr/>
        <w:t>Una superficie de dos mil metros cuadrados fue barbechada con un tractor Massey Ferguson, luego se aplicaron 600 kilogramos de estiércol seco de bovino; y se incorporó mediante un paso de rastra; la nivelación del terreno se hizo con otro paso de rastra, finalmente se realizó el surcado a 0.80 m de distancia entre surcos.</w:t>
      </w:r>
    </w:p>
    <w:p>
      <w:pPr>
        <w:pStyle w:val="BodyText"/>
        <w:spacing w:line="480" w:lineRule="auto" w:before="207"/>
        <w:ind w:left="102" w:right="115"/>
        <w:jc w:val="both"/>
      </w:pPr>
      <w:r>
        <w:rPr/>
        <w:t>El establecimiento de las 39 poblaciones realizó de acuerdo a un diseño experimental de bloques completos al azar con tres repeticiones. Considerando parcelas de tres surcos de  cuatro metros de largo cada uno. Se sembraron dos semillas por mata a 0.4 metros de distancia entre</w:t>
      </w:r>
      <w:r>
        <w:rPr>
          <w:spacing w:val="-5"/>
        </w:rPr>
        <w:t> </w:t>
      </w:r>
      <w:r>
        <w:rPr/>
        <w:t>éstas.</w:t>
      </w:r>
    </w:p>
    <w:p>
      <w:pPr>
        <w:pStyle w:val="BodyText"/>
        <w:spacing w:before="9"/>
        <w:rPr>
          <w:sz w:val="18"/>
        </w:rPr>
      </w:pPr>
    </w:p>
    <w:p>
      <w:pPr>
        <w:pStyle w:val="Heading2"/>
        <w:numPr>
          <w:ilvl w:val="2"/>
          <w:numId w:val="7"/>
        </w:numPr>
        <w:tabs>
          <w:tab w:pos="702" w:val="left" w:leader="none"/>
        </w:tabs>
        <w:spacing w:line="240" w:lineRule="auto" w:before="0" w:after="0"/>
        <w:ind w:left="702" w:right="0" w:hanging="600"/>
        <w:jc w:val="both"/>
      </w:pPr>
      <w:r>
        <w:rPr/>
        <w:t>Registro de las variables a</w:t>
      </w:r>
      <w:r>
        <w:rPr>
          <w:spacing w:val="-3"/>
        </w:rPr>
        <w:t> </w:t>
      </w:r>
      <w:r>
        <w:rPr/>
        <w:t>evaluar</w:t>
      </w:r>
    </w:p>
    <w:p>
      <w:pPr>
        <w:pStyle w:val="BodyText"/>
        <w:rPr>
          <w:b/>
        </w:rPr>
      </w:pPr>
    </w:p>
    <w:p>
      <w:pPr>
        <w:pStyle w:val="BodyText"/>
        <w:spacing w:line="480" w:lineRule="auto" w:before="192"/>
        <w:ind w:left="102" w:right="111"/>
        <w:jc w:val="both"/>
      </w:pPr>
      <w:r>
        <w:rPr/>
        <w:t>Se consideraron 29 variables agronómicas ymorfológicas de las cuales 18 fueron cualitativas y 11 cuantitativas; según la guía del Servicio Nacional de Inspección y Certificación de Semillas (SNICS, 2001) para la descripción de caracteres de haba,derivada del Consejo Internacional de Recursos Fitogenéticos y del Centro Internacional de Investigaciones Agrícolas en Zonas Áridas (IBPGR e ICARDA, por sus siglas en inglés, respectivamente).El registro de los datos se realizó considerando 10 plantas por parcela del surco central de cada repetición.En la Tabla 1 se indica la etapa del cultivo y la forma de registro de las variables.</w:t>
      </w:r>
    </w:p>
    <w:p>
      <w:pPr>
        <w:spacing w:after="0" w:line="480" w:lineRule="auto"/>
        <w:jc w:val="both"/>
        <w:sectPr>
          <w:footerReference w:type="default" r:id="rId26"/>
          <w:pgSz w:w="12240" w:h="15840"/>
          <w:pgMar w:footer="2307" w:header="0" w:top="1360" w:bottom="2500" w:left="1600" w:right="1300"/>
        </w:sectPr>
      </w:pPr>
    </w:p>
    <w:p>
      <w:pPr>
        <w:pStyle w:val="BodyText"/>
        <w:spacing w:line="276" w:lineRule="auto" w:before="52"/>
        <w:ind w:left="242"/>
      </w:pPr>
      <w:r>
        <w:rPr>
          <w:b/>
        </w:rPr>
        <w:t>Tabla 1. </w:t>
      </w:r>
      <w:r>
        <w:rPr/>
        <w:t>Variables a evaluar, código de la variable, tipo de variable y parámetro de registro considerado.</w:t>
      </w:r>
    </w:p>
    <w:p>
      <w:pPr>
        <w:pStyle w:val="BodyText"/>
        <w:spacing w:before="1"/>
        <w:rPr>
          <w:sz w:val="1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7"/>
        <w:gridCol w:w="1628"/>
        <w:gridCol w:w="1996"/>
        <w:gridCol w:w="3367"/>
      </w:tblGrid>
      <w:tr>
        <w:trPr>
          <w:trHeight w:val="468" w:hRule="exact"/>
        </w:trPr>
        <w:tc>
          <w:tcPr>
            <w:tcW w:w="2487" w:type="dxa"/>
            <w:tcBorders>
              <w:left w:val="nil"/>
              <w:right w:val="nil"/>
            </w:tcBorders>
          </w:tcPr>
          <w:p>
            <w:pPr>
              <w:pStyle w:val="TableParagraph"/>
              <w:spacing w:line="228" w:lineRule="exact"/>
              <w:ind w:left="811" w:right="891"/>
              <w:jc w:val="center"/>
              <w:rPr>
                <w:b/>
                <w:sz w:val="20"/>
              </w:rPr>
            </w:pPr>
            <w:r>
              <w:rPr>
                <w:b/>
                <w:sz w:val="20"/>
              </w:rPr>
              <w:t>Variable</w:t>
            </w:r>
          </w:p>
        </w:tc>
        <w:tc>
          <w:tcPr>
            <w:tcW w:w="1628" w:type="dxa"/>
            <w:tcBorders>
              <w:left w:val="nil"/>
              <w:right w:val="nil"/>
            </w:tcBorders>
          </w:tcPr>
          <w:p>
            <w:pPr>
              <w:pStyle w:val="TableParagraph"/>
              <w:ind w:left="247" w:right="205" w:firstLine="146"/>
              <w:rPr>
                <w:b/>
                <w:sz w:val="20"/>
              </w:rPr>
            </w:pPr>
            <w:r>
              <w:rPr>
                <w:b/>
                <w:sz w:val="20"/>
              </w:rPr>
              <w:t>Código de identificación</w:t>
            </w:r>
          </w:p>
        </w:tc>
        <w:tc>
          <w:tcPr>
            <w:tcW w:w="1996" w:type="dxa"/>
            <w:tcBorders>
              <w:left w:val="nil"/>
              <w:right w:val="nil"/>
            </w:tcBorders>
          </w:tcPr>
          <w:p>
            <w:pPr>
              <w:pStyle w:val="TableParagraph"/>
              <w:spacing w:line="228" w:lineRule="exact"/>
              <w:ind w:left="226"/>
              <w:rPr>
                <w:b/>
                <w:sz w:val="20"/>
              </w:rPr>
            </w:pPr>
            <w:r>
              <w:rPr>
                <w:b/>
                <w:sz w:val="20"/>
              </w:rPr>
              <w:t>Tipo de variable</w:t>
            </w:r>
          </w:p>
        </w:tc>
        <w:tc>
          <w:tcPr>
            <w:tcW w:w="3367" w:type="dxa"/>
            <w:tcBorders>
              <w:left w:val="nil"/>
              <w:right w:val="nil"/>
            </w:tcBorders>
          </w:tcPr>
          <w:p>
            <w:pPr>
              <w:pStyle w:val="TableParagraph"/>
              <w:spacing w:line="228" w:lineRule="exact"/>
              <w:ind w:left="251"/>
              <w:rPr>
                <w:b/>
                <w:sz w:val="20"/>
              </w:rPr>
            </w:pPr>
            <w:r>
              <w:rPr>
                <w:b/>
                <w:sz w:val="20"/>
              </w:rPr>
              <w:t>Parámetro de registro considerado</w:t>
            </w:r>
          </w:p>
        </w:tc>
      </w:tr>
      <w:tr>
        <w:trPr>
          <w:trHeight w:val="241" w:hRule="exact"/>
        </w:trPr>
        <w:tc>
          <w:tcPr>
            <w:tcW w:w="2487" w:type="dxa"/>
            <w:tcBorders>
              <w:left w:val="nil"/>
              <w:bottom w:val="nil"/>
              <w:right w:val="nil"/>
            </w:tcBorders>
          </w:tcPr>
          <w:p>
            <w:pPr>
              <w:pStyle w:val="TableParagraph"/>
              <w:spacing w:line="226" w:lineRule="exact"/>
              <w:ind w:left="122" w:right="389"/>
              <w:rPr>
                <w:sz w:val="20"/>
              </w:rPr>
            </w:pPr>
            <w:r>
              <w:rPr>
                <w:sz w:val="20"/>
              </w:rPr>
              <w:t>Hábito de Crecimiento</w:t>
            </w:r>
          </w:p>
        </w:tc>
        <w:tc>
          <w:tcPr>
            <w:tcW w:w="1628" w:type="dxa"/>
            <w:tcBorders>
              <w:left w:val="nil"/>
              <w:bottom w:val="nil"/>
              <w:right w:val="nil"/>
            </w:tcBorders>
          </w:tcPr>
          <w:p>
            <w:pPr>
              <w:pStyle w:val="TableParagraph"/>
              <w:spacing w:line="226" w:lineRule="exact"/>
              <w:ind w:left="487" w:right="466"/>
              <w:jc w:val="center"/>
              <w:rPr>
                <w:sz w:val="20"/>
              </w:rPr>
            </w:pPr>
            <w:r>
              <w:rPr>
                <w:sz w:val="20"/>
              </w:rPr>
              <w:t>HC</w:t>
            </w:r>
          </w:p>
        </w:tc>
        <w:tc>
          <w:tcPr>
            <w:tcW w:w="1996" w:type="dxa"/>
            <w:tcBorders>
              <w:left w:val="nil"/>
              <w:bottom w:val="nil"/>
              <w:right w:val="nil"/>
            </w:tcBorders>
          </w:tcPr>
          <w:p>
            <w:pPr>
              <w:pStyle w:val="TableParagraph"/>
              <w:spacing w:line="226" w:lineRule="exact"/>
              <w:ind w:left="226"/>
              <w:rPr>
                <w:sz w:val="20"/>
              </w:rPr>
            </w:pPr>
            <w:r>
              <w:rPr>
                <w:sz w:val="20"/>
              </w:rPr>
              <w:t>Cualitativa</w:t>
            </w:r>
          </w:p>
        </w:tc>
        <w:tc>
          <w:tcPr>
            <w:tcW w:w="3367" w:type="dxa"/>
            <w:tcBorders>
              <w:left w:val="nil"/>
              <w:bottom w:val="nil"/>
              <w:right w:val="nil"/>
            </w:tcBorders>
          </w:tcPr>
          <w:p>
            <w:pPr>
              <w:pStyle w:val="TableParagraph"/>
              <w:spacing w:line="226" w:lineRule="exact"/>
              <w:ind w:left="215"/>
              <w:rPr>
                <w:sz w:val="20"/>
              </w:rPr>
            </w:pPr>
            <w:r>
              <w:rPr>
                <w:sz w:val="20"/>
              </w:rPr>
              <w:t>Determinado, Indeterminado</w:t>
            </w:r>
          </w:p>
        </w:tc>
      </w:tr>
      <w:tr>
        <w:trPr>
          <w:trHeight w:val="229" w:hRule="exact"/>
        </w:trPr>
        <w:tc>
          <w:tcPr>
            <w:tcW w:w="2487" w:type="dxa"/>
            <w:tcBorders>
              <w:top w:val="nil"/>
              <w:left w:val="nil"/>
              <w:bottom w:val="nil"/>
              <w:right w:val="nil"/>
            </w:tcBorders>
          </w:tcPr>
          <w:p>
            <w:pPr>
              <w:pStyle w:val="TableParagraph"/>
              <w:spacing w:line="218" w:lineRule="exact"/>
              <w:ind w:left="122" w:right="389"/>
              <w:rPr>
                <w:sz w:val="20"/>
              </w:rPr>
            </w:pPr>
            <w:r>
              <w:rPr>
                <w:sz w:val="20"/>
              </w:rPr>
              <w:t>Altura de la Planta</w:t>
            </w:r>
          </w:p>
        </w:tc>
        <w:tc>
          <w:tcPr>
            <w:tcW w:w="1628" w:type="dxa"/>
            <w:tcBorders>
              <w:top w:val="nil"/>
              <w:left w:val="nil"/>
              <w:bottom w:val="nil"/>
              <w:right w:val="nil"/>
            </w:tcBorders>
          </w:tcPr>
          <w:p>
            <w:pPr>
              <w:pStyle w:val="TableParagraph"/>
              <w:spacing w:line="218" w:lineRule="exact"/>
              <w:ind w:left="479" w:right="466"/>
              <w:jc w:val="center"/>
              <w:rPr>
                <w:sz w:val="20"/>
              </w:rPr>
            </w:pPr>
            <w:r>
              <w:rPr>
                <w:sz w:val="20"/>
              </w:rPr>
              <w:t>AP</w:t>
            </w:r>
          </w:p>
        </w:tc>
        <w:tc>
          <w:tcPr>
            <w:tcW w:w="1996" w:type="dxa"/>
            <w:tcBorders>
              <w:top w:val="nil"/>
              <w:left w:val="nil"/>
              <w:bottom w:val="nil"/>
              <w:right w:val="nil"/>
            </w:tcBorders>
          </w:tcPr>
          <w:p>
            <w:pPr>
              <w:pStyle w:val="TableParagraph"/>
              <w:spacing w:line="218" w:lineRule="exact"/>
              <w:ind w:left="226"/>
              <w:rPr>
                <w:sz w:val="20"/>
              </w:rPr>
            </w:pPr>
            <w:r>
              <w:rPr>
                <w:sz w:val="20"/>
              </w:rPr>
              <w:t>Cualitativa</w:t>
            </w:r>
          </w:p>
        </w:tc>
        <w:tc>
          <w:tcPr>
            <w:tcW w:w="3367" w:type="dxa"/>
            <w:tcBorders>
              <w:top w:val="nil"/>
              <w:left w:val="nil"/>
              <w:bottom w:val="nil"/>
              <w:right w:val="nil"/>
            </w:tcBorders>
          </w:tcPr>
          <w:p>
            <w:pPr>
              <w:pStyle w:val="TableParagraph"/>
              <w:spacing w:line="218" w:lineRule="exact"/>
              <w:ind w:left="215"/>
              <w:rPr>
                <w:sz w:val="20"/>
              </w:rPr>
            </w:pPr>
            <w:r>
              <w:rPr>
                <w:sz w:val="20"/>
              </w:rPr>
              <w:t>Baja, Media, Alta</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Número de Tallos</w:t>
            </w:r>
          </w:p>
        </w:tc>
        <w:tc>
          <w:tcPr>
            <w:tcW w:w="1628" w:type="dxa"/>
            <w:tcBorders>
              <w:top w:val="nil"/>
              <w:left w:val="nil"/>
              <w:bottom w:val="nil"/>
              <w:right w:val="nil"/>
            </w:tcBorders>
          </w:tcPr>
          <w:p>
            <w:pPr>
              <w:pStyle w:val="TableParagraph"/>
              <w:spacing w:line="219" w:lineRule="exact"/>
              <w:ind w:left="485" w:right="466"/>
              <w:jc w:val="center"/>
              <w:rPr>
                <w:sz w:val="20"/>
              </w:rPr>
            </w:pPr>
            <w:r>
              <w:rPr>
                <w:sz w:val="20"/>
              </w:rPr>
              <w:t>NT</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spacing w:line="219" w:lineRule="exact"/>
              <w:ind w:left="215"/>
              <w:rPr>
                <w:sz w:val="20"/>
              </w:rPr>
            </w:pPr>
            <w:r>
              <w:rPr>
                <w:sz w:val="20"/>
              </w:rPr>
              <w:t>Registro del NT por planta</w:t>
            </w:r>
          </w:p>
        </w:tc>
      </w:tr>
      <w:tr>
        <w:trPr>
          <w:trHeight w:val="502"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Número de Nudos</w:t>
            </w:r>
          </w:p>
        </w:tc>
        <w:tc>
          <w:tcPr>
            <w:tcW w:w="1628" w:type="dxa"/>
            <w:tcBorders>
              <w:top w:val="nil"/>
              <w:left w:val="nil"/>
              <w:bottom w:val="nil"/>
              <w:right w:val="nil"/>
            </w:tcBorders>
          </w:tcPr>
          <w:p>
            <w:pPr>
              <w:pStyle w:val="TableParagraph"/>
              <w:spacing w:line="219" w:lineRule="exact"/>
              <w:ind w:left="488" w:right="466"/>
              <w:jc w:val="center"/>
              <w:rPr>
                <w:sz w:val="20"/>
              </w:rPr>
            </w:pPr>
            <w:r>
              <w:rPr>
                <w:sz w:val="20"/>
              </w:rPr>
              <w:t>NN</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ind w:left="215"/>
              <w:rPr>
                <w:sz w:val="20"/>
              </w:rPr>
            </w:pPr>
            <w:r>
              <w:rPr>
                <w:sz w:val="20"/>
              </w:rPr>
              <w:t>Se contabilizó el número de nudos incluyendo el primer nudo floral</w:t>
            </w:r>
          </w:p>
        </w:tc>
      </w:tr>
      <w:tr>
        <w:trPr>
          <w:trHeight w:val="502" w:hRule="exact"/>
        </w:trPr>
        <w:tc>
          <w:tcPr>
            <w:tcW w:w="2487" w:type="dxa"/>
            <w:tcBorders>
              <w:top w:val="nil"/>
              <w:left w:val="nil"/>
              <w:bottom w:val="nil"/>
              <w:right w:val="nil"/>
            </w:tcBorders>
          </w:tcPr>
          <w:p>
            <w:pPr>
              <w:pStyle w:val="TableParagraph"/>
              <w:spacing w:before="30"/>
              <w:ind w:left="122" w:right="389"/>
              <w:rPr>
                <w:sz w:val="20"/>
              </w:rPr>
            </w:pPr>
            <w:r>
              <w:rPr>
                <w:sz w:val="20"/>
              </w:rPr>
              <w:t>Coloración de las Antocianinas del Follaje</w:t>
            </w:r>
          </w:p>
        </w:tc>
        <w:tc>
          <w:tcPr>
            <w:tcW w:w="1628" w:type="dxa"/>
            <w:tcBorders>
              <w:top w:val="nil"/>
              <w:left w:val="nil"/>
              <w:bottom w:val="nil"/>
              <w:right w:val="nil"/>
            </w:tcBorders>
          </w:tcPr>
          <w:p>
            <w:pPr>
              <w:pStyle w:val="TableParagraph"/>
              <w:spacing w:before="30"/>
              <w:ind w:left="486" w:right="466"/>
              <w:jc w:val="center"/>
              <w:rPr>
                <w:sz w:val="20"/>
              </w:rPr>
            </w:pPr>
            <w:r>
              <w:rPr>
                <w:sz w:val="20"/>
              </w:rPr>
              <w:t>CAF</w:t>
            </w:r>
          </w:p>
        </w:tc>
        <w:tc>
          <w:tcPr>
            <w:tcW w:w="1996" w:type="dxa"/>
            <w:tcBorders>
              <w:top w:val="nil"/>
              <w:left w:val="nil"/>
              <w:bottom w:val="nil"/>
              <w:right w:val="nil"/>
            </w:tcBorders>
          </w:tcPr>
          <w:p>
            <w:pPr>
              <w:pStyle w:val="TableParagraph"/>
              <w:spacing w:before="30"/>
              <w:ind w:left="226"/>
              <w:rPr>
                <w:sz w:val="20"/>
              </w:rPr>
            </w:pPr>
            <w:r>
              <w:rPr>
                <w:sz w:val="20"/>
              </w:rPr>
              <w:t>Cualitativa</w:t>
            </w:r>
          </w:p>
        </w:tc>
        <w:tc>
          <w:tcPr>
            <w:tcW w:w="3367" w:type="dxa"/>
            <w:tcBorders>
              <w:top w:val="nil"/>
              <w:left w:val="nil"/>
              <w:bottom w:val="nil"/>
              <w:right w:val="nil"/>
            </w:tcBorders>
          </w:tcPr>
          <w:p>
            <w:pPr>
              <w:pStyle w:val="TableParagraph"/>
              <w:spacing w:before="30"/>
              <w:ind w:left="215"/>
              <w:rPr>
                <w:sz w:val="20"/>
              </w:rPr>
            </w:pPr>
            <w:r>
              <w:rPr>
                <w:sz w:val="20"/>
              </w:rPr>
              <w:t>Presente, Ausente</w:t>
            </w:r>
          </w:p>
        </w:tc>
      </w:tr>
      <w:tr>
        <w:trPr>
          <w:trHeight w:val="461"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Número de Foliolos</w:t>
            </w:r>
          </w:p>
        </w:tc>
        <w:tc>
          <w:tcPr>
            <w:tcW w:w="1628" w:type="dxa"/>
            <w:tcBorders>
              <w:top w:val="nil"/>
              <w:left w:val="nil"/>
              <w:bottom w:val="nil"/>
              <w:right w:val="nil"/>
            </w:tcBorders>
          </w:tcPr>
          <w:p>
            <w:pPr>
              <w:pStyle w:val="TableParagraph"/>
              <w:spacing w:line="219" w:lineRule="exact"/>
              <w:ind w:left="487" w:right="466"/>
              <w:jc w:val="center"/>
              <w:rPr>
                <w:sz w:val="20"/>
              </w:rPr>
            </w:pPr>
            <w:r>
              <w:rPr>
                <w:sz w:val="20"/>
              </w:rPr>
              <w:t>NFo</w:t>
            </w:r>
          </w:p>
        </w:tc>
        <w:tc>
          <w:tcPr>
            <w:tcW w:w="1996" w:type="dxa"/>
            <w:tcBorders>
              <w:top w:val="nil"/>
              <w:left w:val="nil"/>
              <w:bottom w:val="nil"/>
              <w:right w:val="nil"/>
            </w:tcBorders>
          </w:tcPr>
          <w:p>
            <w:pPr>
              <w:pStyle w:val="TableParagraph"/>
              <w:spacing w:line="219" w:lineRule="exact"/>
              <w:ind w:left="226"/>
              <w:rPr>
                <w:sz w:val="20"/>
              </w:rPr>
            </w:pPr>
            <w:r>
              <w:rPr>
                <w:sz w:val="20"/>
              </w:rPr>
              <w:t>Número de foliolos</w:t>
            </w:r>
          </w:p>
        </w:tc>
        <w:tc>
          <w:tcPr>
            <w:tcW w:w="3367" w:type="dxa"/>
            <w:tcBorders>
              <w:top w:val="nil"/>
              <w:left w:val="nil"/>
              <w:bottom w:val="nil"/>
              <w:right w:val="nil"/>
            </w:tcBorders>
          </w:tcPr>
          <w:p>
            <w:pPr>
              <w:pStyle w:val="TableParagraph"/>
              <w:ind w:left="215" w:right="110"/>
              <w:rPr>
                <w:sz w:val="20"/>
              </w:rPr>
            </w:pPr>
            <w:r>
              <w:rPr>
                <w:sz w:val="20"/>
              </w:rPr>
              <w:t>Se consideró el número de foliolos de la hoja compuesta seleccionada</w:t>
            </w:r>
          </w:p>
        </w:tc>
      </w:tr>
      <w:tr>
        <w:trPr>
          <w:trHeight w:val="459"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Color del Follaje</w:t>
            </w:r>
          </w:p>
        </w:tc>
        <w:tc>
          <w:tcPr>
            <w:tcW w:w="1628" w:type="dxa"/>
            <w:tcBorders>
              <w:top w:val="nil"/>
              <w:left w:val="nil"/>
              <w:bottom w:val="nil"/>
              <w:right w:val="nil"/>
            </w:tcBorders>
          </w:tcPr>
          <w:p>
            <w:pPr>
              <w:pStyle w:val="TableParagraph"/>
              <w:spacing w:line="219" w:lineRule="exact"/>
              <w:ind w:left="486" w:right="466"/>
              <w:jc w:val="center"/>
              <w:rPr>
                <w:sz w:val="20"/>
              </w:rPr>
            </w:pPr>
            <w:r>
              <w:rPr>
                <w:sz w:val="20"/>
              </w:rPr>
              <w:t>CF</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37" w:lineRule="auto"/>
              <w:ind w:left="215" w:right="738"/>
              <w:rPr>
                <w:sz w:val="20"/>
              </w:rPr>
            </w:pPr>
            <w:r>
              <w:rPr>
                <w:sz w:val="20"/>
              </w:rPr>
              <w:t>Verde, Verde Azulado, Verde Grisáceo</w:t>
            </w:r>
          </w:p>
        </w:tc>
      </w:tr>
      <w:tr>
        <w:trPr>
          <w:trHeight w:val="691"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Porcentaje de Floración</w:t>
            </w:r>
          </w:p>
        </w:tc>
        <w:tc>
          <w:tcPr>
            <w:tcW w:w="1628" w:type="dxa"/>
            <w:tcBorders>
              <w:top w:val="nil"/>
              <w:left w:val="nil"/>
              <w:bottom w:val="nil"/>
              <w:right w:val="nil"/>
            </w:tcBorders>
          </w:tcPr>
          <w:p>
            <w:pPr>
              <w:pStyle w:val="TableParagraph"/>
              <w:spacing w:line="219" w:lineRule="exact"/>
              <w:ind w:left="488" w:right="466"/>
              <w:jc w:val="center"/>
              <w:rPr>
                <w:sz w:val="20"/>
              </w:rPr>
            </w:pPr>
            <w:r>
              <w:rPr>
                <w:sz w:val="20"/>
              </w:rPr>
              <w:t>PF</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ind w:left="215"/>
              <w:rPr>
                <w:sz w:val="20"/>
              </w:rPr>
            </w:pPr>
            <w:r>
              <w:rPr>
                <w:sz w:val="20"/>
              </w:rPr>
              <w:t>Se contabilizó el número de flores (hasta que el 50 % * 1 de la parcela experimental registró floración)</w:t>
            </w:r>
          </w:p>
        </w:tc>
      </w:tr>
      <w:tr>
        <w:trPr>
          <w:trHeight w:val="460" w:hRule="exact"/>
        </w:trPr>
        <w:tc>
          <w:tcPr>
            <w:tcW w:w="2487" w:type="dxa"/>
            <w:tcBorders>
              <w:top w:val="nil"/>
              <w:left w:val="nil"/>
              <w:bottom w:val="nil"/>
              <w:right w:val="nil"/>
            </w:tcBorders>
          </w:tcPr>
          <w:p>
            <w:pPr>
              <w:pStyle w:val="TableParagraph"/>
              <w:ind w:left="122" w:right="584"/>
              <w:rPr>
                <w:sz w:val="20"/>
              </w:rPr>
            </w:pPr>
            <w:r>
              <w:rPr>
                <w:sz w:val="20"/>
              </w:rPr>
              <w:t>Número de Flores por Planta</w:t>
            </w:r>
          </w:p>
        </w:tc>
        <w:tc>
          <w:tcPr>
            <w:tcW w:w="1628" w:type="dxa"/>
            <w:tcBorders>
              <w:top w:val="nil"/>
              <w:left w:val="nil"/>
              <w:bottom w:val="nil"/>
              <w:right w:val="nil"/>
            </w:tcBorders>
          </w:tcPr>
          <w:p>
            <w:pPr>
              <w:pStyle w:val="TableParagraph"/>
              <w:spacing w:line="219" w:lineRule="exact"/>
              <w:ind w:left="484" w:right="466"/>
              <w:jc w:val="center"/>
              <w:rPr>
                <w:sz w:val="20"/>
              </w:rPr>
            </w:pPr>
            <w:r>
              <w:rPr>
                <w:sz w:val="20"/>
              </w:rPr>
              <w:t>NFP</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ind w:left="215"/>
              <w:rPr>
                <w:sz w:val="20"/>
              </w:rPr>
            </w:pPr>
            <w:r>
              <w:rPr>
                <w:sz w:val="20"/>
              </w:rPr>
              <w:t>Registro del número de flores en el segundo segmento floral por planta</w:t>
            </w:r>
          </w:p>
        </w:tc>
      </w:tr>
      <w:tr>
        <w:trPr>
          <w:trHeight w:val="229" w:hRule="exact"/>
        </w:trPr>
        <w:tc>
          <w:tcPr>
            <w:tcW w:w="2487" w:type="dxa"/>
            <w:tcBorders>
              <w:top w:val="nil"/>
              <w:left w:val="nil"/>
              <w:bottom w:val="nil"/>
              <w:right w:val="nil"/>
            </w:tcBorders>
          </w:tcPr>
          <w:p>
            <w:pPr>
              <w:pStyle w:val="TableParagraph"/>
              <w:spacing w:line="218" w:lineRule="exact"/>
              <w:ind w:left="122" w:right="389"/>
              <w:rPr>
                <w:sz w:val="20"/>
              </w:rPr>
            </w:pPr>
            <w:r>
              <w:rPr>
                <w:sz w:val="20"/>
              </w:rPr>
              <w:t>Longitud de la Flor</w:t>
            </w:r>
          </w:p>
        </w:tc>
        <w:tc>
          <w:tcPr>
            <w:tcW w:w="1628" w:type="dxa"/>
            <w:tcBorders>
              <w:top w:val="nil"/>
              <w:left w:val="nil"/>
              <w:bottom w:val="nil"/>
              <w:right w:val="nil"/>
            </w:tcBorders>
          </w:tcPr>
          <w:p>
            <w:pPr>
              <w:pStyle w:val="TableParagraph"/>
              <w:spacing w:line="218" w:lineRule="exact"/>
              <w:ind w:left="482" w:right="466"/>
              <w:jc w:val="center"/>
              <w:rPr>
                <w:sz w:val="20"/>
              </w:rPr>
            </w:pPr>
            <w:r>
              <w:rPr>
                <w:sz w:val="20"/>
              </w:rPr>
              <w:t>LF</w:t>
            </w:r>
          </w:p>
        </w:tc>
        <w:tc>
          <w:tcPr>
            <w:tcW w:w="1996" w:type="dxa"/>
            <w:tcBorders>
              <w:top w:val="nil"/>
              <w:left w:val="nil"/>
              <w:bottom w:val="nil"/>
              <w:right w:val="nil"/>
            </w:tcBorders>
          </w:tcPr>
          <w:p>
            <w:pPr>
              <w:pStyle w:val="TableParagraph"/>
              <w:spacing w:line="218" w:lineRule="exact"/>
              <w:ind w:left="226"/>
              <w:rPr>
                <w:sz w:val="20"/>
              </w:rPr>
            </w:pPr>
            <w:r>
              <w:rPr>
                <w:sz w:val="20"/>
              </w:rPr>
              <w:t>Cualitativa</w:t>
            </w:r>
          </w:p>
        </w:tc>
        <w:tc>
          <w:tcPr>
            <w:tcW w:w="3367" w:type="dxa"/>
            <w:tcBorders>
              <w:top w:val="nil"/>
              <w:left w:val="nil"/>
              <w:bottom w:val="nil"/>
              <w:right w:val="nil"/>
            </w:tcBorders>
          </w:tcPr>
          <w:p>
            <w:pPr>
              <w:pStyle w:val="TableParagraph"/>
              <w:spacing w:line="218" w:lineRule="exact"/>
              <w:ind w:left="215"/>
              <w:rPr>
                <w:sz w:val="20"/>
              </w:rPr>
            </w:pPr>
            <w:r>
              <w:rPr>
                <w:sz w:val="20"/>
              </w:rPr>
              <w:t>Pequeña, Mediana, Grande</w:t>
            </w:r>
          </w:p>
        </w:tc>
      </w:tr>
      <w:tr>
        <w:trPr>
          <w:trHeight w:val="691" w:hRule="exact"/>
        </w:trPr>
        <w:tc>
          <w:tcPr>
            <w:tcW w:w="2487" w:type="dxa"/>
            <w:tcBorders>
              <w:top w:val="nil"/>
              <w:left w:val="nil"/>
              <w:bottom w:val="nil"/>
              <w:right w:val="nil"/>
            </w:tcBorders>
          </w:tcPr>
          <w:p>
            <w:pPr>
              <w:pStyle w:val="TableParagraph"/>
              <w:ind w:left="122" w:right="473"/>
              <w:rPr>
                <w:sz w:val="20"/>
              </w:rPr>
            </w:pPr>
            <w:r>
              <w:rPr>
                <w:sz w:val="20"/>
              </w:rPr>
              <w:t>Extensión de la Coloración de las Antocianinas en la Flor</w:t>
            </w:r>
          </w:p>
        </w:tc>
        <w:tc>
          <w:tcPr>
            <w:tcW w:w="1628" w:type="dxa"/>
            <w:tcBorders>
              <w:top w:val="nil"/>
              <w:left w:val="nil"/>
              <w:bottom w:val="nil"/>
              <w:right w:val="nil"/>
            </w:tcBorders>
          </w:tcPr>
          <w:p>
            <w:pPr>
              <w:pStyle w:val="TableParagraph"/>
              <w:spacing w:line="219" w:lineRule="exact"/>
              <w:ind w:left="484" w:right="466"/>
              <w:jc w:val="center"/>
              <w:rPr>
                <w:sz w:val="20"/>
              </w:rPr>
            </w:pPr>
            <w:r>
              <w:rPr>
                <w:sz w:val="20"/>
              </w:rPr>
              <w:t>ECAF</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Pequeña, Mediana, Grande</w:t>
            </w:r>
          </w:p>
        </w:tc>
      </w:tr>
      <w:tr>
        <w:trPr>
          <w:trHeight w:val="460" w:hRule="exact"/>
        </w:trPr>
        <w:tc>
          <w:tcPr>
            <w:tcW w:w="2487" w:type="dxa"/>
            <w:tcBorders>
              <w:top w:val="nil"/>
              <w:left w:val="nil"/>
              <w:bottom w:val="nil"/>
              <w:right w:val="nil"/>
            </w:tcBorders>
          </w:tcPr>
          <w:p>
            <w:pPr>
              <w:pStyle w:val="TableParagraph"/>
              <w:ind w:left="122"/>
              <w:rPr>
                <w:sz w:val="20"/>
              </w:rPr>
            </w:pPr>
            <w:r>
              <w:rPr>
                <w:sz w:val="20"/>
              </w:rPr>
              <w:t>Presencia de Mancha de Melanina en el Ala</w:t>
            </w:r>
          </w:p>
        </w:tc>
        <w:tc>
          <w:tcPr>
            <w:tcW w:w="1628" w:type="dxa"/>
            <w:tcBorders>
              <w:top w:val="nil"/>
              <w:left w:val="nil"/>
              <w:bottom w:val="nil"/>
              <w:right w:val="nil"/>
            </w:tcBorders>
          </w:tcPr>
          <w:p>
            <w:pPr>
              <w:pStyle w:val="TableParagraph"/>
              <w:spacing w:line="219" w:lineRule="exact"/>
              <w:ind w:left="485" w:right="466"/>
              <w:jc w:val="center"/>
              <w:rPr>
                <w:sz w:val="20"/>
              </w:rPr>
            </w:pPr>
            <w:r>
              <w:rPr>
                <w:sz w:val="20"/>
              </w:rPr>
              <w:t>PMMA</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Presente, Ausente</w:t>
            </w:r>
          </w:p>
        </w:tc>
      </w:tr>
      <w:tr>
        <w:trPr>
          <w:trHeight w:val="460" w:hRule="exact"/>
        </w:trPr>
        <w:tc>
          <w:tcPr>
            <w:tcW w:w="2487" w:type="dxa"/>
            <w:tcBorders>
              <w:top w:val="nil"/>
              <w:left w:val="nil"/>
              <w:bottom w:val="nil"/>
              <w:right w:val="nil"/>
            </w:tcBorders>
          </w:tcPr>
          <w:p>
            <w:pPr>
              <w:pStyle w:val="TableParagraph"/>
              <w:ind w:left="122" w:right="389"/>
              <w:rPr>
                <w:sz w:val="20"/>
              </w:rPr>
            </w:pPr>
            <w:r>
              <w:rPr>
                <w:sz w:val="20"/>
              </w:rPr>
              <w:t>Color de la Mancha de Melanina en el Ala</w:t>
            </w:r>
          </w:p>
        </w:tc>
        <w:tc>
          <w:tcPr>
            <w:tcW w:w="1628" w:type="dxa"/>
            <w:tcBorders>
              <w:top w:val="nil"/>
              <w:left w:val="nil"/>
              <w:bottom w:val="nil"/>
              <w:right w:val="nil"/>
            </w:tcBorders>
          </w:tcPr>
          <w:p>
            <w:pPr>
              <w:pStyle w:val="TableParagraph"/>
              <w:spacing w:line="218" w:lineRule="exact"/>
              <w:ind w:left="488" w:right="466"/>
              <w:jc w:val="center"/>
              <w:rPr>
                <w:sz w:val="20"/>
              </w:rPr>
            </w:pPr>
            <w:r>
              <w:rPr>
                <w:sz w:val="20"/>
              </w:rPr>
              <w:t>CMMA</w:t>
            </w:r>
          </w:p>
        </w:tc>
        <w:tc>
          <w:tcPr>
            <w:tcW w:w="1996" w:type="dxa"/>
            <w:tcBorders>
              <w:top w:val="nil"/>
              <w:left w:val="nil"/>
              <w:bottom w:val="nil"/>
              <w:right w:val="nil"/>
            </w:tcBorders>
          </w:tcPr>
          <w:p>
            <w:pPr>
              <w:pStyle w:val="TableParagraph"/>
              <w:spacing w:line="218" w:lineRule="exact"/>
              <w:ind w:left="226"/>
              <w:rPr>
                <w:sz w:val="20"/>
              </w:rPr>
            </w:pPr>
            <w:r>
              <w:rPr>
                <w:sz w:val="20"/>
              </w:rPr>
              <w:t>Cualitativa</w:t>
            </w:r>
          </w:p>
        </w:tc>
        <w:tc>
          <w:tcPr>
            <w:tcW w:w="3367" w:type="dxa"/>
            <w:tcBorders>
              <w:top w:val="nil"/>
              <w:left w:val="nil"/>
              <w:bottom w:val="nil"/>
              <w:right w:val="nil"/>
            </w:tcBorders>
          </w:tcPr>
          <w:p>
            <w:pPr>
              <w:pStyle w:val="TableParagraph"/>
              <w:spacing w:line="218" w:lineRule="exact"/>
              <w:ind w:left="215"/>
              <w:rPr>
                <w:sz w:val="20"/>
              </w:rPr>
            </w:pPr>
            <w:r>
              <w:rPr>
                <w:sz w:val="20"/>
              </w:rPr>
              <w:t>Café, Negra, Amarilla verdosa</w:t>
            </w:r>
          </w:p>
        </w:tc>
      </w:tr>
      <w:tr>
        <w:trPr>
          <w:trHeight w:val="461" w:hRule="exact"/>
        </w:trPr>
        <w:tc>
          <w:tcPr>
            <w:tcW w:w="2487" w:type="dxa"/>
            <w:tcBorders>
              <w:top w:val="nil"/>
              <w:left w:val="nil"/>
              <w:bottom w:val="nil"/>
              <w:right w:val="nil"/>
            </w:tcBorders>
          </w:tcPr>
          <w:p>
            <w:pPr>
              <w:pStyle w:val="TableParagraph"/>
              <w:ind w:left="122"/>
              <w:rPr>
                <w:sz w:val="20"/>
              </w:rPr>
            </w:pPr>
            <w:r>
              <w:rPr>
                <w:sz w:val="20"/>
              </w:rPr>
              <w:t>Mancha de Melanina en el Estandarte</w:t>
            </w:r>
          </w:p>
        </w:tc>
        <w:tc>
          <w:tcPr>
            <w:tcW w:w="1628" w:type="dxa"/>
            <w:tcBorders>
              <w:top w:val="nil"/>
              <w:left w:val="nil"/>
              <w:bottom w:val="nil"/>
              <w:right w:val="nil"/>
            </w:tcBorders>
          </w:tcPr>
          <w:p>
            <w:pPr>
              <w:pStyle w:val="TableParagraph"/>
              <w:spacing w:line="219" w:lineRule="exact"/>
              <w:ind w:left="486" w:right="466"/>
              <w:jc w:val="center"/>
              <w:rPr>
                <w:sz w:val="20"/>
              </w:rPr>
            </w:pPr>
            <w:r>
              <w:rPr>
                <w:sz w:val="20"/>
              </w:rPr>
              <w:t>MME</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Presente, Ausente</w:t>
            </w:r>
          </w:p>
        </w:tc>
      </w:tr>
      <w:tr>
        <w:trPr>
          <w:trHeight w:val="689" w:hRule="exact"/>
        </w:trPr>
        <w:tc>
          <w:tcPr>
            <w:tcW w:w="2487" w:type="dxa"/>
            <w:tcBorders>
              <w:top w:val="nil"/>
              <w:left w:val="nil"/>
              <w:bottom w:val="nil"/>
              <w:right w:val="nil"/>
            </w:tcBorders>
          </w:tcPr>
          <w:p>
            <w:pPr>
              <w:pStyle w:val="TableParagraph"/>
              <w:ind w:left="122" w:right="389"/>
              <w:rPr>
                <w:sz w:val="20"/>
              </w:rPr>
            </w:pPr>
            <w:r>
              <w:rPr>
                <w:sz w:val="20"/>
              </w:rPr>
              <w:t>Coloración de las Antocianinas en el Estandarte</w:t>
            </w:r>
          </w:p>
        </w:tc>
        <w:tc>
          <w:tcPr>
            <w:tcW w:w="1628" w:type="dxa"/>
            <w:tcBorders>
              <w:top w:val="nil"/>
              <w:left w:val="nil"/>
              <w:bottom w:val="nil"/>
              <w:right w:val="nil"/>
            </w:tcBorders>
          </w:tcPr>
          <w:p>
            <w:pPr>
              <w:pStyle w:val="TableParagraph"/>
              <w:spacing w:line="219" w:lineRule="exact"/>
              <w:ind w:left="483" w:right="466"/>
              <w:jc w:val="center"/>
              <w:rPr>
                <w:sz w:val="20"/>
              </w:rPr>
            </w:pPr>
            <w:r>
              <w:rPr>
                <w:sz w:val="20"/>
              </w:rPr>
              <w:t>CAE</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Presente, Ausente</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Porte de Vaina</w:t>
            </w:r>
          </w:p>
        </w:tc>
        <w:tc>
          <w:tcPr>
            <w:tcW w:w="1628" w:type="dxa"/>
            <w:tcBorders>
              <w:top w:val="nil"/>
              <w:left w:val="nil"/>
              <w:bottom w:val="nil"/>
              <w:right w:val="nil"/>
            </w:tcBorders>
          </w:tcPr>
          <w:p>
            <w:pPr>
              <w:pStyle w:val="TableParagraph"/>
              <w:spacing w:line="219" w:lineRule="exact"/>
              <w:ind w:left="488" w:right="466"/>
              <w:jc w:val="center"/>
              <w:rPr>
                <w:sz w:val="20"/>
              </w:rPr>
            </w:pPr>
            <w:r>
              <w:rPr>
                <w:sz w:val="20"/>
              </w:rPr>
              <w:t>PV</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Semierecto. Erecto, Horizontal</w:t>
            </w:r>
          </w:p>
        </w:tc>
      </w:tr>
      <w:tr>
        <w:trPr>
          <w:trHeight w:val="461" w:hRule="exact"/>
        </w:trPr>
        <w:tc>
          <w:tcPr>
            <w:tcW w:w="2487" w:type="dxa"/>
            <w:tcBorders>
              <w:top w:val="nil"/>
              <w:left w:val="nil"/>
              <w:bottom w:val="nil"/>
              <w:right w:val="nil"/>
            </w:tcBorders>
          </w:tcPr>
          <w:p>
            <w:pPr>
              <w:pStyle w:val="TableParagraph"/>
              <w:ind w:left="122"/>
              <w:rPr>
                <w:sz w:val="20"/>
              </w:rPr>
            </w:pPr>
            <w:r>
              <w:rPr>
                <w:sz w:val="20"/>
              </w:rPr>
              <w:t>Grado de Curvatura de la Vaina</w:t>
            </w:r>
          </w:p>
        </w:tc>
        <w:tc>
          <w:tcPr>
            <w:tcW w:w="1628" w:type="dxa"/>
            <w:tcBorders>
              <w:top w:val="nil"/>
              <w:left w:val="nil"/>
              <w:bottom w:val="nil"/>
              <w:right w:val="nil"/>
            </w:tcBorders>
          </w:tcPr>
          <w:p>
            <w:pPr>
              <w:pStyle w:val="TableParagraph"/>
              <w:spacing w:line="219" w:lineRule="exact"/>
              <w:ind w:left="486" w:right="466"/>
              <w:jc w:val="center"/>
              <w:rPr>
                <w:sz w:val="20"/>
              </w:rPr>
            </w:pPr>
            <w:r>
              <w:rPr>
                <w:sz w:val="20"/>
              </w:rPr>
              <w:t>GCV</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Ausente, Débil, Media</w:t>
            </w:r>
          </w:p>
        </w:tc>
      </w:tr>
      <w:tr>
        <w:trPr>
          <w:trHeight w:val="458" w:hRule="exact"/>
        </w:trPr>
        <w:tc>
          <w:tcPr>
            <w:tcW w:w="2487" w:type="dxa"/>
            <w:tcBorders>
              <w:top w:val="nil"/>
              <w:left w:val="nil"/>
              <w:bottom w:val="nil"/>
              <w:right w:val="nil"/>
            </w:tcBorders>
          </w:tcPr>
          <w:p>
            <w:pPr>
              <w:pStyle w:val="TableParagraph"/>
              <w:spacing w:line="237" w:lineRule="auto"/>
              <w:ind w:left="122" w:right="228"/>
              <w:rPr>
                <w:sz w:val="20"/>
              </w:rPr>
            </w:pPr>
            <w:r>
              <w:rPr>
                <w:sz w:val="20"/>
              </w:rPr>
              <w:t>Intensidad de Color Verde de la Vaina</w:t>
            </w:r>
          </w:p>
        </w:tc>
        <w:tc>
          <w:tcPr>
            <w:tcW w:w="1628" w:type="dxa"/>
            <w:tcBorders>
              <w:top w:val="nil"/>
              <w:left w:val="nil"/>
              <w:bottom w:val="nil"/>
              <w:right w:val="nil"/>
            </w:tcBorders>
          </w:tcPr>
          <w:p>
            <w:pPr>
              <w:pStyle w:val="TableParagraph"/>
              <w:spacing w:line="219" w:lineRule="exact"/>
              <w:ind w:left="485" w:right="466"/>
              <w:jc w:val="center"/>
              <w:rPr>
                <w:sz w:val="20"/>
              </w:rPr>
            </w:pPr>
            <w:r>
              <w:rPr>
                <w:sz w:val="20"/>
              </w:rPr>
              <w:t>ICVV</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Débil, Media, Fuerte</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Forma de la Semilla</w:t>
            </w:r>
          </w:p>
        </w:tc>
        <w:tc>
          <w:tcPr>
            <w:tcW w:w="1628" w:type="dxa"/>
            <w:tcBorders>
              <w:top w:val="nil"/>
              <w:left w:val="nil"/>
              <w:bottom w:val="nil"/>
              <w:right w:val="nil"/>
            </w:tcBorders>
          </w:tcPr>
          <w:p>
            <w:pPr>
              <w:pStyle w:val="TableParagraph"/>
              <w:spacing w:line="219" w:lineRule="exact"/>
              <w:ind w:left="484" w:right="466"/>
              <w:jc w:val="center"/>
              <w:rPr>
                <w:sz w:val="20"/>
              </w:rPr>
            </w:pPr>
            <w:r>
              <w:rPr>
                <w:sz w:val="20"/>
              </w:rPr>
              <w:t>FS</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Oblonga, Elíptica, Ovada</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Color de la Semilla</w:t>
            </w:r>
          </w:p>
        </w:tc>
        <w:tc>
          <w:tcPr>
            <w:tcW w:w="1628" w:type="dxa"/>
            <w:tcBorders>
              <w:top w:val="nil"/>
              <w:left w:val="nil"/>
              <w:bottom w:val="nil"/>
              <w:right w:val="nil"/>
            </w:tcBorders>
          </w:tcPr>
          <w:p>
            <w:pPr>
              <w:pStyle w:val="TableParagraph"/>
              <w:spacing w:line="219" w:lineRule="exact"/>
              <w:ind w:left="486" w:right="466"/>
              <w:jc w:val="center"/>
              <w:rPr>
                <w:sz w:val="20"/>
              </w:rPr>
            </w:pPr>
            <w:r>
              <w:rPr>
                <w:sz w:val="20"/>
              </w:rPr>
              <w:t>CS</w:t>
            </w:r>
          </w:p>
        </w:tc>
        <w:tc>
          <w:tcPr>
            <w:tcW w:w="1996" w:type="dxa"/>
            <w:tcBorders>
              <w:top w:val="nil"/>
              <w:left w:val="nil"/>
              <w:bottom w:val="nil"/>
              <w:right w:val="nil"/>
            </w:tcBorders>
          </w:tcPr>
          <w:p>
            <w:pPr>
              <w:pStyle w:val="TableParagraph"/>
              <w:spacing w:line="219" w:lineRule="exact"/>
              <w:ind w:left="226"/>
              <w:rPr>
                <w:sz w:val="20"/>
              </w:rPr>
            </w:pPr>
            <w:r>
              <w:rPr>
                <w:sz w:val="20"/>
              </w:rPr>
              <w:t>Cualitativa</w:t>
            </w:r>
          </w:p>
        </w:tc>
        <w:tc>
          <w:tcPr>
            <w:tcW w:w="3367" w:type="dxa"/>
            <w:tcBorders>
              <w:top w:val="nil"/>
              <w:left w:val="nil"/>
              <w:bottom w:val="nil"/>
              <w:right w:val="nil"/>
            </w:tcBorders>
          </w:tcPr>
          <w:p>
            <w:pPr>
              <w:pStyle w:val="TableParagraph"/>
              <w:spacing w:line="219" w:lineRule="exact"/>
              <w:ind w:left="215"/>
              <w:rPr>
                <w:sz w:val="20"/>
              </w:rPr>
            </w:pPr>
            <w:r>
              <w:rPr>
                <w:sz w:val="20"/>
              </w:rPr>
              <w:t>Café claro, Jaspeada</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Presencia de Hillium</w:t>
            </w:r>
          </w:p>
        </w:tc>
        <w:tc>
          <w:tcPr>
            <w:tcW w:w="1628" w:type="dxa"/>
            <w:tcBorders>
              <w:top w:val="nil"/>
              <w:left w:val="nil"/>
              <w:bottom w:val="nil"/>
              <w:right w:val="nil"/>
            </w:tcBorders>
          </w:tcPr>
          <w:p>
            <w:pPr>
              <w:pStyle w:val="TableParagraph"/>
              <w:spacing w:line="219" w:lineRule="exact"/>
              <w:ind w:left="488" w:right="466"/>
              <w:jc w:val="center"/>
              <w:rPr>
                <w:sz w:val="20"/>
              </w:rPr>
            </w:pPr>
            <w:r>
              <w:rPr>
                <w:sz w:val="20"/>
              </w:rPr>
              <w:t>PH</w:t>
            </w:r>
          </w:p>
        </w:tc>
        <w:tc>
          <w:tcPr>
            <w:tcW w:w="1996" w:type="dxa"/>
            <w:tcBorders>
              <w:top w:val="nil"/>
              <w:left w:val="nil"/>
              <w:bottom w:val="nil"/>
              <w:right w:val="nil"/>
            </w:tcBorders>
          </w:tcPr>
          <w:p>
            <w:pPr/>
          </w:p>
        </w:tc>
        <w:tc>
          <w:tcPr>
            <w:tcW w:w="3367" w:type="dxa"/>
            <w:tcBorders>
              <w:top w:val="nil"/>
              <w:left w:val="nil"/>
              <w:bottom w:val="nil"/>
              <w:right w:val="nil"/>
            </w:tcBorders>
          </w:tcPr>
          <w:p>
            <w:pPr/>
          </w:p>
        </w:tc>
      </w:tr>
      <w:tr>
        <w:trPr>
          <w:trHeight w:val="460" w:hRule="exact"/>
        </w:trPr>
        <w:tc>
          <w:tcPr>
            <w:tcW w:w="2487" w:type="dxa"/>
            <w:tcBorders>
              <w:top w:val="nil"/>
              <w:left w:val="nil"/>
              <w:bottom w:val="nil"/>
              <w:right w:val="nil"/>
            </w:tcBorders>
          </w:tcPr>
          <w:p>
            <w:pPr>
              <w:pStyle w:val="TableParagraph"/>
              <w:ind w:left="122" w:right="528"/>
              <w:rPr>
                <w:sz w:val="20"/>
              </w:rPr>
            </w:pPr>
            <w:r>
              <w:rPr>
                <w:sz w:val="20"/>
              </w:rPr>
              <w:t>Número de Vainas por Planta</w:t>
            </w:r>
          </w:p>
        </w:tc>
        <w:tc>
          <w:tcPr>
            <w:tcW w:w="1628" w:type="dxa"/>
            <w:tcBorders>
              <w:top w:val="nil"/>
              <w:left w:val="nil"/>
              <w:bottom w:val="nil"/>
              <w:right w:val="nil"/>
            </w:tcBorders>
          </w:tcPr>
          <w:p>
            <w:pPr>
              <w:pStyle w:val="TableParagraph"/>
              <w:spacing w:line="219" w:lineRule="exact"/>
              <w:ind w:left="484" w:right="466"/>
              <w:jc w:val="center"/>
              <w:rPr>
                <w:sz w:val="20"/>
              </w:rPr>
            </w:pPr>
            <w:r>
              <w:rPr>
                <w:sz w:val="20"/>
              </w:rPr>
              <w:t>NVP</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ind w:left="215" w:right="299"/>
              <w:rPr>
                <w:sz w:val="20"/>
              </w:rPr>
            </w:pPr>
            <w:r>
              <w:rPr>
                <w:sz w:val="20"/>
              </w:rPr>
              <w:t>Se registró el número de vainas por planta</w:t>
            </w:r>
          </w:p>
        </w:tc>
      </w:tr>
      <w:tr>
        <w:trPr>
          <w:trHeight w:val="460" w:hRule="exact"/>
        </w:trPr>
        <w:tc>
          <w:tcPr>
            <w:tcW w:w="2487" w:type="dxa"/>
            <w:tcBorders>
              <w:top w:val="nil"/>
              <w:left w:val="nil"/>
              <w:bottom w:val="nil"/>
              <w:right w:val="nil"/>
            </w:tcBorders>
          </w:tcPr>
          <w:p>
            <w:pPr>
              <w:pStyle w:val="TableParagraph"/>
              <w:spacing w:line="218" w:lineRule="exact"/>
              <w:ind w:left="122"/>
              <w:rPr>
                <w:sz w:val="20"/>
              </w:rPr>
            </w:pPr>
            <w:r>
              <w:rPr>
                <w:sz w:val="20"/>
              </w:rPr>
              <w:t>Peso de vainas por Planta</w:t>
            </w:r>
          </w:p>
        </w:tc>
        <w:tc>
          <w:tcPr>
            <w:tcW w:w="1628" w:type="dxa"/>
            <w:tcBorders>
              <w:top w:val="nil"/>
              <w:left w:val="nil"/>
              <w:bottom w:val="nil"/>
              <w:right w:val="nil"/>
            </w:tcBorders>
          </w:tcPr>
          <w:p>
            <w:pPr>
              <w:pStyle w:val="TableParagraph"/>
              <w:spacing w:line="218" w:lineRule="exact"/>
              <w:ind w:left="486" w:right="466"/>
              <w:jc w:val="center"/>
              <w:rPr>
                <w:sz w:val="20"/>
              </w:rPr>
            </w:pPr>
            <w:r>
              <w:rPr>
                <w:sz w:val="20"/>
              </w:rPr>
              <w:t>PVP</w:t>
            </w:r>
          </w:p>
        </w:tc>
        <w:tc>
          <w:tcPr>
            <w:tcW w:w="1996" w:type="dxa"/>
            <w:tcBorders>
              <w:top w:val="nil"/>
              <w:left w:val="nil"/>
              <w:bottom w:val="nil"/>
              <w:right w:val="nil"/>
            </w:tcBorders>
          </w:tcPr>
          <w:p>
            <w:pPr>
              <w:pStyle w:val="TableParagraph"/>
              <w:spacing w:line="218" w:lineRule="exact"/>
              <w:ind w:left="226"/>
              <w:rPr>
                <w:sz w:val="20"/>
              </w:rPr>
            </w:pPr>
            <w:r>
              <w:rPr>
                <w:sz w:val="20"/>
              </w:rPr>
              <w:t>Cuantitativa</w:t>
            </w:r>
          </w:p>
        </w:tc>
        <w:tc>
          <w:tcPr>
            <w:tcW w:w="3367" w:type="dxa"/>
            <w:tcBorders>
              <w:top w:val="nil"/>
              <w:left w:val="nil"/>
              <w:bottom w:val="nil"/>
              <w:right w:val="nil"/>
            </w:tcBorders>
          </w:tcPr>
          <w:p>
            <w:pPr>
              <w:pStyle w:val="TableParagraph"/>
              <w:ind w:left="215" w:right="294"/>
              <w:rPr>
                <w:sz w:val="20"/>
              </w:rPr>
            </w:pPr>
            <w:r>
              <w:rPr>
                <w:sz w:val="20"/>
              </w:rPr>
              <w:t>Se registró el peso de 10 vainas por planta</w:t>
            </w:r>
          </w:p>
        </w:tc>
      </w:tr>
      <w:tr>
        <w:trPr>
          <w:trHeight w:val="461" w:hRule="exact"/>
        </w:trPr>
        <w:tc>
          <w:tcPr>
            <w:tcW w:w="2487" w:type="dxa"/>
            <w:tcBorders>
              <w:top w:val="nil"/>
              <w:left w:val="nil"/>
              <w:bottom w:val="nil"/>
              <w:right w:val="nil"/>
            </w:tcBorders>
          </w:tcPr>
          <w:p>
            <w:pPr>
              <w:pStyle w:val="TableParagraph"/>
              <w:ind w:left="122"/>
              <w:rPr>
                <w:sz w:val="20"/>
              </w:rPr>
            </w:pPr>
            <w:r>
              <w:rPr>
                <w:sz w:val="20"/>
              </w:rPr>
              <w:t>Número de Semillas por Vaina</w:t>
            </w:r>
          </w:p>
        </w:tc>
        <w:tc>
          <w:tcPr>
            <w:tcW w:w="1628" w:type="dxa"/>
            <w:tcBorders>
              <w:top w:val="nil"/>
              <w:left w:val="nil"/>
              <w:bottom w:val="nil"/>
              <w:right w:val="nil"/>
            </w:tcBorders>
          </w:tcPr>
          <w:p>
            <w:pPr>
              <w:pStyle w:val="TableParagraph"/>
              <w:spacing w:line="219" w:lineRule="exact"/>
              <w:ind w:left="484" w:right="466"/>
              <w:jc w:val="center"/>
              <w:rPr>
                <w:sz w:val="20"/>
              </w:rPr>
            </w:pPr>
            <w:r>
              <w:rPr>
                <w:sz w:val="20"/>
              </w:rPr>
              <w:t>NSV</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ind w:left="215" w:right="155"/>
              <w:rPr>
                <w:sz w:val="20"/>
              </w:rPr>
            </w:pPr>
            <w:r>
              <w:rPr>
                <w:sz w:val="20"/>
              </w:rPr>
              <w:t>Se registró el número de semillas por vaina</w:t>
            </w:r>
          </w:p>
        </w:tc>
      </w:tr>
      <w:tr>
        <w:trPr>
          <w:trHeight w:val="230" w:hRule="exact"/>
        </w:trPr>
        <w:tc>
          <w:tcPr>
            <w:tcW w:w="2487" w:type="dxa"/>
            <w:tcBorders>
              <w:top w:val="nil"/>
              <w:left w:val="nil"/>
              <w:bottom w:val="nil"/>
              <w:right w:val="nil"/>
            </w:tcBorders>
          </w:tcPr>
          <w:p>
            <w:pPr>
              <w:pStyle w:val="TableParagraph"/>
              <w:spacing w:line="219" w:lineRule="exact"/>
              <w:ind w:left="122" w:right="389"/>
              <w:rPr>
                <w:sz w:val="20"/>
              </w:rPr>
            </w:pPr>
            <w:r>
              <w:rPr>
                <w:sz w:val="20"/>
              </w:rPr>
              <w:t>Peso de 100 Semillas</w:t>
            </w:r>
          </w:p>
        </w:tc>
        <w:tc>
          <w:tcPr>
            <w:tcW w:w="1628" w:type="dxa"/>
            <w:tcBorders>
              <w:top w:val="nil"/>
              <w:left w:val="nil"/>
              <w:bottom w:val="nil"/>
              <w:right w:val="nil"/>
            </w:tcBorders>
          </w:tcPr>
          <w:p>
            <w:pPr>
              <w:pStyle w:val="TableParagraph"/>
              <w:spacing w:line="219" w:lineRule="exact"/>
              <w:ind w:left="488" w:right="466"/>
              <w:jc w:val="center"/>
              <w:rPr>
                <w:sz w:val="20"/>
              </w:rPr>
            </w:pPr>
            <w:r>
              <w:rPr>
                <w:sz w:val="20"/>
              </w:rPr>
              <w:t>P100S</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spacing w:line="219" w:lineRule="exact"/>
              <w:ind w:left="215"/>
              <w:rPr>
                <w:sz w:val="20"/>
              </w:rPr>
            </w:pPr>
            <w:r>
              <w:rPr>
                <w:sz w:val="20"/>
              </w:rPr>
              <w:t>Se registró el peso de 100 semillas</w:t>
            </w:r>
          </w:p>
        </w:tc>
      </w:tr>
      <w:tr>
        <w:trPr>
          <w:trHeight w:val="458" w:hRule="exact"/>
        </w:trPr>
        <w:tc>
          <w:tcPr>
            <w:tcW w:w="2487" w:type="dxa"/>
            <w:tcBorders>
              <w:top w:val="nil"/>
              <w:left w:val="nil"/>
              <w:bottom w:val="nil"/>
              <w:right w:val="nil"/>
            </w:tcBorders>
          </w:tcPr>
          <w:p>
            <w:pPr>
              <w:pStyle w:val="TableParagraph"/>
              <w:spacing w:line="237" w:lineRule="auto"/>
              <w:ind w:left="122" w:right="672"/>
              <w:rPr>
                <w:sz w:val="20"/>
              </w:rPr>
            </w:pPr>
            <w:r>
              <w:rPr>
                <w:sz w:val="20"/>
              </w:rPr>
              <w:t>Peso de Semillas por Parcela</w:t>
            </w:r>
          </w:p>
        </w:tc>
        <w:tc>
          <w:tcPr>
            <w:tcW w:w="1628" w:type="dxa"/>
            <w:tcBorders>
              <w:top w:val="nil"/>
              <w:left w:val="nil"/>
              <w:bottom w:val="nil"/>
              <w:right w:val="nil"/>
            </w:tcBorders>
          </w:tcPr>
          <w:p>
            <w:pPr>
              <w:pStyle w:val="TableParagraph"/>
              <w:spacing w:line="219" w:lineRule="exact"/>
              <w:ind w:left="486" w:right="466"/>
              <w:jc w:val="center"/>
              <w:rPr>
                <w:sz w:val="20"/>
              </w:rPr>
            </w:pPr>
            <w:r>
              <w:rPr>
                <w:sz w:val="20"/>
              </w:rPr>
              <w:t>PSP</w:t>
            </w:r>
          </w:p>
        </w:tc>
        <w:tc>
          <w:tcPr>
            <w:tcW w:w="1996" w:type="dxa"/>
            <w:tcBorders>
              <w:top w:val="nil"/>
              <w:left w:val="nil"/>
              <w:bottom w:val="nil"/>
              <w:right w:val="nil"/>
            </w:tcBorders>
          </w:tcPr>
          <w:p>
            <w:pPr>
              <w:pStyle w:val="TableParagraph"/>
              <w:spacing w:line="219" w:lineRule="exact"/>
              <w:ind w:left="226"/>
              <w:rPr>
                <w:sz w:val="20"/>
              </w:rPr>
            </w:pPr>
            <w:r>
              <w:rPr>
                <w:sz w:val="20"/>
              </w:rPr>
              <w:t>Cuantitativa</w:t>
            </w:r>
          </w:p>
        </w:tc>
        <w:tc>
          <w:tcPr>
            <w:tcW w:w="3367" w:type="dxa"/>
            <w:tcBorders>
              <w:top w:val="nil"/>
              <w:left w:val="nil"/>
              <w:bottom w:val="nil"/>
              <w:right w:val="nil"/>
            </w:tcBorders>
          </w:tcPr>
          <w:p>
            <w:pPr>
              <w:pStyle w:val="TableParagraph"/>
              <w:spacing w:line="237" w:lineRule="auto"/>
              <w:ind w:left="215"/>
              <w:rPr>
                <w:sz w:val="20"/>
              </w:rPr>
            </w:pPr>
            <w:r>
              <w:rPr>
                <w:sz w:val="20"/>
              </w:rPr>
              <w:t>Se registró el peso de las semillas por parcela</w:t>
            </w:r>
          </w:p>
        </w:tc>
      </w:tr>
      <w:tr>
        <w:trPr>
          <w:trHeight w:val="461" w:hRule="exact"/>
        </w:trPr>
        <w:tc>
          <w:tcPr>
            <w:tcW w:w="2487" w:type="dxa"/>
            <w:tcBorders>
              <w:top w:val="nil"/>
              <w:left w:val="nil"/>
              <w:right w:val="nil"/>
            </w:tcBorders>
          </w:tcPr>
          <w:p>
            <w:pPr>
              <w:pStyle w:val="TableParagraph"/>
              <w:spacing w:line="219" w:lineRule="exact"/>
              <w:ind w:left="122"/>
              <w:rPr>
                <w:sz w:val="20"/>
              </w:rPr>
            </w:pPr>
            <w:r>
              <w:rPr>
                <w:sz w:val="20"/>
              </w:rPr>
              <w:t>Rendimiento por hectárea</w:t>
            </w:r>
          </w:p>
        </w:tc>
        <w:tc>
          <w:tcPr>
            <w:tcW w:w="1628" w:type="dxa"/>
            <w:tcBorders>
              <w:top w:val="nil"/>
              <w:left w:val="nil"/>
              <w:right w:val="nil"/>
            </w:tcBorders>
          </w:tcPr>
          <w:p>
            <w:pPr>
              <w:pStyle w:val="TableParagraph"/>
              <w:spacing w:line="219" w:lineRule="exact"/>
              <w:ind w:left="488" w:right="466"/>
              <w:jc w:val="center"/>
              <w:rPr>
                <w:sz w:val="20"/>
              </w:rPr>
            </w:pPr>
            <w:r>
              <w:rPr>
                <w:sz w:val="20"/>
              </w:rPr>
              <w:t>RHA</w:t>
            </w:r>
          </w:p>
        </w:tc>
        <w:tc>
          <w:tcPr>
            <w:tcW w:w="1996" w:type="dxa"/>
            <w:tcBorders>
              <w:top w:val="nil"/>
              <w:left w:val="nil"/>
              <w:right w:val="nil"/>
            </w:tcBorders>
          </w:tcPr>
          <w:p>
            <w:pPr>
              <w:pStyle w:val="TableParagraph"/>
              <w:spacing w:line="219" w:lineRule="exact"/>
              <w:ind w:left="226"/>
              <w:rPr>
                <w:sz w:val="20"/>
              </w:rPr>
            </w:pPr>
            <w:r>
              <w:rPr>
                <w:sz w:val="20"/>
              </w:rPr>
              <w:t>Cuantitativa</w:t>
            </w:r>
          </w:p>
        </w:tc>
        <w:tc>
          <w:tcPr>
            <w:tcW w:w="3367" w:type="dxa"/>
            <w:tcBorders>
              <w:top w:val="nil"/>
              <w:left w:val="nil"/>
              <w:right w:val="nil"/>
            </w:tcBorders>
          </w:tcPr>
          <w:p>
            <w:pPr>
              <w:pStyle w:val="TableParagraph"/>
              <w:spacing w:line="235" w:lineRule="auto"/>
              <w:ind w:left="215" w:right="232"/>
              <w:rPr>
                <w:sz w:val="13"/>
              </w:rPr>
            </w:pPr>
            <w:r>
              <w:rPr>
                <w:sz w:val="20"/>
              </w:rPr>
              <w:t>Se transformaron los datos de PSP a RHA, th</w:t>
            </w:r>
            <w:r>
              <w:rPr>
                <w:position w:val="7"/>
                <w:sz w:val="13"/>
              </w:rPr>
              <w:t>-1</w:t>
            </w:r>
          </w:p>
        </w:tc>
      </w:tr>
    </w:tbl>
    <w:p>
      <w:pPr>
        <w:spacing w:after="0" w:line="235" w:lineRule="auto"/>
        <w:rPr>
          <w:sz w:val="13"/>
        </w:rPr>
        <w:sectPr>
          <w:footerReference w:type="default" r:id="rId27"/>
          <w:pgSz w:w="12240" w:h="15840"/>
          <w:pgMar w:footer="1718" w:header="0" w:top="1360" w:bottom="1900" w:left="1460" w:right="1080"/>
        </w:sectPr>
      </w:pPr>
    </w:p>
    <w:p>
      <w:pPr>
        <w:pStyle w:val="Heading2"/>
        <w:numPr>
          <w:ilvl w:val="2"/>
          <w:numId w:val="7"/>
        </w:numPr>
        <w:tabs>
          <w:tab w:pos="702" w:val="left" w:leader="none"/>
        </w:tabs>
        <w:spacing w:line="240" w:lineRule="auto" w:before="57" w:after="0"/>
        <w:ind w:left="702" w:right="0" w:hanging="600"/>
        <w:jc w:val="both"/>
      </w:pPr>
      <w:r>
        <w:rPr/>
        <w:t>Manejo del</w:t>
      </w:r>
      <w:r>
        <w:rPr>
          <w:spacing w:val="-8"/>
        </w:rPr>
        <w:t> </w:t>
      </w:r>
      <w:r>
        <w:rPr/>
        <w:t>experimento</w:t>
      </w:r>
    </w:p>
    <w:p>
      <w:pPr>
        <w:pStyle w:val="BodyText"/>
        <w:rPr>
          <w:b/>
        </w:rPr>
      </w:pPr>
    </w:p>
    <w:p>
      <w:pPr>
        <w:pStyle w:val="BodyText"/>
        <w:spacing w:line="480" w:lineRule="auto" w:before="192"/>
        <w:ind w:left="102" w:right="114"/>
        <w:jc w:val="both"/>
      </w:pPr>
      <w:r>
        <w:rPr/>
        <w:t>Después de la siembra se dieron tres riegos de auxilio durante los meses de mayo y junio debido al mal temporal. El control de malezas, se realizó de manera manual durante todo el ciclo del cultivo, así como también la presencia de plagas y enfermedades ya que la incidencia fue mínima, además la intención del control manual fue para observar la tolerancia de los materiales a la presencia de las plagas o patógenos, aún cuando no fue parte de los objetivos  de la</w:t>
      </w:r>
      <w:r>
        <w:rPr>
          <w:spacing w:val="-4"/>
        </w:rPr>
        <w:t> </w:t>
      </w:r>
      <w:r>
        <w:rPr/>
        <w:t>investigación.</w:t>
      </w:r>
    </w:p>
    <w:p>
      <w:pPr>
        <w:pStyle w:val="Heading2"/>
        <w:numPr>
          <w:ilvl w:val="2"/>
          <w:numId w:val="7"/>
        </w:numPr>
        <w:tabs>
          <w:tab w:pos="702" w:val="left" w:leader="none"/>
        </w:tabs>
        <w:spacing w:line="240" w:lineRule="auto" w:before="215" w:after="0"/>
        <w:ind w:left="702" w:right="0" w:hanging="600"/>
        <w:jc w:val="both"/>
      </w:pPr>
      <w:r>
        <w:rPr/>
        <w:t>Cosecha</w:t>
      </w:r>
    </w:p>
    <w:p>
      <w:pPr>
        <w:pStyle w:val="BodyText"/>
        <w:rPr>
          <w:b/>
        </w:rPr>
      </w:pPr>
    </w:p>
    <w:p>
      <w:pPr>
        <w:pStyle w:val="BodyText"/>
        <w:spacing w:line="482" w:lineRule="auto" w:before="194"/>
        <w:ind w:left="102" w:right="101"/>
      </w:pPr>
      <w:r>
        <w:rPr/>
        <w:t>La cosecha fue manual, se realizó a los 210 días de establecido el cultivo, una vez que las vainas estuvieron completamente secas. Cada parcela se cosechó de manera individual.</w:t>
      </w:r>
    </w:p>
    <w:p>
      <w:pPr>
        <w:pStyle w:val="Heading2"/>
        <w:numPr>
          <w:ilvl w:val="2"/>
          <w:numId w:val="7"/>
        </w:numPr>
        <w:tabs>
          <w:tab w:pos="702" w:val="left" w:leader="none"/>
        </w:tabs>
        <w:spacing w:line="240" w:lineRule="auto" w:before="211" w:after="0"/>
        <w:ind w:left="702" w:right="0" w:hanging="600"/>
        <w:jc w:val="both"/>
      </w:pPr>
      <w:r>
        <w:rPr/>
        <w:t>Análisis</w:t>
      </w:r>
      <w:r>
        <w:rPr>
          <w:spacing w:val="-5"/>
        </w:rPr>
        <w:t> </w:t>
      </w:r>
      <w:r>
        <w:rPr/>
        <w:t>estadístico</w:t>
      </w:r>
    </w:p>
    <w:p>
      <w:pPr>
        <w:pStyle w:val="BodyText"/>
        <w:rPr>
          <w:b/>
        </w:rPr>
      </w:pPr>
    </w:p>
    <w:p>
      <w:pPr>
        <w:pStyle w:val="BodyText"/>
        <w:spacing w:line="475" w:lineRule="auto" w:before="192"/>
        <w:ind w:left="102" w:right="114"/>
        <w:jc w:val="both"/>
      </w:pPr>
      <w:r>
        <w:rPr/>
        <w:t>Se hizo un análisis de varianza y sus cuadrados medios fueron empleados para calcular los componentes de varianza y la heredabilidad en sentido amplio (H</w:t>
      </w:r>
      <w:r>
        <w:rPr>
          <w:position w:val="9"/>
          <w:sz w:val="16"/>
        </w:rPr>
        <w:t>2</w:t>
      </w:r>
      <w:r>
        <w:rPr/>
        <w:t>), este último considerado como un estimador de la variabilidad genética existente entre cultivares (Pérez et al., 2007).La fórmula utilizada fue la siguiente:</w:t>
      </w:r>
    </w:p>
    <w:p>
      <w:pPr>
        <w:pStyle w:val="BodyText"/>
        <w:spacing w:before="7"/>
        <w:rPr>
          <w:sz w:val="20"/>
        </w:rPr>
      </w:pPr>
    </w:p>
    <w:p>
      <w:pPr>
        <w:pStyle w:val="BodyText"/>
        <w:spacing w:line="276" w:lineRule="exact"/>
        <w:ind w:left="102" w:right="3290"/>
      </w:pPr>
      <w:r>
        <w:rPr>
          <w:position w:val="2"/>
        </w:rPr>
        <w:t>H</w:t>
      </w:r>
      <w:r>
        <w:rPr>
          <w:position w:val="11"/>
          <w:sz w:val="16"/>
        </w:rPr>
        <w:t>2 </w:t>
      </w:r>
      <w:r>
        <w:rPr>
          <w:position w:val="2"/>
        </w:rPr>
        <w:t>= VG/ VF X 100 o bien H</w:t>
      </w:r>
      <w:r>
        <w:rPr>
          <w:position w:val="11"/>
          <w:sz w:val="16"/>
        </w:rPr>
        <w:t>2 </w:t>
      </w:r>
      <w:r>
        <w:rPr>
          <w:position w:val="2"/>
        </w:rPr>
        <w:t>= σ</w:t>
      </w:r>
      <w:r>
        <w:rPr>
          <w:position w:val="11"/>
          <w:sz w:val="16"/>
        </w:rPr>
        <w:t>2</w:t>
      </w:r>
      <w:r>
        <w:rPr>
          <w:sz w:val="16"/>
        </w:rPr>
        <w:t>G </w:t>
      </w:r>
      <w:r>
        <w:rPr>
          <w:position w:val="2"/>
        </w:rPr>
        <w:t>/ σ</w:t>
      </w:r>
      <w:r>
        <w:rPr>
          <w:position w:val="11"/>
          <w:sz w:val="16"/>
        </w:rPr>
        <w:t>2</w:t>
      </w:r>
      <w:r>
        <w:rPr>
          <w:sz w:val="16"/>
        </w:rPr>
        <w:t>F </w:t>
      </w:r>
      <w:r>
        <w:rPr>
          <w:position w:val="2"/>
        </w:rPr>
        <w:t>X 100, a su vez: σ</w:t>
      </w:r>
      <w:r>
        <w:rPr>
          <w:position w:val="11"/>
          <w:sz w:val="16"/>
        </w:rPr>
        <w:t>2</w:t>
      </w:r>
      <w:r>
        <w:rPr>
          <w:sz w:val="16"/>
        </w:rPr>
        <w:t>G</w:t>
      </w:r>
      <w:r>
        <w:rPr>
          <w:position w:val="2"/>
        </w:rPr>
        <w:t>= CMr – CMe/ r</w:t>
      </w:r>
    </w:p>
    <w:p>
      <w:pPr>
        <w:spacing w:line="256" w:lineRule="exact" w:before="16"/>
        <w:ind w:left="102" w:right="7517" w:firstLine="0"/>
        <w:jc w:val="left"/>
        <w:rPr>
          <w:sz w:val="24"/>
        </w:rPr>
      </w:pPr>
      <w:r>
        <w:rPr>
          <w:position w:val="2"/>
          <w:sz w:val="24"/>
        </w:rPr>
        <w:t>σ</w:t>
      </w:r>
      <w:r>
        <w:rPr>
          <w:position w:val="11"/>
          <w:sz w:val="16"/>
        </w:rPr>
        <w:t>2</w:t>
      </w:r>
      <w:r>
        <w:rPr>
          <w:sz w:val="16"/>
        </w:rPr>
        <w:t>F</w:t>
      </w:r>
      <w:r>
        <w:rPr>
          <w:position w:val="2"/>
          <w:sz w:val="24"/>
        </w:rPr>
        <w:t>= σ</w:t>
      </w:r>
      <w:r>
        <w:rPr>
          <w:position w:val="11"/>
          <w:sz w:val="16"/>
        </w:rPr>
        <w:t>2</w:t>
      </w:r>
      <w:r>
        <w:rPr>
          <w:sz w:val="16"/>
        </w:rPr>
        <w:t>G</w:t>
      </w:r>
      <w:r>
        <w:rPr>
          <w:position w:val="2"/>
          <w:sz w:val="24"/>
        </w:rPr>
        <w:t>+ (σ</w:t>
      </w:r>
      <w:r>
        <w:rPr>
          <w:position w:val="11"/>
          <w:sz w:val="16"/>
        </w:rPr>
        <w:t>2</w:t>
      </w:r>
      <w:r>
        <w:rPr>
          <w:sz w:val="16"/>
        </w:rPr>
        <w:t>e </w:t>
      </w:r>
      <w:r>
        <w:rPr>
          <w:position w:val="2"/>
          <w:sz w:val="24"/>
        </w:rPr>
        <w:t>/r), </w:t>
      </w:r>
      <w:r>
        <w:rPr>
          <w:sz w:val="24"/>
        </w:rPr>
        <w:t>donde:</w:t>
      </w:r>
    </w:p>
    <w:p>
      <w:pPr>
        <w:pStyle w:val="BodyText"/>
        <w:spacing w:line="274" w:lineRule="exact" w:before="6"/>
        <w:ind w:left="102" w:right="4456"/>
      </w:pPr>
      <w:r>
        <w:rPr/>
        <w:t>CMr = Cuadrados medios de las repeticiones CMe = Cuadrados medios del error</w:t>
      </w:r>
    </w:p>
    <w:p>
      <w:pPr>
        <w:pStyle w:val="BodyText"/>
        <w:spacing w:line="273" w:lineRule="exact"/>
        <w:ind w:left="102"/>
        <w:jc w:val="both"/>
      </w:pPr>
      <w:r>
        <w:rPr/>
        <w:t>r = repeticiones</w:t>
      </w:r>
    </w:p>
    <w:p>
      <w:pPr>
        <w:spacing w:after="0" w:line="273" w:lineRule="exact"/>
        <w:jc w:val="both"/>
        <w:sectPr>
          <w:footerReference w:type="default" r:id="rId28"/>
          <w:pgSz w:w="12240" w:h="15840"/>
          <w:pgMar w:footer="2235" w:header="0" w:top="1360" w:bottom="2420" w:left="1600" w:right="1300"/>
        </w:sectPr>
      </w:pPr>
    </w:p>
    <w:p>
      <w:pPr>
        <w:pStyle w:val="BodyText"/>
        <w:spacing w:line="480" w:lineRule="auto" w:before="50"/>
        <w:ind w:left="102" w:right="113"/>
        <w:jc w:val="both"/>
      </w:pPr>
      <w:r>
        <w:rPr/>
        <w:t>También se realizo una comparación de medias entre cultivares con la prueba de Tukey (α=0.01). Las medias aritméticas de cada cultivar para las 11 variables cuantitativas fueron utilizados para obtener una matriz de datos: los cultivares se asignaron a las hileras y los valores de cada variable a las columnas. Con esta matriz se obtuvieron los análisis de componentes principales (ACP; Sánchez, 1995) y de conglomerados (Método de la media aritmética no ponderada, UPGMA Method, por sus siglas en inglés). Ambos análisis se realizaron con el Sistema para Análisis Estadístico (Statistical Analysis System, SAS, 1988);  la gráfica del </w:t>
      </w:r>
      <w:r>
        <w:rPr>
          <w:i/>
        </w:rPr>
        <w:t>biplot </w:t>
      </w:r>
      <w:r>
        <w:rPr/>
        <w:t>se hizo con Microsoft Excel 2010, usando las puntuaciones de los dos primeros componentes principales (Pérez et al.,</w:t>
      </w:r>
      <w:r>
        <w:rPr>
          <w:spacing w:val="-7"/>
        </w:rPr>
        <w:t> </w:t>
      </w:r>
      <w:r>
        <w:rPr/>
        <w:t>2007).</w:t>
      </w:r>
    </w:p>
    <w:p>
      <w:pPr>
        <w:spacing w:after="0" w:line="480" w:lineRule="auto"/>
        <w:jc w:val="both"/>
        <w:sectPr>
          <w:footerReference w:type="default" r:id="rId29"/>
          <w:pgSz w:w="12240" w:h="15840"/>
          <w:pgMar w:footer="1508" w:header="0" w:top="1360" w:bottom="170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Heading1"/>
        <w:numPr>
          <w:ilvl w:val="1"/>
          <w:numId w:val="5"/>
        </w:numPr>
        <w:tabs>
          <w:tab w:pos="3199" w:val="left" w:leader="none"/>
        </w:tabs>
        <w:spacing w:line="576" w:lineRule="auto" w:before="34" w:after="0"/>
        <w:ind w:left="4353" w:right="2072" w:hanging="1992"/>
        <w:jc w:val="left"/>
      </w:pPr>
      <w:r>
        <w:rPr>
          <w:spacing w:val="-1"/>
        </w:rPr>
        <w:t>RESULTADOS </w:t>
      </w:r>
      <w:r>
        <w:rPr/>
        <w:t>Y</w:t>
      </w:r>
    </w:p>
    <w:p>
      <w:pPr>
        <w:spacing w:before="31"/>
        <w:ind w:left="3097" w:right="0" w:firstLine="0"/>
        <w:jc w:val="left"/>
        <w:rPr>
          <w:b/>
          <w:sz w:val="52"/>
        </w:rPr>
      </w:pPr>
      <w:r>
        <w:rPr>
          <w:b/>
          <w:sz w:val="52"/>
        </w:rPr>
        <w:t>DISCUSIÓN</w:t>
      </w:r>
    </w:p>
    <w:p>
      <w:pPr>
        <w:spacing w:after="0"/>
        <w:jc w:val="left"/>
        <w:rPr>
          <w:sz w:val="52"/>
        </w:rPr>
        <w:sectPr>
          <w:footerReference w:type="default" r:id="rId30"/>
          <w:pgSz w:w="12240" w:h="15840"/>
          <w:pgMar w:footer="0" w:header="0" w:top="1500" w:bottom="280" w:left="1720" w:right="1720"/>
        </w:sectPr>
      </w:pPr>
    </w:p>
    <w:p>
      <w:pPr>
        <w:pStyle w:val="BodyText"/>
        <w:ind w:left="101"/>
        <w:rPr>
          <w:sz w:val="20"/>
        </w:rPr>
      </w:pPr>
      <w:r>
        <w:rPr>
          <w:sz w:val="20"/>
        </w:rPr>
        <w:drawing>
          <wp:inline distT="0" distB="0" distL="0" distR="0">
            <wp:extent cx="6002435" cy="7355205"/>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32" cstate="print"/>
                    <a:stretch>
                      <a:fillRect/>
                    </a:stretch>
                  </pic:blipFill>
                  <pic:spPr>
                    <a:xfrm>
                      <a:off x="0" y="0"/>
                      <a:ext cx="6002435" cy="7355205"/>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5"/>
        </w:rPr>
      </w:pPr>
    </w:p>
    <w:p>
      <w:pPr>
        <w:pStyle w:val="BodyText"/>
        <w:spacing w:before="70"/>
        <w:ind w:right="394"/>
        <w:jc w:val="right"/>
      </w:pPr>
      <w:r>
        <w:rPr/>
        <w:t>26</w:t>
      </w:r>
    </w:p>
    <w:p>
      <w:pPr>
        <w:spacing w:after="0"/>
        <w:jc w:val="right"/>
        <w:sectPr>
          <w:footerReference w:type="default" r:id="rId31"/>
          <w:pgSz w:w="12240" w:h="15840"/>
          <w:pgMar w:footer="0" w:header="0" w:top="1420" w:bottom="280" w:left="1600" w:right="1020"/>
        </w:sectPr>
      </w:pPr>
    </w:p>
    <w:p>
      <w:pPr>
        <w:pStyle w:val="Heading2"/>
        <w:spacing w:before="55"/>
      </w:pPr>
      <w:r>
        <w:rPr/>
        <w:t>Artículo I:</w:t>
      </w:r>
    </w:p>
    <w:p>
      <w:pPr>
        <w:pStyle w:val="BodyText"/>
        <w:spacing w:before="2"/>
        <w:rPr>
          <w:b/>
        </w:rPr>
      </w:pPr>
    </w:p>
    <w:p>
      <w:pPr>
        <w:spacing w:before="0"/>
        <w:ind w:left="102" w:right="115" w:firstLine="0"/>
        <w:jc w:val="center"/>
        <w:rPr>
          <w:b/>
          <w:sz w:val="22"/>
        </w:rPr>
      </w:pPr>
      <w:r>
        <w:rPr>
          <w:b/>
          <w:sz w:val="22"/>
        </w:rPr>
        <w:t>Genetic variability analysis of faba bean (</w:t>
      </w:r>
      <w:r>
        <w:rPr>
          <w:b/>
          <w:i/>
          <w:sz w:val="22"/>
        </w:rPr>
        <w:t>Vicia faba </w:t>
      </w:r>
      <w:r>
        <w:rPr>
          <w:b/>
          <w:sz w:val="22"/>
        </w:rPr>
        <w:t>L.) accessions using Inter- Simple Sequence Repeat(ISSR) markers</w:t>
      </w:r>
    </w:p>
    <w:p>
      <w:pPr>
        <w:pStyle w:val="BodyText"/>
        <w:rPr>
          <w:b/>
          <w:sz w:val="22"/>
        </w:rPr>
      </w:pPr>
    </w:p>
    <w:p>
      <w:pPr>
        <w:pStyle w:val="BodyText"/>
        <w:rPr>
          <w:b/>
          <w:sz w:val="22"/>
        </w:rPr>
      </w:pPr>
    </w:p>
    <w:p>
      <w:pPr>
        <w:pStyle w:val="ListParagraph"/>
        <w:numPr>
          <w:ilvl w:val="0"/>
          <w:numId w:val="8"/>
        </w:numPr>
        <w:tabs>
          <w:tab w:pos="594" w:val="left" w:leader="none"/>
        </w:tabs>
        <w:spacing w:line="252" w:lineRule="exact" w:before="152" w:after="0"/>
        <w:ind w:left="3177" w:right="287" w:hanging="2903"/>
        <w:jc w:val="left"/>
        <w:rPr>
          <w:b/>
          <w:sz w:val="22"/>
        </w:rPr>
      </w:pPr>
      <w:r>
        <w:rPr>
          <w:b/>
          <w:sz w:val="22"/>
        </w:rPr>
        <w:t>E. Salazar-Laureles</w:t>
      </w:r>
      <w:r>
        <w:rPr>
          <w:b/>
          <w:position w:val="8"/>
          <w:sz w:val="14"/>
        </w:rPr>
        <w:t>1</w:t>
      </w:r>
      <w:r>
        <w:rPr>
          <w:b/>
          <w:sz w:val="22"/>
        </w:rPr>
        <w:t>, D. de J. Pérez-López</w:t>
      </w:r>
      <w:r>
        <w:rPr>
          <w:b/>
          <w:position w:val="8"/>
          <w:sz w:val="14"/>
        </w:rPr>
        <w:t>1*</w:t>
      </w:r>
      <w:r>
        <w:rPr>
          <w:b/>
          <w:sz w:val="22"/>
        </w:rPr>
        <w:t>, A. González-Huerta</w:t>
      </w:r>
      <w:r>
        <w:rPr>
          <w:b/>
          <w:position w:val="8"/>
          <w:sz w:val="14"/>
        </w:rPr>
        <w:t>1</w:t>
      </w:r>
      <w:r>
        <w:rPr>
          <w:b/>
          <w:sz w:val="22"/>
        </w:rPr>
        <w:t>, L.M.</w:t>
      </w:r>
      <w:r>
        <w:rPr>
          <w:b/>
          <w:spacing w:val="-22"/>
          <w:sz w:val="22"/>
        </w:rPr>
        <w:t> </w:t>
      </w:r>
      <w:r>
        <w:rPr>
          <w:b/>
          <w:sz w:val="22"/>
        </w:rPr>
        <w:t>Vázquez-García</w:t>
      </w:r>
      <w:r>
        <w:rPr>
          <w:b/>
          <w:position w:val="8"/>
          <w:sz w:val="14"/>
        </w:rPr>
        <w:t>2</w:t>
      </w:r>
      <w:r>
        <w:rPr>
          <w:b/>
          <w:sz w:val="22"/>
        </w:rPr>
        <w:t>, Ernestina</w:t>
      </w:r>
      <w:r>
        <w:rPr>
          <w:b/>
          <w:spacing w:val="-9"/>
          <w:sz w:val="22"/>
        </w:rPr>
        <w:t> </w:t>
      </w:r>
      <w:r>
        <w:rPr>
          <w:b/>
          <w:sz w:val="22"/>
        </w:rPr>
        <w:t>Valadez-Moctezuma</w:t>
      </w:r>
      <w:r>
        <w:rPr>
          <w:b/>
          <w:position w:val="8"/>
          <w:sz w:val="14"/>
        </w:rPr>
        <w:t>3</w:t>
      </w:r>
    </w:p>
    <w:p>
      <w:pPr>
        <w:pStyle w:val="BodyText"/>
        <w:rPr>
          <w:b/>
          <w:sz w:val="22"/>
        </w:rPr>
      </w:pPr>
    </w:p>
    <w:p>
      <w:pPr>
        <w:pStyle w:val="BodyText"/>
        <w:rPr>
          <w:b/>
          <w:sz w:val="22"/>
        </w:rPr>
      </w:pPr>
    </w:p>
    <w:p>
      <w:pPr>
        <w:spacing w:before="135"/>
        <w:ind w:left="102" w:right="118" w:firstLine="0"/>
        <w:jc w:val="center"/>
        <w:rPr>
          <w:sz w:val="22"/>
        </w:rPr>
      </w:pPr>
      <w:r>
        <w:rPr>
          <w:position w:val="8"/>
          <w:sz w:val="14"/>
        </w:rPr>
        <w:t>1*</w:t>
      </w:r>
      <w:r>
        <w:rPr>
          <w:sz w:val="22"/>
        </w:rPr>
        <w:t>Centro de Investigación y Estudios Avanzados en Fitomejoramiento de la Universidad Autónoma del Estado de México, El Cerrillo, Piedras Blancas, Toluca, México. México. Phone: (+52) 722 2965518, ext. 148</w:t>
      </w:r>
    </w:p>
    <w:p>
      <w:pPr>
        <w:spacing w:before="196"/>
        <w:ind w:left="102" w:right="119" w:firstLine="0"/>
        <w:jc w:val="center"/>
        <w:rPr>
          <w:sz w:val="22"/>
        </w:rPr>
      </w:pPr>
      <w:r>
        <w:rPr>
          <w:position w:val="8"/>
          <w:sz w:val="14"/>
        </w:rPr>
        <w:t>2 </w:t>
      </w:r>
      <w:r>
        <w:rPr>
          <w:sz w:val="22"/>
        </w:rPr>
        <w:t>Centro Universitario Tenancingo de la Universidad Autónoma del Estado de México, km 1.5 carretera Tenancingo-Villa Guerrero, México, C.P. 52414</w:t>
      </w:r>
    </w:p>
    <w:p>
      <w:pPr>
        <w:spacing w:before="193"/>
        <w:ind w:left="102" w:right="117" w:firstLine="0"/>
        <w:jc w:val="center"/>
        <w:rPr>
          <w:sz w:val="22"/>
        </w:rPr>
      </w:pPr>
      <w:r>
        <w:rPr>
          <w:position w:val="8"/>
          <w:sz w:val="14"/>
        </w:rPr>
        <w:t>3</w:t>
      </w:r>
      <w:r>
        <w:rPr>
          <w:sz w:val="22"/>
        </w:rPr>
        <w:t>Universidad Autónoma de Chapingo, Laboratorio de Biología Molecular del Departamento de Fitotecnia, km 38.5 Carretera México-Texcoco, Chapingo, México, C.P. 56 230.</w:t>
      </w:r>
    </w:p>
    <w:p>
      <w:pPr>
        <w:pStyle w:val="BodyText"/>
        <w:rPr>
          <w:sz w:val="22"/>
        </w:rPr>
      </w:pPr>
    </w:p>
    <w:p>
      <w:pPr>
        <w:pStyle w:val="BodyText"/>
        <w:rPr>
          <w:sz w:val="22"/>
        </w:rPr>
      </w:pPr>
    </w:p>
    <w:p>
      <w:pPr>
        <w:spacing w:before="150"/>
        <w:ind w:left="102" w:right="0" w:firstLine="0"/>
        <w:jc w:val="both"/>
        <w:rPr>
          <w:b/>
          <w:sz w:val="22"/>
        </w:rPr>
      </w:pPr>
      <w:r>
        <w:rPr>
          <w:b/>
          <w:sz w:val="22"/>
        </w:rPr>
        <w:t>ABSTRACT</w:t>
      </w:r>
    </w:p>
    <w:p>
      <w:pPr>
        <w:pStyle w:val="BodyText"/>
        <w:spacing w:before="1"/>
        <w:rPr>
          <w:b/>
          <w:sz w:val="28"/>
        </w:rPr>
      </w:pPr>
    </w:p>
    <w:p>
      <w:pPr>
        <w:spacing w:line="480" w:lineRule="auto" w:before="0"/>
        <w:ind w:left="102" w:right="112" w:firstLine="0"/>
        <w:jc w:val="both"/>
        <w:rPr>
          <w:sz w:val="22"/>
        </w:rPr>
      </w:pPr>
      <w:r>
        <w:rPr>
          <w:sz w:val="22"/>
        </w:rPr>
        <w:t>Faba bean crop is important in Mexico, it is a legume rich in protein and its market price is higher than those of maize and bean; however, in recent years there has been a significant decline in its performance. The aim of this study was to determine the genetic variability and analyze the  relationship between 39 faba bean accessions using inter simple sequence repeats (ISSR) markers.Accessions of faba bean were collected according to their best phenotypic characteristics, later they were molecularly characterized. With the obtained band registration, a binary data matrixwas built to perform the corresponding statistical analysis.The utilized ISSR markers produced 142 fixed and repeatable bands, </w:t>
      </w:r>
      <w:r>
        <w:rPr>
          <w:color w:val="212121"/>
          <w:sz w:val="22"/>
        </w:rPr>
        <w:t>of which 134 were polymorphic. The values of Rp, PIC and MI (Resolution power, Polymorphic Information Content and Marker Index, respectively) indicated that primer 848 was the most efficient to analyze genetic variability with values of 12.8, 0.40, and 8.06, respectively, followed by primers 857 and</w:t>
      </w:r>
      <w:r>
        <w:rPr>
          <w:color w:val="212121"/>
          <w:spacing w:val="-5"/>
          <w:sz w:val="22"/>
        </w:rPr>
        <w:t> </w:t>
      </w:r>
      <w:r>
        <w:rPr>
          <w:color w:val="212121"/>
          <w:sz w:val="22"/>
        </w:rPr>
        <w:t>ISSR2M.</w:t>
      </w:r>
    </w:p>
    <w:p>
      <w:pPr>
        <w:spacing w:after="0" w:line="480" w:lineRule="auto"/>
        <w:jc w:val="both"/>
        <w:rPr>
          <w:sz w:val="22"/>
        </w:rPr>
        <w:sectPr>
          <w:footerReference w:type="default" r:id="rId33"/>
          <w:pgSz w:w="12240" w:h="15840"/>
          <w:pgMar w:footer="2156" w:header="0" w:top="1360" w:bottom="2340" w:left="1600" w:right="1300"/>
        </w:sectPr>
      </w:pPr>
    </w:p>
    <w:p>
      <w:pPr>
        <w:spacing w:line="480" w:lineRule="auto" w:before="52"/>
        <w:ind w:left="102" w:right="113" w:firstLine="0"/>
        <w:jc w:val="both"/>
        <w:rPr>
          <w:sz w:val="22"/>
        </w:rPr>
      </w:pPr>
      <w:r>
        <w:rPr>
          <w:color w:val="212121"/>
          <w:sz w:val="22"/>
        </w:rPr>
        <w:t>Genetic distances oscillated </w:t>
      </w:r>
      <w:r>
        <w:rPr>
          <w:sz w:val="22"/>
        </w:rPr>
        <w:t>between 0.38 and 0.83</w:t>
      </w:r>
      <w:r>
        <w:rPr>
          <w:color w:val="212121"/>
          <w:sz w:val="22"/>
        </w:rPr>
        <w:t>, and verified the groupings observed in the dendrogram</w:t>
      </w:r>
      <w:r>
        <w:rPr>
          <w:sz w:val="22"/>
        </w:rPr>
        <w:t>, </w:t>
      </w:r>
      <w:r>
        <w:rPr>
          <w:color w:val="212121"/>
          <w:sz w:val="22"/>
        </w:rPr>
        <w:t>which indicates high variability at the level of DNA among the analyzed genotypes</w:t>
      </w:r>
      <w:r>
        <w:rPr>
          <w:sz w:val="22"/>
        </w:rPr>
        <w:t>, observing six defined groups according to UPGMA analysis. In the analysis of main components the registered groupings were determined by the origin of the gathering. </w:t>
      </w:r>
      <w:r>
        <w:rPr>
          <w:color w:val="212121"/>
          <w:sz w:val="22"/>
        </w:rPr>
        <w:t>The use of ISSR markers was efficient to characterize at the level of DNA the assessed bean accessions, indicating the existence of variability, the identified contrasting accessions can be utilized in genetic improvement programs aimed at solving the needs of the</w:t>
      </w:r>
      <w:r>
        <w:rPr>
          <w:color w:val="212121"/>
          <w:spacing w:val="-11"/>
          <w:sz w:val="22"/>
        </w:rPr>
        <w:t> </w:t>
      </w:r>
      <w:r>
        <w:rPr>
          <w:color w:val="212121"/>
          <w:sz w:val="22"/>
        </w:rPr>
        <w:t>producers.</w:t>
      </w:r>
    </w:p>
    <w:p>
      <w:pPr>
        <w:pStyle w:val="BodyText"/>
        <w:spacing w:before="7"/>
        <w:rPr>
          <w:sz w:val="18"/>
        </w:rPr>
      </w:pPr>
    </w:p>
    <w:p>
      <w:pPr>
        <w:spacing w:before="0"/>
        <w:ind w:left="102" w:right="0" w:firstLine="0"/>
        <w:jc w:val="both"/>
        <w:rPr>
          <w:b/>
          <w:i/>
          <w:sz w:val="22"/>
        </w:rPr>
      </w:pPr>
      <w:r>
        <w:rPr>
          <w:b/>
          <w:sz w:val="22"/>
        </w:rPr>
        <w:t>Key words: Genetic variability,Mexico, molecular characterization, </w:t>
      </w:r>
      <w:r>
        <w:rPr>
          <w:b/>
          <w:i/>
          <w:sz w:val="22"/>
        </w:rPr>
        <w:t>Vicia faba</w:t>
      </w:r>
    </w:p>
    <w:p>
      <w:pPr>
        <w:pStyle w:val="BodyText"/>
        <w:rPr>
          <w:b/>
          <w:i/>
          <w:sz w:val="22"/>
        </w:rPr>
      </w:pPr>
    </w:p>
    <w:p>
      <w:pPr>
        <w:spacing w:before="192"/>
        <w:ind w:left="102" w:right="0" w:firstLine="0"/>
        <w:jc w:val="both"/>
        <w:rPr>
          <w:sz w:val="22"/>
        </w:rPr>
      </w:pPr>
      <w:r>
        <w:rPr>
          <w:b/>
          <w:sz w:val="22"/>
        </w:rPr>
        <w:t>Corresponding author: </w:t>
      </w:r>
      <w:hyperlink r:id="rId35">
        <w:r>
          <w:rPr>
            <w:sz w:val="22"/>
            <w:u w:val="single"/>
          </w:rPr>
          <w:t>djperezl@uaemex.mx</w:t>
        </w:r>
      </w:hyperlink>
    </w:p>
    <w:p>
      <w:pPr>
        <w:spacing w:after="0"/>
        <w:jc w:val="both"/>
        <w:rPr>
          <w:sz w:val="22"/>
        </w:rPr>
        <w:sectPr>
          <w:footerReference w:type="default" r:id="rId34"/>
          <w:pgSz w:w="12240" w:h="15840"/>
          <w:pgMar w:footer="1635" w:header="0" w:top="1360" w:bottom="1820" w:left="1600" w:right="1300"/>
        </w:sectPr>
      </w:pPr>
    </w:p>
    <w:p>
      <w:pPr>
        <w:spacing w:before="57"/>
        <w:ind w:left="102" w:right="115" w:firstLine="0"/>
        <w:jc w:val="center"/>
        <w:rPr>
          <w:b/>
          <w:sz w:val="22"/>
        </w:rPr>
      </w:pPr>
      <w:r>
        <w:rPr>
          <w:b/>
          <w:sz w:val="22"/>
        </w:rPr>
        <w:t>INTRODUCTION</w:t>
      </w:r>
    </w:p>
    <w:p>
      <w:pPr>
        <w:pStyle w:val="BodyText"/>
        <w:spacing w:before="10"/>
        <w:rPr>
          <w:b/>
          <w:sz w:val="27"/>
        </w:rPr>
      </w:pPr>
    </w:p>
    <w:p>
      <w:pPr>
        <w:spacing w:line="480" w:lineRule="auto" w:before="0"/>
        <w:ind w:left="102" w:right="110" w:firstLine="0"/>
        <w:jc w:val="both"/>
        <w:rPr>
          <w:sz w:val="22"/>
        </w:rPr>
      </w:pPr>
      <w:r>
        <w:rPr>
          <w:sz w:val="22"/>
        </w:rPr>
        <w:t>Cultivation of faba bean is important because its high content of protein, ability to fix atmospheric N and improve soils, among others, is globally recognized and has been profusely documented (Maalouf et al., 2011; Wang et al., 2012). In Mexico, faba bean is cultivated in the High Valleys mainly in the states of Puebla, Mexico, Tlaxcala, Michoacan, and Hidalgo. It is an introduced species (Cubero y Moreno 1983) and is considered an alternative cultivation with economic potential, as within the last ten years dry faba bean reached market prices between 4 and 5 USD per kilogram, superior to those of maize, wheat and other legumes. However, in recent decades the production has noticeably decreased, mainly due to conditions of biotic and abiotic stress, so it is necessary to generate materials that counteract side effects; to do so, it is necessary to learn the degree of diversity and relation between accessions by means of characterization, not only agromorphological but also at molecular level, which in our country is incipient and necessary.</w:t>
      </w:r>
    </w:p>
    <w:p>
      <w:pPr>
        <w:pStyle w:val="BodyText"/>
        <w:spacing w:before="2"/>
        <w:rPr>
          <w:sz w:val="18"/>
        </w:rPr>
      </w:pPr>
    </w:p>
    <w:p>
      <w:pPr>
        <w:spacing w:line="480" w:lineRule="auto" w:before="0"/>
        <w:ind w:left="102" w:right="116" w:firstLine="0"/>
        <w:jc w:val="both"/>
        <w:rPr>
          <w:sz w:val="22"/>
        </w:rPr>
      </w:pPr>
      <w:r>
        <w:rPr>
          <w:sz w:val="22"/>
        </w:rPr>
        <w:t>Duc et al. (2010) mention that at global level faba bean is only represented in herbarium collections and germplasm banks, so genetic resources represented through wild species, cultivated plants, local accessions, varieties, hybrid lines, and elite lines are important as gene sources. So when a germplasm, diversity and relationship between materials are unknown; characterization of genetic variability and selectionof population are important in the efficiency of breeding programs (Alghamdi et al.,</w:t>
      </w:r>
      <w:r>
        <w:rPr>
          <w:spacing w:val="-31"/>
          <w:sz w:val="22"/>
        </w:rPr>
        <w:t> </w:t>
      </w:r>
      <w:r>
        <w:rPr>
          <w:sz w:val="22"/>
        </w:rPr>
        <w:t>2012a).</w:t>
      </w:r>
    </w:p>
    <w:p>
      <w:pPr>
        <w:pStyle w:val="BodyText"/>
        <w:spacing w:before="11"/>
        <w:rPr>
          <w:sz w:val="17"/>
        </w:rPr>
      </w:pPr>
    </w:p>
    <w:p>
      <w:pPr>
        <w:spacing w:line="480" w:lineRule="auto" w:before="0"/>
        <w:ind w:left="102" w:right="113" w:firstLine="0"/>
        <w:jc w:val="both"/>
        <w:rPr>
          <w:sz w:val="22"/>
        </w:rPr>
      </w:pPr>
      <w:r>
        <w:rPr>
          <w:sz w:val="22"/>
        </w:rPr>
        <w:t>Even if there is a taxonomic relation between faba bean cultivars according to van de Ven et al. (1993) and studies of agromorphological characterization which have served to learn important aspects of the cultivation</w:t>
      </w:r>
      <w:r>
        <w:rPr>
          <w:rFonts w:ascii="Arial" w:hAnsi="Arial"/>
          <w:sz w:val="20"/>
        </w:rPr>
        <w:t>(</w:t>
      </w:r>
      <w:r>
        <w:rPr>
          <w:sz w:val="22"/>
        </w:rPr>
        <w:t>Terzopoulos et al., 2003, 2004; Ahmed et al. 2010, Vörösváry et al, 2011; Yahia et al., 2012),these present certain limitations, since characterizations may have been affected by the stage and development of the plant, environmental influence, agronomic management or else, reveal scarce genetic variability.</w:t>
      </w:r>
    </w:p>
    <w:p>
      <w:pPr>
        <w:spacing w:after="0" w:line="480" w:lineRule="auto"/>
        <w:jc w:val="both"/>
        <w:rPr>
          <w:sz w:val="22"/>
        </w:rPr>
        <w:sectPr>
          <w:footerReference w:type="default" r:id="rId36"/>
          <w:pgSz w:w="12240" w:h="15840"/>
          <w:pgMar w:footer="1885" w:header="0" w:top="1360" w:bottom="2080" w:left="1600" w:right="1300"/>
        </w:sectPr>
      </w:pPr>
    </w:p>
    <w:p>
      <w:pPr>
        <w:spacing w:line="480" w:lineRule="auto" w:before="52"/>
        <w:ind w:left="102" w:right="110" w:firstLine="0"/>
        <w:jc w:val="both"/>
        <w:rPr>
          <w:sz w:val="22"/>
        </w:rPr>
      </w:pPr>
      <w:r>
        <w:rPr>
          <w:sz w:val="22"/>
        </w:rPr>
        <w:t>Alghamdi et al. (2012a)comment that the genetic diversity of faba bean has been studied with different molecular markers, as it is reported by Link et al.( 1995), who studied the genetic variability of accessions of faba bean from the Mediterranean Sea and Europe by means of Random Amplified Polymorphic DNA, detecting variability; Kwon et al. (2010) analyzed the genetic diversity and relation between 151 accessions by means of Target Region Amplification Polymorphism (TRAP) finding 55.2% of polymorphism, sufficient to classify the genotypes; Liu and Hou (2010) studied the genetic diversity of germplasm from Western China by means of Amplified Fragment Length Polymorphism (AFLP) markers finding seven groups that represented 80% of the assessed genetic information.Gong et al. (2010) generated and characterized 11 new EST type sequences derived from faba bean microsatellites; in like manner, Gong et al.(2011) analyzed the genetic diversity of 5031 faba bean accessions from Europe and China, indicating that only 8.36% of the sequences had Simple Sequence Repeats (SSR); Ouji et al. (2012) examined nine populations of faba bean from Tunisia by means of Simple Sequence Amplified Polymorphism (SSAP), finding broader diversity in the populations than between them; Alghamdi et al. (2012b) studied 58 faba bean genotypes using Sequence Related Amplified Polymorphism (SRAP), detecting broad genetic variability between the assessed accessions; Akash and Myers (2012)developed Expressed Sequence Tags and Simple Sequence Repeats (EST- SSRs) to validate the diversity analysis of 20 faba bean populations from Jordan; Ma et al. (2013) used SSR markers to produce related maps between faba bean varieties native to China, these markers can be applied in Quantitative Trait Loci (QSL) and selection of assisted</w:t>
      </w:r>
      <w:r>
        <w:rPr>
          <w:spacing w:val="-29"/>
          <w:sz w:val="22"/>
        </w:rPr>
        <w:t> </w:t>
      </w:r>
      <w:r>
        <w:rPr>
          <w:sz w:val="22"/>
        </w:rPr>
        <w:t>markers.</w:t>
      </w:r>
    </w:p>
    <w:p>
      <w:pPr>
        <w:pStyle w:val="BodyText"/>
        <w:spacing w:before="11"/>
        <w:rPr>
          <w:sz w:val="17"/>
        </w:rPr>
      </w:pPr>
    </w:p>
    <w:p>
      <w:pPr>
        <w:spacing w:line="480" w:lineRule="auto" w:before="0"/>
        <w:ind w:left="102" w:right="115" w:firstLine="0"/>
        <w:jc w:val="both"/>
        <w:rPr>
          <w:sz w:val="22"/>
        </w:rPr>
      </w:pPr>
      <w:r>
        <w:rPr>
          <w:sz w:val="22"/>
        </w:rPr>
        <w:t>However, Alghamdi et al. (2012a) indicate that Inter Simple Sequence Repeats (ISSR) have been efficient in the study of genetic diversity and the relation between faba bean populations. Using this sort of markers, Wang et al. (2012) analyzed 802 faba bean accessions from China and other parts of the world, they found well-defined groupings of accessions according to the geographic region these accessions  came from; Abdel-Razzak et al. (2012) studied 10 faba  bean  varieties from  Egypt</w:t>
      </w:r>
      <w:r>
        <w:rPr>
          <w:spacing w:val="-18"/>
          <w:sz w:val="22"/>
        </w:rPr>
        <w:t> </w:t>
      </w:r>
      <w:r>
        <w:rPr>
          <w:sz w:val="22"/>
        </w:rPr>
        <w:t>finding</w:t>
      </w:r>
    </w:p>
    <w:p>
      <w:pPr>
        <w:spacing w:after="0" w:line="480" w:lineRule="auto"/>
        <w:jc w:val="both"/>
        <w:rPr>
          <w:sz w:val="22"/>
        </w:rPr>
        <w:sectPr>
          <w:footerReference w:type="default" r:id="rId37"/>
          <w:pgSz w:w="12240" w:h="15840"/>
          <w:pgMar w:footer="1652" w:header="0" w:top="1360" w:bottom="1840" w:left="1600" w:right="1300"/>
          <w:pgNumType w:start="30"/>
        </w:sectPr>
      </w:pPr>
    </w:p>
    <w:p>
      <w:pPr>
        <w:spacing w:line="480" w:lineRule="auto" w:before="52"/>
        <w:ind w:left="102" w:right="112" w:firstLine="55"/>
        <w:jc w:val="both"/>
        <w:rPr>
          <w:sz w:val="22"/>
        </w:rPr>
      </w:pPr>
      <w:r>
        <w:rPr>
          <w:sz w:val="22"/>
        </w:rPr>
        <w:t>differences between cultivars; Alghamdi et al. (2011) assessed 34 faba bean populations detecting variability related to the gathering sites; finally, Terzopoulosand Bebeli (2008) analyzed the genetic diversity of 20 local populations from the Mediterranean, finding high variation levels in them and at least two genetically different groups.</w:t>
      </w:r>
    </w:p>
    <w:p>
      <w:pPr>
        <w:pStyle w:val="BodyText"/>
        <w:spacing w:before="11"/>
        <w:rPr>
          <w:sz w:val="17"/>
        </w:rPr>
      </w:pPr>
    </w:p>
    <w:p>
      <w:pPr>
        <w:spacing w:line="480" w:lineRule="auto" w:before="0"/>
        <w:ind w:left="102" w:right="110" w:firstLine="0"/>
        <w:jc w:val="both"/>
        <w:rPr>
          <w:sz w:val="22"/>
        </w:rPr>
      </w:pPr>
      <w:r>
        <w:rPr>
          <w:sz w:val="22"/>
        </w:rPr>
        <w:t>Due to the agronomic and economic interest this species represents, the objective of this work was to determine the genetic variability and relationship between 39 faba bean populations by means of ISSR molecular markers, in views of identifying and selecting genetically contrasting accessions. The results of this work will allow using the detected genetic variability and incorporating it in current genetic improvement programs, which consist in phenotyping and genotyping, schemas aimed atincreasing production, generating resistance or tolerance to biotic and abiotic stress, and even creating high- performing and stable materials suitable for various environmental conditions.</w:t>
      </w:r>
    </w:p>
    <w:p>
      <w:pPr>
        <w:spacing w:after="0" w:line="480" w:lineRule="auto"/>
        <w:jc w:val="both"/>
        <w:rPr>
          <w:sz w:val="22"/>
        </w:rPr>
        <w:sectPr>
          <w:pgSz w:w="12240" w:h="15840"/>
          <w:pgMar w:header="0" w:footer="1652" w:top="1360" w:bottom="2040" w:left="1600" w:right="1300"/>
        </w:sectPr>
      </w:pPr>
    </w:p>
    <w:p>
      <w:pPr>
        <w:spacing w:before="57"/>
        <w:ind w:left="102" w:right="115" w:firstLine="0"/>
        <w:jc w:val="center"/>
        <w:rPr>
          <w:b/>
          <w:sz w:val="22"/>
        </w:rPr>
      </w:pPr>
      <w:r>
        <w:rPr>
          <w:b/>
          <w:sz w:val="22"/>
        </w:rPr>
        <w:t>MATERIALS AND METHODS</w:t>
      </w:r>
    </w:p>
    <w:p>
      <w:pPr>
        <w:pStyle w:val="BodyText"/>
        <w:rPr>
          <w:b/>
          <w:sz w:val="22"/>
        </w:rPr>
      </w:pPr>
    </w:p>
    <w:p>
      <w:pPr>
        <w:spacing w:before="73"/>
        <w:ind w:left="102" w:right="0" w:firstLine="0"/>
        <w:jc w:val="both"/>
        <w:rPr>
          <w:b/>
          <w:sz w:val="22"/>
        </w:rPr>
      </w:pPr>
      <w:r>
        <w:rPr>
          <w:b/>
          <w:sz w:val="22"/>
        </w:rPr>
        <w:t>Vegetal material</w:t>
      </w:r>
    </w:p>
    <w:p>
      <w:pPr>
        <w:pStyle w:val="BodyText"/>
        <w:spacing w:before="1"/>
        <w:rPr>
          <w:b/>
          <w:sz w:val="28"/>
        </w:rPr>
      </w:pPr>
    </w:p>
    <w:p>
      <w:pPr>
        <w:spacing w:line="480" w:lineRule="auto" w:before="0"/>
        <w:ind w:left="102" w:right="113" w:firstLine="0"/>
        <w:jc w:val="both"/>
        <w:rPr>
          <w:sz w:val="22"/>
        </w:rPr>
      </w:pPr>
      <w:r>
        <w:rPr>
          <w:sz w:val="22"/>
        </w:rPr>
        <w:t>In this study we used seeds from 35 faba bean populations, collected because of their best agromorphological characteristics in 12 municipalities of the State of Mexico, and four varieties generated by the Institute of Agricultural, Aquaculture and Forestal Research and Training of the State of Mexico (ICAMEX), namely: “San Isidro” (P29), “Monarca” (P30), “Diamante” (P31) and “San Pedro” (P32). The identification code, geographic origin, gathering place, seed size and color of the 39 assessed accessions, altitude and geographic coordinates collection sites are summarized in Table 1.</w:t>
      </w:r>
    </w:p>
    <w:p>
      <w:pPr>
        <w:pStyle w:val="BodyText"/>
        <w:spacing w:before="4"/>
        <w:rPr>
          <w:sz w:val="18"/>
        </w:rPr>
      </w:pPr>
    </w:p>
    <w:p>
      <w:pPr>
        <w:spacing w:before="0"/>
        <w:ind w:left="102" w:right="0" w:firstLine="0"/>
        <w:jc w:val="both"/>
        <w:rPr>
          <w:b/>
          <w:sz w:val="22"/>
        </w:rPr>
      </w:pPr>
      <w:r>
        <w:rPr>
          <w:b/>
          <w:sz w:val="22"/>
        </w:rPr>
        <w:t>DNA extraction and ISSR analysis</w:t>
      </w:r>
    </w:p>
    <w:p>
      <w:pPr>
        <w:pStyle w:val="BodyText"/>
        <w:spacing w:before="10"/>
        <w:rPr>
          <w:b/>
          <w:sz w:val="27"/>
        </w:rPr>
      </w:pPr>
    </w:p>
    <w:p>
      <w:pPr>
        <w:spacing w:line="480" w:lineRule="auto" w:before="0"/>
        <w:ind w:left="102" w:right="112" w:firstLine="0"/>
        <w:jc w:val="both"/>
        <w:rPr>
          <w:sz w:val="22"/>
        </w:rPr>
      </w:pPr>
      <w:r>
        <w:rPr>
          <w:sz w:val="22"/>
        </w:rPr>
        <w:t>Three grams of fresh foliar tissue from seedling of 14 days of age, healthy and without mechanical damage were selected at random out of a group of ten and weighed for each of the 39 populations. DNA extraction was carried out according to the sodium dodecyl sulfate method by Dellaporta et al (1983) with lesser modifications, such as the addition of 0.5 mM ascorbic acid, as suggested by  Hoelzel (1992) to reduce oxidation. The quality of DNA was evaluated by means of electrophoresis in agarose gel at 0.8%. The utilized oligonucleotides belong to a set of 100 ISSR molecular markers “UBC primer set 100/9” of British Columbia University; of these, 40 were evaluated. The ISSR-PCR reactions</w:t>
      </w:r>
      <w:r>
        <w:rPr>
          <w:spacing w:val="16"/>
          <w:sz w:val="22"/>
        </w:rPr>
        <w:t> </w:t>
      </w:r>
      <w:r>
        <w:rPr>
          <w:sz w:val="22"/>
        </w:rPr>
        <w:t>were</w:t>
      </w:r>
      <w:r>
        <w:rPr>
          <w:spacing w:val="16"/>
          <w:sz w:val="22"/>
        </w:rPr>
        <w:t> </w:t>
      </w:r>
      <w:r>
        <w:rPr>
          <w:sz w:val="22"/>
        </w:rPr>
        <w:t>performed</w:t>
      </w:r>
      <w:r>
        <w:rPr>
          <w:spacing w:val="13"/>
          <w:sz w:val="22"/>
        </w:rPr>
        <w:t> </w:t>
      </w:r>
      <w:r>
        <w:rPr>
          <w:sz w:val="22"/>
        </w:rPr>
        <w:t>using</w:t>
      </w:r>
      <w:r>
        <w:rPr>
          <w:spacing w:val="13"/>
          <w:sz w:val="22"/>
        </w:rPr>
        <w:t> </w:t>
      </w:r>
      <w:r>
        <w:rPr>
          <w:sz w:val="22"/>
        </w:rPr>
        <w:t>a</w:t>
      </w:r>
      <w:r>
        <w:rPr>
          <w:spacing w:val="16"/>
          <w:sz w:val="22"/>
        </w:rPr>
        <w:t> </w:t>
      </w:r>
      <w:r>
        <w:rPr>
          <w:sz w:val="22"/>
        </w:rPr>
        <w:t>volume</w:t>
      </w:r>
      <w:r>
        <w:rPr>
          <w:spacing w:val="16"/>
          <w:sz w:val="22"/>
        </w:rPr>
        <w:t> </w:t>
      </w:r>
      <w:r>
        <w:rPr>
          <w:sz w:val="22"/>
        </w:rPr>
        <w:t>of</w:t>
      </w:r>
      <w:r>
        <w:rPr>
          <w:spacing w:val="16"/>
          <w:sz w:val="22"/>
        </w:rPr>
        <w:t> </w:t>
      </w:r>
      <w:r>
        <w:rPr>
          <w:sz w:val="22"/>
        </w:rPr>
        <w:t>25</w:t>
      </w:r>
      <w:r>
        <w:rPr>
          <w:spacing w:val="15"/>
          <w:sz w:val="22"/>
        </w:rPr>
        <w:t> </w:t>
      </w:r>
      <w:r>
        <w:rPr>
          <w:sz w:val="22"/>
        </w:rPr>
        <w:t>µL</w:t>
      </w:r>
      <w:r>
        <w:rPr>
          <w:spacing w:val="12"/>
          <w:sz w:val="22"/>
        </w:rPr>
        <w:t> </w:t>
      </w:r>
      <w:r>
        <w:rPr>
          <w:sz w:val="22"/>
        </w:rPr>
        <w:t>reaction</w:t>
      </w:r>
      <w:r>
        <w:rPr>
          <w:spacing w:val="16"/>
          <w:sz w:val="22"/>
        </w:rPr>
        <w:t> </w:t>
      </w:r>
      <w:r>
        <w:rPr>
          <w:sz w:val="22"/>
        </w:rPr>
        <w:t>mixture,</w:t>
      </w:r>
      <w:r>
        <w:rPr>
          <w:spacing w:val="13"/>
          <w:sz w:val="22"/>
        </w:rPr>
        <w:t> </w:t>
      </w:r>
      <w:r>
        <w:rPr>
          <w:sz w:val="22"/>
        </w:rPr>
        <w:t>containing</w:t>
      </w:r>
      <w:r>
        <w:rPr>
          <w:spacing w:val="10"/>
          <w:sz w:val="22"/>
        </w:rPr>
        <w:t> </w:t>
      </w:r>
      <w:r>
        <w:rPr>
          <w:sz w:val="22"/>
        </w:rPr>
        <w:t>5.2</w:t>
      </w:r>
      <w:r>
        <w:rPr>
          <w:spacing w:val="15"/>
          <w:sz w:val="22"/>
        </w:rPr>
        <w:t> </w:t>
      </w:r>
      <w:r>
        <w:rPr>
          <w:sz w:val="22"/>
        </w:rPr>
        <w:t>µL</w:t>
      </w:r>
      <w:r>
        <w:rPr>
          <w:spacing w:val="17"/>
          <w:sz w:val="22"/>
        </w:rPr>
        <w:t> </w:t>
      </w:r>
      <w:r>
        <w:rPr>
          <w:sz w:val="22"/>
        </w:rPr>
        <w:t>water,</w:t>
      </w:r>
      <w:r>
        <w:rPr>
          <w:spacing w:val="13"/>
          <w:sz w:val="22"/>
        </w:rPr>
        <w:t> </w:t>
      </w:r>
      <w:r>
        <w:rPr>
          <w:sz w:val="22"/>
        </w:rPr>
        <w:t>10</w:t>
      </w:r>
      <w:r>
        <w:rPr>
          <w:spacing w:val="15"/>
          <w:sz w:val="22"/>
        </w:rPr>
        <w:t> </w:t>
      </w:r>
      <w:r>
        <w:rPr>
          <w:sz w:val="22"/>
        </w:rPr>
        <w:t>µL</w:t>
      </w:r>
    </w:p>
    <w:p>
      <w:pPr>
        <w:spacing w:line="475" w:lineRule="auto" w:before="9"/>
        <w:ind w:left="102" w:right="114" w:firstLine="0"/>
        <w:jc w:val="both"/>
        <w:rPr>
          <w:sz w:val="22"/>
        </w:rPr>
      </w:pPr>
      <w:r>
        <w:rPr>
          <w:position w:val="2"/>
          <w:sz w:val="22"/>
        </w:rPr>
        <w:t>0.2 mM dNTP’s, 2.5 µL Tris H-Cl pH 8 10Xbuffer, 1.5 µL 3 mMMgCl</w:t>
      </w:r>
      <w:r>
        <w:rPr>
          <w:sz w:val="14"/>
        </w:rPr>
        <w:t>2</w:t>
      </w:r>
      <w:r>
        <w:rPr>
          <w:position w:val="2"/>
          <w:sz w:val="22"/>
        </w:rPr>
        <w:t>, 3 µL of primer at a </w:t>
      </w:r>
      <w:r>
        <w:rPr>
          <w:sz w:val="22"/>
        </w:rPr>
        <w:t>concentration of 10 ngµL</w:t>
      </w:r>
      <w:r>
        <w:rPr>
          <w:position w:val="8"/>
          <w:sz w:val="14"/>
        </w:rPr>
        <w:t>-1</w:t>
      </w:r>
      <w:r>
        <w:rPr>
          <w:sz w:val="22"/>
        </w:rPr>
        <w:t>, 0.3 µL 1.5 U of Taqpolimeraseenzyme and 2.5 µL of template DNA at a concentration of 10 ngµL</w:t>
      </w:r>
      <w:r>
        <w:rPr>
          <w:position w:val="8"/>
          <w:sz w:val="14"/>
        </w:rPr>
        <w:t>-1  </w:t>
      </w:r>
      <w:r>
        <w:rPr>
          <w:sz w:val="22"/>
        </w:rPr>
        <w:t>of DNA.</w:t>
      </w:r>
    </w:p>
    <w:p>
      <w:pPr>
        <w:pStyle w:val="BodyText"/>
        <w:spacing w:before="8"/>
        <w:rPr>
          <w:sz w:val="17"/>
        </w:rPr>
      </w:pPr>
    </w:p>
    <w:p>
      <w:pPr>
        <w:spacing w:line="480" w:lineRule="auto" w:before="0"/>
        <w:ind w:left="102" w:right="113" w:firstLine="0"/>
        <w:jc w:val="both"/>
        <w:rPr>
          <w:sz w:val="22"/>
        </w:rPr>
      </w:pPr>
      <w:r>
        <w:rPr>
          <w:sz w:val="22"/>
        </w:rPr>
        <w:t>Amplifications were carried out in a TECHNE thermal cycler TC-412 (Bibby Scientific Limited, Beacon Road, Stone, Staffordshire, UK) considering a pre-denaturalization cycle at 93ºC for 20 s, followed   by   40  cycles   for   the   denaturalization   stage  at  94ºC  for  20s; one  aligning   phase at</w:t>
      </w:r>
    </w:p>
    <w:p>
      <w:pPr>
        <w:spacing w:after="0" w:line="480" w:lineRule="auto"/>
        <w:jc w:val="both"/>
        <w:rPr>
          <w:sz w:val="22"/>
        </w:rPr>
        <w:sectPr>
          <w:footerReference w:type="default" r:id="rId38"/>
          <w:pgSz w:w="12240" w:h="15840"/>
          <w:pgMar w:footer="1738" w:header="0" w:top="1360" w:bottom="1920" w:left="1600" w:right="1300"/>
          <w:pgNumType w:start="32"/>
        </w:sectPr>
      </w:pPr>
    </w:p>
    <w:p>
      <w:pPr>
        <w:spacing w:line="480" w:lineRule="auto" w:before="52"/>
        <w:ind w:left="102" w:right="110" w:firstLine="55"/>
        <w:jc w:val="both"/>
        <w:rPr>
          <w:sz w:val="22"/>
        </w:rPr>
      </w:pPr>
      <w:r>
        <w:rPr>
          <w:sz w:val="22"/>
        </w:rPr>
        <w:t>temperatures defined according to the primer to amplify for 1 min and a polymerization stage at 72ºC for 20s; finally an additional cycle to end up polymerization at 72ºC for 6 min.The products of the amplification of the assessed primers were separated in a horizontal electrophoresis chamberSGV- 2626T-02 (CBS, Scientific, San Diego, California, USA) in ultrafine agarose gels at 2%. Later on, they were developed in a solution with 0.5 µgmL</w:t>
      </w:r>
      <w:r>
        <w:rPr>
          <w:position w:val="8"/>
          <w:sz w:val="14"/>
        </w:rPr>
        <w:t>-1 </w:t>
      </w:r>
      <w:r>
        <w:rPr>
          <w:sz w:val="22"/>
        </w:rPr>
        <w:t>of ethidium bromide and finally visualized and analyzed in a high-performance UV transilluminator (Analytik Jena AG, Jena, Germany). The visualized bands were registered and identified, considering 1 presence and 0 absence.</w:t>
      </w:r>
    </w:p>
    <w:p>
      <w:pPr>
        <w:pStyle w:val="BodyText"/>
        <w:spacing w:before="5"/>
        <w:rPr>
          <w:sz w:val="18"/>
        </w:rPr>
      </w:pPr>
    </w:p>
    <w:p>
      <w:pPr>
        <w:spacing w:before="0"/>
        <w:ind w:left="102" w:right="0" w:firstLine="0"/>
        <w:jc w:val="both"/>
        <w:rPr>
          <w:b/>
          <w:sz w:val="22"/>
        </w:rPr>
      </w:pPr>
      <w:r>
        <w:rPr>
          <w:b/>
          <w:sz w:val="22"/>
        </w:rPr>
        <w:t>Data analysis</w:t>
      </w:r>
    </w:p>
    <w:p>
      <w:pPr>
        <w:pStyle w:val="BodyText"/>
        <w:spacing w:before="10"/>
        <w:rPr>
          <w:b/>
          <w:sz w:val="27"/>
        </w:rPr>
      </w:pPr>
    </w:p>
    <w:p>
      <w:pPr>
        <w:spacing w:line="480" w:lineRule="auto" w:before="0"/>
        <w:ind w:left="102" w:right="112" w:firstLine="0"/>
        <w:jc w:val="both"/>
        <w:rPr>
          <w:sz w:val="22"/>
        </w:rPr>
      </w:pPr>
      <w:r>
        <w:rPr>
          <w:sz w:val="22"/>
        </w:rPr>
        <w:t>Only consistent and reproducible bands were considered to run the corresponding statistical analyses. DNA polymorphic bands were registered as discreet variables considering “1” presence and “0” absence to construct a binary data matrix. Later on, data were processed in FreeTree statistics software(Version 0.9.1.5) Pavlicek et al. (1999) to produce a genetic distance matrix using Dice coefficient, also known as the similarity coefficient Nei and Li(1979). The resulting matrix was analyzed according to the Unweighted Pair Group Method with Arithmetic Mean (UPGMA), so as to build a dendrogram with 1000 bootstrap replicates. Tree View software was used to visualize the obtained dendrogram.</w:t>
      </w:r>
    </w:p>
    <w:p>
      <w:pPr>
        <w:pStyle w:val="BodyText"/>
        <w:spacing w:before="11"/>
        <w:rPr>
          <w:sz w:val="17"/>
        </w:rPr>
      </w:pPr>
    </w:p>
    <w:p>
      <w:pPr>
        <w:spacing w:line="480" w:lineRule="auto" w:before="0"/>
        <w:ind w:left="102" w:right="109" w:firstLine="0"/>
        <w:jc w:val="both"/>
        <w:rPr>
          <w:sz w:val="22"/>
        </w:rPr>
      </w:pPr>
      <w:r>
        <w:rPr>
          <w:sz w:val="22"/>
        </w:rPr>
        <w:t>The informational certainty of primers to difference between accessions was analyzed by means of the estimation of their Polymorphic Information Content (PIC), Marker Index (MI) and Resolution power (Rp). PIC was calculated using the formula described by Roldán-Ruíz et al. (2000), which is: </w:t>
      </w:r>
      <w:r>
        <w:rPr>
          <w:i/>
          <w:sz w:val="22"/>
        </w:rPr>
        <w:t>PICi= 2fi </w:t>
      </w:r>
      <w:r>
        <w:rPr>
          <w:i/>
          <w:sz w:val="22"/>
        </w:rPr>
        <w:t>(1-fi)</w:t>
      </w:r>
      <w:r>
        <w:rPr>
          <w:sz w:val="22"/>
        </w:rPr>
        <w:t>, where:</w:t>
      </w:r>
      <w:r>
        <w:rPr>
          <w:i/>
          <w:sz w:val="22"/>
        </w:rPr>
        <w:t>PICi </w:t>
      </w:r>
      <w:r>
        <w:rPr>
          <w:sz w:val="22"/>
        </w:rPr>
        <w:t>is the polymorphic information content of the first </w:t>
      </w:r>
      <w:r>
        <w:rPr>
          <w:i/>
          <w:sz w:val="22"/>
        </w:rPr>
        <w:t>i</w:t>
      </w:r>
      <w:r>
        <w:rPr>
          <w:sz w:val="22"/>
        </w:rPr>
        <w:t>, </w:t>
      </w:r>
      <w:r>
        <w:rPr>
          <w:i/>
          <w:sz w:val="22"/>
        </w:rPr>
        <w:t>fi </w:t>
      </w:r>
      <w:r>
        <w:rPr>
          <w:sz w:val="22"/>
        </w:rPr>
        <w:t>is the frequency of the present bands, and (</w:t>
      </w:r>
      <w:r>
        <w:rPr>
          <w:i/>
          <w:sz w:val="22"/>
        </w:rPr>
        <w:t>1-fi</w:t>
      </w:r>
      <w:r>
        <w:rPr>
          <w:sz w:val="22"/>
        </w:rPr>
        <w:t>) represents the frequency of the absent bands. Considering that the highest value of  PIC for dominant markers is 0.5 according to De Riek et al. (2001). MI was calculated following Prevost    and    Wilkinson   (1999),    as  MI = PIC   X   number   of   polymorphic   bands,     and </w:t>
      </w:r>
      <w:r>
        <w:rPr>
          <w:spacing w:val="37"/>
          <w:sz w:val="22"/>
        </w:rPr>
        <w:t> </w:t>
      </w:r>
      <w:r>
        <w:rPr>
          <w:sz w:val="22"/>
        </w:rPr>
        <w:t>Rp</w:t>
      </w:r>
    </w:p>
    <w:p>
      <w:pPr>
        <w:spacing w:after="0" w:line="480" w:lineRule="auto"/>
        <w:jc w:val="both"/>
        <w:rPr>
          <w:sz w:val="22"/>
        </w:rPr>
        <w:sectPr>
          <w:pgSz w:w="12240" w:h="15840"/>
          <w:pgMar w:header="0" w:footer="1738" w:top="1360" w:bottom="2080" w:left="1600" w:right="1300"/>
        </w:sectPr>
      </w:pPr>
    </w:p>
    <w:p>
      <w:pPr>
        <w:spacing w:line="480" w:lineRule="auto" w:before="52"/>
        <w:ind w:left="102" w:right="115" w:firstLine="0"/>
        <w:jc w:val="both"/>
        <w:rPr>
          <w:sz w:val="22"/>
        </w:rPr>
      </w:pPr>
      <w:r>
        <w:rPr>
          <w:sz w:val="22"/>
        </w:rPr>
        <w:t>according to the formula by Gilbert et al. (1999), Rp = ∑ Іb, in where</w:t>
      </w:r>
      <w:r>
        <w:rPr>
          <w:i/>
          <w:sz w:val="22"/>
        </w:rPr>
        <w:t>lb </w:t>
      </w:r>
      <w:r>
        <w:rPr>
          <w:sz w:val="22"/>
        </w:rPr>
        <w:t>represents the information of the band, which was calculated with: Іb = 1 – (2 x │0.5-p │), where </w:t>
      </w:r>
      <w:r>
        <w:rPr>
          <w:i/>
          <w:sz w:val="22"/>
        </w:rPr>
        <w:t>p </w:t>
      </w:r>
      <w:r>
        <w:rPr>
          <w:sz w:val="22"/>
        </w:rPr>
        <w:t>is the proportion of accessions that contain bands and </w:t>
      </w:r>
      <w:r>
        <w:rPr>
          <w:i/>
          <w:sz w:val="22"/>
        </w:rPr>
        <w:t>l </w:t>
      </w:r>
      <w:r>
        <w:rPr>
          <w:sz w:val="22"/>
        </w:rPr>
        <w:t>represents the percentage of polymorphic bands (PPB). The origin of the accessions was also considered to examine the potential effect of genetic grouping.</w:t>
      </w:r>
    </w:p>
    <w:p>
      <w:pPr>
        <w:pStyle w:val="BodyText"/>
        <w:spacing w:before="11"/>
        <w:rPr>
          <w:sz w:val="17"/>
        </w:rPr>
      </w:pPr>
    </w:p>
    <w:p>
      <w:pPr>
        <w:spacing w:line="482" w:lineRule="auto" w:before="0"/>
        <w:ind w:left="102" w:right="114" w:firstLine="0"/>
        <w:jc w:val="both"/>
        <w:rPr>
          <w:sz w:val="22"/>
        </w:rPr>
      </w:pPr>
      <w:r>
        <w:rPr>
          <w:sz w:val="22"/>
        </w:rPr>
        <w:t>The Principal Component Analysis (PCA) was obtained analyzing the correlation of the binary data matrix in GenAlEx 6.501 software (Peakall and Smouse, 2006; 2012) and interpreted according to the three main first coordinates.</w:t>
      </w:r>
    </w:p>
    <w:p>
      <w:pPr>
        <w:spacing w:after="0" w:line="482" w:lineRule="auto"/>
        <w:jc w:val="both"/>
        <w:rPr>
          <w:sz w:val="22"/>
        </w:rPr>
        <w:sectPr>
          <w:footerReference w:type="default" r:id="rId39"/>
          <w:pgSz w:w="12240" w:h="15840"/>
          <w:pgMar w:footer="1561" w:header="0" w:top="1360" w:bottom="1760" w:left="1600" w:right="1300"/>
        </w:sectPr>
      </w:pPr>
    </w:p>
    <w:p>
      <w:pPr>
        <w:spacing w:before="57"/>
        <w:ind w:left="102" w:right="114" w:firstLine="0"/>
        <w:jc w:val="center"/>
        <w:rPr>
          <w:b/>
          <w:sz w:val="22"/>
        </w:rPr>
      </w:pPr>
      <w:r>
        <w:rPr>
          <w:b/>
          <w:sz w:val="22"/>
        </w:rPr>
        <w:t>RESULTS AND DISCUSSION</w:t>
      </w:r>
    </w:p>
    <w:p>
      <w:pPr>
        <w:pStyle w:val="BodyText"/>
        <w:rPr>
          <w:b/>
          <w:sz w:val="20"/>
        </w:rPr>
      </w:pPr>
    </w:p>
    <w:p>
      <w:pPr>
        <w:pStyle w:val="BodyText"/>
        <w:rPr>
          <w:b/>
          <w:sz w:val="20"/>
        </w:rPr>
      </w:pPr>
    </w:p>
    <w:p>
      <w:pPr>
        <w:pStyle w:val="BodyText"/>
        <w:rPr>
          <w:b/>
          <w:sz w:val="20"/>
        </w:rPr>
      </w:pPr>
    </w:p>
    <w:p>
      <w:pPr>
        <w:pStyle w:val="BodyText"/>
        <w:spacing w:before="9"/>
        <w:rPr>
          <w:b/>
          <w:sz w:val="18"/>
        </w:rPr>
      </w:pPr>
    </w:p>
    <w:p>
      <w:pPr>
        <w:spacing w:before="0"/>
        <w:ind w:left="102" w:right="0" w:firstLine="0"/>
        <w:jc w:val="both"/>
        <w:rPr>
          <w:b/>
          <w:sz w:val="22"/>
        </w:rPr>
      </w:pPr>
      <w:r>
        <w:rPr>
          <w:b/>
          <w:sz w:val="22"/>
        </w:rPr>
        <w:t>Polymorphism of ISSR markers</w:t>
      </w:r>
    </w:p>
    <w:p>
      <w:pPr>
        <w:pStyle w:val="BodyText"/>
        <w:spacing w:before="10"/>
        <w:rPr>
          <w:b/>
          <w:sz w:val="27"/>
        </w:rPr>
      </w:pPr>
    </w:p>
    <w:p>
      <w:pPr>
        <w:spacing w:line="482" w:lineRule="auto" w:before="0"/>
        <w:ind w:left="102" w:right="116" w:firstLine="0"/>
        <w:jc w:val="both"/>
        <w:rPr>
          <w:sz w:val="22"/>
        </w:rPr>
      </w:pPr>
      <w:r>
        <w:rPr>
          <w:sz w:val="22"/>
        </w:rPr>
        <w:t>Out of the 40 assessed primers only 12 amplified clear, sharp and reproducible polymorphic bands.  The names, nucleotide sequences, alignment temperatures, results of the amplification and polymorphism of the utilized markers are shown in Table</w:t>
      </w:r>
      <w:r>
        <w:rPr>
          <w:spacing w:val="-11"/>
          <w:sz w:val="22"/>
        </w:rPr>
        <w:t> </w:t>
      </w:r>
      <w:r>
        <w:rPr>
          <w:sz w:val="22"/>
        </w:rPr>
        <w:t>2.</w:t>
      </w:r>
    </w:p>
    <w:p>
      <w:pPr>
        <w:pStyle w:val="BodyText"/>
        <w:spacing w:before="8"/>
        <w:rPr>
          <w:sz w:val="17"/>
        </w:rPr>
      </w:pPr>
    </w:p>
    <w:p>
      <w:pPr>
        <w:spacing w:line="480" w:lineRule="auto" w:before="0"/>
        <w:ind w:left="102" w:right="111" w:firstLine="0"/>
        <w:jc w:val="both"/>
        <w:rPr>
          <w:sz w:val="22"/>
        </w:rPr>
      </w:pPr>
      <w:r>
        <w:rPr>
          <w:sz w:val="22"/>
        </w:rPr>
        <w:t>The ISSR primers produced a total 142 fixed and repeatable bands; of which 134 were polymorphic with a banding mean of 19.6 for primers 848, 857, and ISSR-2M; while for the rest the mean of bands was 10.1. The size of bands according to molecular weights marker varied from 400 to 5000 bp. The values of Rp, PIC, and MI indicated that primer 848 (Figure 1) was the most efficient to analyze  genetic variability with values of 12.8, 0.40, and 8.06, respectively, followed by primers 857, and ISSR2M, which also showed efficiency in the polymorphic ampliconsgenerated. Such results allow distinguishing that primers 848 and ISSR-2M, amplified 20 and 18 total bands and for  both 100 % were polymorphic, these are dinucleotides of (CA) anchored to tetra- and penta-nucleotides, these two primers and 866 are nucleotide sequences, still unreported by other researchers to amplify polymorphic bands in faba bean(Terzopoulos and Bebeli 2004; Abdel Razzak et al.,2012) had already assessed a similar (CA)8G sequence in Greece and Egypt, respectively. By contrast, Terzopoulosand Bebeli (2008), Alghamdi et al. (2011),and Wang et al. (2012) assessing faba bean accessions from Greece, Saudi Arabia, and China, respectively, found higher polymorphism with primers of dinucleotide replications (AG) and (GA) anchored to mononucleotides and trinucleotides; sequences which were also detected in our materials but with fewer total bands. This suggests gene differences between the gathered material assessed in this study and those reported for faba bean cultivars in other countries; such a  genetic  difference can  be attributed  to the  broad  geographic  separation  there  is between</w:t>
      </w:r>
      <w:r>
        <w:rPr>
          <w:spacing w:val="-32"/>
          <w:sz w:val="22"/>
        </w:rPr>
        <w:t> </w:t>
      </w:r>
      <w:r>
        <w:rPr>
          <w:sz w:val="22"/>
        </w:rPr>
        <w:t>the</w:t>
      </w:r>
    </w:p>
    <w:p>
      <w:pPr>
        <w:spacing w:after="0" w:line="480" w:lineRule="auto"/>
        <w:jc w:val="both"/>
        <w:rPr>
          <w:sz w:val="22"/>
        </w:rPr>
        <w:sectPr>
          <w:footerReference w:type="default" r:id="rId40"/>
          <w:pgSz w:w="12240" w:h="15840"/>
          <w:pgMar w:footer="1810" w:header="0" w:top="1360" w:bottom="2000" w:left="1600" w:right="1300"/>
          <w:pgNumType w:start="35"/>
        </w:sectPr>
      </w:pPr>
    </w:p>
    <w:p>
      <w:pPr>
        <w:spacing w:line="480" w:lineRule="auto" w:before="52"/>
        <w:ind w:left="102" w:right="114" w:firstLine="55"/>
        <w:jc w:val="both"/>
        <w:rPr>
          <w:sz w:val="22"/>
        </w:rPr>
      </w:pPr>
      <w:r>
        <w:rPr>
          <w:sz w:val="22"/>
        </w:rPr>
        <w:t>materials. So the primers rich in (CA) may be assessed with faba bean accessions from other  continents in order to verify the gene similitude or difference and suggest possible phylogenetic relations, for according to Wang et al. (2012), faba bean accessions from China have their origin in gene sources from Africa, Asia and Europe, while there are no reports about this for accessions from the American</w:t>
      </w:r>
      <w:r>
        <w:rPr>
          <w:spacing w:val="-6"/>
          <w:sz w:val="22"/>
        </w:rPr>
        <w:t> </w:t>
      </w:r>
      <w:r>
        <w:rPr>
          <w:sz w:val="22"/>
        </w:rPr>
        <w:t>continent.</w:t>
      </w:r>
    </w:p>
    <w:p>
      <w:pPr>
        <w:pStyle w:val="BodyText"/>
        <w:spacing w:before="4"/>
        <w:rPr>
          <w:sz w:val="18"/>
        </w:rPr>
      </w:pPr>
    </w:p>
    <w:p>
      <w:pPr>
        <w:spacing w:before="0"/>
        <w:ind w:left="102" w:right="0" w:firstLine="0"/>
        <w:jc w:val="both"/>
        <w:rPr>
          <w:b/>
          <w:sz w:val="22"/>
        </w:rPr>
      </w:pPr>
      <w:r>
        <w:rPr>
          <w:b/>
          <w:color w:val="212121"/>
          <w:sz w:val="22"/>
        </w:rPr>
        <w:t>Genetic similarity between accessions</w:t>
      </w:r>
    </w:p>
    <w:p>
      <w:pPr>
        <w:pStyle w:val="BodyText"/>
        <w:spacing w:before="1"/>
        <w:rPr>
          <w:b/>
          <w:sz w:val="28"/>
        </w:rPr>
      </w:pPr>
    </w:p>
    <w:p>
      <w:pPr>
        <w:spacing w:line="480" w:lineRule="auto" w:before="0"/>
        <w:ind w:left="102" w:right="112" w:firstLine="0"/>
        <w:jc w:val="both"/>
        <w:rPr>
          <w:sz w:val="22"/>
        </w:rPr>
      </w:pPr>
      <w:r>
        <w:rPr>
          <w:color w:val="212121"/>
          <w:sz w:val="22"/>
        </w:rPr>
        <w:t>The genetic relation between accessions was obtained by means of data analysis of ISSR markers, using Dice’s similarity coefficient. The matrix of genetic distances showed an average range from 0.38 to 0.83 (Table 3). Which indicates there is high DNA variability between accessions P25 and P37, both belong to the municipality of Santiago Tianguistenco; this suggests they are genetically different materials adapted to the same environment, even though from a different origin. This can be advantageous in programs of genetic improvement, as it is commented by Gresta </w:t>
      </w:r>
      <w:r>
        <w:rPr>
          <w:color w:val="212121"/>
          <w:spacing w:val="3"/>
          <w:sz w:val="22"/>
        </w:rPr>
        <w:t>et </w:t>
      </w:r>
      <w:r>
        <w:rPr>
          <w:color w:val="212121"/>
          <w:sz w:val="22"/>
        </w:rPr>
        <w:t>al. (2009), the use of this sort of materials might beused to maximize the level of variation and then assess these cultivars in contrasting environments that allow broadening their diversification. The longest distance value was registered between P22 and P23, which suggests great genetic similarity, it can even be suggested that these populations come from one same accession, due to the closeness of the gathering places  (Santiago Tianguistencoand Santa Cruz Atizapan) and the mobility of the materials the growers make. Other very closely related accessions were: P10 and P11, P21 and P22, P14 and P23, P2 and P4, P13 and P20. The rest of accessions displayed intermediate similarity</w:t>
      </w:r>
      <w:r>
        <w:rPr>
          <w:color w:val="212121"/>
          <w:spacing w:val="-19"/>
          <w:sz w:val="22"/>
        </w:rPr>
        <w:t> </w:t>
      </w:r>
      <w:r>
        <w:rPr>
          <w:color w:val="212121"/>
          <w:sz w:val="22"/>
        </w:rPr>
        <w:t>levels.</w:t>
      </w:r>
    </w:p>
    <w:p>
      <w:pPr>
        <w:pStyle w:val="BodyText"/>
        <w:spacing w:before="6"/>
        <w:rPr>
          <w:sz w:val="18"/>
        </w:rPr>
      </w:pPr>
    </w:p>
    <w:p>
      <w:pPr>
        <w:spacing w:before="1"/>
        <w:ind w:left="102" w:right="0" w:firstLine="0"/>
        <w:jc w:val="both"/>
        <w:rPr>
          <w:b/>
          <w:sz w:val="22"/>
        </w:rPr>
      </w:pPr>
      <w:r>
        <w:rPr>
          <w:b/>
          <w:color w:val="212121"/>
          <w:sz w:val="22"/>
        </w:rPr>
        <w:t>Genetic variability between populations</w:t>
      </w:r>
    </w:p>
    <w:p>
      <w:pPr>
        <w:pStyle w:val="BodyText"/>
        <w:spacing w:before="10"/>
        <w:rPr>
          <w:b/>
          <w:sz w:val="27"/>
        </w:rPr>
      </w:pPr>
    </w:p>
    <w:p>
      <w:pPr>
        <w:spacing w:line="482" w:lineRule="auto" w:before="0"/>
        <w:ind w:left="102" w:right="113" w:firstLine="0"/>
        <w:jc w:val="both"/>
        <w:rPr>
          <w:sz w:val="22"/>
        </w:rPr>
      </w:pPr>
      <w:r>
        <w:rPr>
          <w:color w:val="212121"/>
          <w:sz w:val="22"/>
        </w:rPr>
        <w:t>The genetic variability described in Table 3 was verified with UPGMA analysis (Figure 2). The dendrogram shows six principal groups (I, II, III, IV, V, VI). Groups III and IV were integrated by accessions  P25 and P29, respectively  from Santiago Tianguistenco  and Metepec; this  indicates these</w:t>
      </w:r>
    </w:p>
    <w:p>
      <w:pPr>
        <w:spacing w:after="0" w:line="482" w:lineRule="auto"/>
        <w:jc w:val="both"/>
        <w:rPr>
          <w:sz w:val="22"/>
        </w:rPr>
        <w:sectPr>
          <w:pgSz w:w="12240" w:h="15840"/>
          <w:pgMar w:header="0" w:footer="1810" w:top="1360" w:bottom="2000" w:left="1600" w:right="1300"/>
        </w:sectPr>
      </w:pPr>
    </w:p>
    <w:p>
      <w:pPr>
        <w:spacing w:line="480" w:lineRule="auto" w:before="52"/>
        <w:ind w:left="102" w:right="111" w:firstLine="55"/>
        <w:jc w:val="both"/>
        <w:rPr>
          <w:sz w:val="22"/>
        </w:rPr>
      </w:pPr>
      <w:r>
        <w:rPr>
          <w:color w:val="212121"/>
          <w:sz w:val="22"/>
        </w:rPr>
        <w:t>accessions were significantly different at molecular level in relation to all the accessions. The genetic variability observed in accession P25 can be related to a differential response to biotic or abiotic stress, to the agronomic management or else to its facility to adapt to other environments, as it is commented by Duc et al. (2010), variability can be the result from such factors. As for accession P29, it is one of the varieties generated by ICAMEX (2004). The detected genetic variability is attributed to the fact  that one of its progenitors has its origin in the Middle East, in Syria, and is characterized by registering the highest yields of green pod and dry grain under adequate management conditions andgood development of the cultivation in respect to the rest of varieties (ICAMEX, 2004), so this accession can be used in improvement programs heading to increase yield. Similarly, it was observed that group I comprised only two accessions, P38 and P37, which belong to the geographic places farthest apart in the study zone. It is worth mentioning that P38 is a population in which land is worked above 2500 m as indicated in Table 1, which suggests that the altitude factor heavily influences on its genetic expression, making it different. These results agree with reports by Terzopoulosand Bebeli (2008) and Wang et al. (2012), who comment that genetic diversity in faba bean is closely associated to the habitat in which it grows, geographic origin, and ecologic distribution. Group II comprehended 60% of the accessions of the central part, as well as two accessions from the north and south, P8 and P34, respectively. Accession P8, from its grouping, indicates that it is possibly a material with genes adaptive to agro-ecological contrasting conditions; these can be useful to broaden the variability level, Gresta et al. (2009). Group V comprised five accessions that belonged to the municipality of Acambay, located in the north; these accessions are characterized by its small seeds and a precocious cycle. Whereas group VI was the largest and grouped 84% of the accessions from the southeast study zone; in this group the presence of subgroups is distinguishable, possibly from the high mobility of the growers in the zone, since this is the largest zone to buy and sell seeds in the regions. The accessions in this group  have a large  seed and long  cycle. Accessions P6, P7, and  P9 from the north, and  P26 and</w:t>
      </w:r>
      <w:r>
        <w:rPr>
          <w:color w:val="212121"/>
          <w:spacing w:val="-16"/>
          <w:sz w:val="22"/>
        </w:rPr>
        <w:t> </w:t>
      </w:r>
      <w:r>
        <w:rPr>
          <w:color w:val="212121"/>
          <w:sz w:val="22"/>
        </w:rPr>
        <w:t>P31</w:t>
      </w:r>
    </w:p>
    <w:p>
      <w:pPr>
        <w:spacing w:after="0" w:line="480" w:lineRule="auto"/>
        <w:jc w:val="both"/>
        <w:rPr>
          <w:sz w:val="22"/>
        </w:rPr>
        <w:sectPr>
          <w:pgSz w:w="12240" w:h="15840"/>
          <w:pgMar w:header="0" w:footer="1810" w:top="1360" w:bottom="2040" w:left="1600" w:right="1300"/>
        </w:sectPr>
      </w:pPr>
    </w:p>
    <w:p>
      <w:pPr>
        <w:spacing w:line="480" w:lineRule="auto" w:before="52"/>
        <w:ind w:left="102" w:right="112" w:firstLine="55"/>
        <w:jc w:val="both"/>
        <w:rPr>
          <w:sz w:val="22"/>
        </w:rPr>
      </w:pPr>
      <w:r>
        <w:rPr>
          <w:color w:val="212121"/>
          <w:sz w:val="22"/>
        </w:rPr>
        <w:t>were also part of this grouping. Similar results were found by Alghamdi et al. (2011), who comment that the presence of subgroups indicates genetic variability related to adaption to gathering sites and that such differences may be utilized as gene sources to generate lines for the development of synthetic varieties. By and large, the dendrogram allows inferring that groupings were determined partly by its geographic origin, as well as by the genetic differences and similarities accumulated through time, sort of reproduction of faba beans, which are partially allogamous, the constant mobility of the materials  the growers make and the facility of the species to adapt to different</w:t>
      </w:r>
      <w:r>
        <w:rPr>
          <w:color w:val="212121"/>
          <w:spacing w:val="-33"/>
          <w:sz w:val="22"/>
        </w:rPr>
        <w:t> </w:t>
      </w:r>
      <w:r>
        <w:rPr>
          <w:color w:val="212121"/>
          <w:sz w:val="22"/>
        </w:rPr>
        <w:t>microenvironments.</w:t>
      </w:r>
    </w:p>
    <w:p>
      <w:pPr>
        <w:pStyle w:val="BodyText"/>
        <w:rPr>
          <w:sz w:val="18"/>
        </w:rPr>
      </w:pPr>
    </w:p>
    <w:p>
      <w:pPr>
        <w:spacing w:line="480" w:lineRule="auto" w:before="0"/>
        <w:ind w:left="102" w:right="112" w:firstLine="0"/>
        <w:jc w:val="both"/>
        <w:rPr>
          <w:sz w:val="22"/>
        </w:rPr>
      </w:pPr>
      <w:r>
        <w:rPr>
          <w:color w:val="212121"/>
          <w:sz w:val="22"/>
        </w:rPr>
        <w:t>The PCA results reveal that the first three axes represent only 33.99% of the total variability, of these; the two first coordinates accumulated 24.41% of variability and the first 13.45%. Moreover, in this analysis three main groups (A, B, and C) and an independent one, comprising P7 (Figure 3), are observed. The dendrogram and PCA of the present study verified similarity between populations and variability was preserved; these results agree with Wang et al. (2012), who also observed congruency between both analyses, perhaps because they worked with faba bean accessions very distant geographically. It is worth mentioning that accessions P25 and P29, which appeared independent in the dendrogram, in PCA they grouped in B; whilst P37 and P38 in A. On its own, group C, held 80% of  the northern populations. Distinguishable is that accession P7 separated from the rest of populations (locating at -7.02, axis 2); a situation that was not observed in the dendrogram, this indicates it is a different material in molecular terms. This accession is cultivated at average altitudes of 2800 m(Table 1).Finally, it is indicated that accessions P25, P29, P37, P38, P8, and P7 are molecularly different and can be assessed in the field to determine their agromorphological qualities and determine their agronomic potential. These accessions represent 15.3% of the total assessed material, nevertheless, this minimal variability is considered sufficient to broaden the genetic base of the species in the highlands of</w:t>
      </w:r>
      <w:r>
        <w:rPr>
          <w:color w:val="212121"/>
          <w:spacing w:val="-1"/>
          <w:sz w:val="22"/>
        </w:rPr>
        <w:t> </w:t>
      </w:r>
      <w:r>
        <w:rPr>
          <w:color w:val="212121"/>
          <w:sz w:val="22"/>
        </w:rPr>
        <w:t>Mexico.</w:t>
      </w:r>
    </w:p>
    <w:p>
      <w:pPr>
        <w:spacing w:after="0" w:line="480" w:lineRule="auto"/>
        <w:jc w:val="both"/>
        <w:rPr>
          <w:sz w:val="22"/>
        </w:rPr>
        <w:sectPr>
          <w:footerReference w:type="default" r:id="rId41"/>
          <w:pgSz w:w="12240" w:h="15840"/>
          <w:pgMar w:footer="2002" w:header="0" w:top="1360" w:bottom="2200" w:left="1600" w:right="1300"/>
          <w:pgNumType w:start="38"/>
        </w:sectPr>
      </w:pPr>
    </w:p>
    <w:p>
      <w:pPr>
        <w:spacing w:before="57"/>
        <w:ind w:left="102" w:right="0" w:firstLine="0"/>
        <w:jc w:val="both"/>
        <w:rPr>
          <w:b/>
          <w:sz w:val="22"/>
        </w:rPr>
      </w:pPr>
      <w:r>
        <w:rPr>
          <w:b/>
          <w:color w:val="212121"/>
          <w:sz w:val="22"/>
        </w:rPr>
        <w:t>Conclusions</w:t>
      </w:r>
    </w:p>
    <w:p>
      <w:pPr>
        <w:pStyle w:val="BodyText"/>
        <w:spacing w:before="10"/>
        <w:rPr>
          <w:b/>
          <w:sz w:val="27"/>
        </w:rPr>
      </w:pPr>
    </w:p>
    <w:p>
      <w:pPr>
        <w:spacing w:line="480" w:lineRule="auto" w:before="0"/>
        <w:ind w:left="102" w:right="113" w:firstLine="0"/>
        <w:jc w:val="both"/>
        <w:rPr>
          <w:sz w:val="22"/>
        </w:rPr>
      </w:pPr>
      <w:r>
        <w:rPr>
          <w:color w:val="212121"/>
          <w:sz w:val="22"/>
        </w:rPr>
        <w:t>Molecular markers ISSR-2M, 848 and 866 are gene sequences that broadened the highest percentage of polymorphic bands for the gatherings of faba bean here analyzed, such sequences might be utilized to genotype accessions from other countries and generate sufficient information to infer possible phylogenetic relations. The use of molecular ISSR markers was efficient to detect differences between the assessed populations, indicating that in 15.3% of the accessions important genetic variability was registered; this variability can be selected and valued in the field to learn their agronomic potential and later incorporation in improvement programs. The experience of the present research allows reflecting on the need to analyze a larger number of faba bean accessions from all over the country in views of broadening the studies of variability at the level of DNA, not only to contribute to genetic improvement, but also to preserve germplasm and create outstanding genotypes for the alimentary industry.</w:t>
      </w:r>
    </w:p>
    <w:p>
      <w:pPr>
        <w:pStyle w:val="BodyText"/>
        <w:rPr>
          <w:sz w:val="22"/>
        </w:rPr>
      </w:pPr>
    </w:p>
    <w:p>
      <w:pPr>
        <w:pStyle w:val="BodyText"/>
        <w:rPr>
          <w:sz w:val="22"/>
        </w:rPr>
      </w:pPr>
    </w:p>
    <w:p>
      <w:pPr>
        <w:pStyle w:val="BodyText"/>
        <w:spacing w:before="10"/>
      </w:pPr>
    </w:p>
    <w:p>
      <w:pPr>
        <w:spacing w:before="0"/>
        <w:ind w:left="102" w:right="0" w:firstLine="0"/>
        <w:jc w:val="both"/>
        <w:rPr>
          <w:b/>
          <w:sz w:val="22"/>
        </w:rPr>
      </w:pPr>
      <w:r>
        <w:rPr>
          <w:b/>
          <w:sz w:val="22"/>
        </w:rPr>
        <w:t>ACKNOWLEDGEMENTS</w:t>
      </w:r>
    </w:p>
    <w:p>
      <w:pPr>
        <w:pStyle w:val="BodyText"/>
        <w:spacing w:before="10"/>
        <w:rPr>
          <w:b/>
          <w:sz w:val="27"/>
        </w:rPr>
      </w:pPr>
    </w:p>
    <w:p>
      <w:pPr>
        <w:spacing w:line="482" w:lineRule="auto" w:before="0"/>
        <w:ind w:left="102" w:right="120" w:firstLine="0"/>
        <w:jc w:val="both"/>
        <w:rPr>
          <w:sz w:val="22"/>
        </w:rPr>
      </w:pPr>
      <w:r>
        <w:rPr>
          <w:sz w:val="22"/>
        </w:rPr>
        <w:t>The authors are grateful for the financial support to carry out this project to the Universidad Autónoma del Estado de México, México.</w:t>
      </w:r>
    </w:p>
    <w:p>
      <w:pPr>
        <w:spacing w:after="0" w:line="482" w:lineRule="auto"/>
        <w:jc w:val="both"/>
        <w:rPr>
          <w:sz w:val="22"/>
        </w:rPr>
        <w:sectPr>
          <w:pgSz w:w="12240" w:h="15840"/>
          <w:pgMar w:header="0" w:footer="2002" w:top="1360" w:bottom="2200" w:left="1600" w:right="1300"/>
        </w:sectPr>
      </w:pPr>
    </w:p>
    <w:p>
      <w:pPr>
        <w:spacing w:before="57"/>
        <w:ind w:left="3419" w:right="3553" w:firstLine="0"/>
        <w:jc w:val="center"/>
        <w:rPr>
          <w:b/>
          <w:sz w:val="22"/>
        </w:rPr>
      </w:pPr>
      <w:r>
        <w:rPr>
          <w:b/>
          <w:sz w:val="22"/>
        </w:rPr>
        <w:t>LITERATURE CITED</w:t>
      </w:r>
    </w:p>
    <w:p>
      <w:pPr>
        <w:pStyle w:val="BodyText"/>
        <w:spacing w:before="10"/>
        <w:rPr>
          <w:b/>
          <w:sz w:val="27"/>
        </w:rPr>
      </w:pPr>
    </w:p>
    <w:p>
      <w:pPr>
        <w:spacing w:line="360" w:lineRule="auto" w:before="0"/>
        <w:ind w:left="1047" w:right="112" w:hanging="708"/>
        <w:jc w:val="both"/>
        <w:rPr>
          <w:sz w:val="22"/>
        </w:rPr>
      </w:pPr>
      <w:r>
        <w:rPr>
          <w:sz w:val="22"/>
        </w:rPr>
        <w:t>Abdel-Razzak, H.S., A.M. Alfrmawy, H.M. Ibrahim, and A.A. El-Hanafy. 2012. Genetic diversity in faba bean (</w:t>
      </w:r>
      <w:r>
        <w:rPr>
          <w:i/>
          <w:sz w:val="22"/>
        </w:rPr>
        <w:t>Viciafaba </w:t>
      </w:r>
      <w:r>
        <w:rPr>
          <w:sz w:val="22"/>
        </w:rPr>
        <w:t>L.) using Inter-Simple Sequence Repeat (ISSR) markers  and protein analysis. Life Science Journal 9(2):497-503.</w:t>
      </w:r>
    </w:p>
    <w:p>
      <w:pPr>
        <w:spacing w:line="360" w:lineRule="auto" w:before="4"/>
        <w:ind w:left="1047" w:right="112" w:hanging="708"/>
        <w:jc w:val="both"/>
        <w:rPr>
          <w:sz w:val="22"/>
        </w:rPr>
      </w:pPr>
      <w:r>
        <w:rPr>
          <w:sz w:val="22"/>
        </w:rPr>
        <w:t>Ahmed, A.M.O., O.Y. Samia, and A.T. Olway. 2010. Performance of faba beans (</w:t>
      </w:r>
      <w:r>
        <w:rPr>
          <w:i/>
          <w:sz w:val="22"/>
        </w:rPr>
        <w:t>Viciafaba </w:t>
      </w:r>
      <w:r>
        <w:rPr>
          <w:sz w:val="22"/>
        </w:rPr>
        <w:t>L.) cultivars grown in new agro-ecological region of Sudan (Southern Sudan). Australian Journalof Basic and  Applied Sciences 4(11):5516-5521.</w:t>
      </w:r>
    </w:p>
    <w:p>
      <w:pPr>
        <w:spacing w:line="360" w:lineRule="auto" w:before="4"/>
        <w:ind w:left="1047" w:right="111" w:hanging="708"/>
        <w:jc w:val="both"/>
        <w:rPr>
          <w:sz w:val="22"/>
        </w:rPr>
      </w:pPr>
      <w:r>
        <w:rPr>
          <w:sz w:val="22"/>
        </w:rPr>
        <w:t>Akash, M.W. and G.O. Myers. 2012. The development of faba bean expressed sequence tag-simple sequence repeats EST-SSRs) and their validity in diversity analysis. Plant Breeding 131:522-530. doi:10.1111/j.1439-0523.2012.01969.x.</w:t>
      </w:r>
    </w:p>
    <w:p>
      <w:pPr>
        <w:spacing w:line="360" w:lineRule="auto" w:before="4"/>
        <w:ind w:left="1047" w:right="112" w:hanging="708"/>
        <w:jc w:val="both"/>
        <w:rPr>
          <w:sz w:val="22"/>
        </w:rPr>
      </w:pPr>
      <w:r>
        <w:rPr>
          <w:sz w:val="22"/>
        </w:rPr>
        <w:t>Alghamdi, S.S., H.M. Migdadi, M.H. Ammar, J.G. Paull, and K.H.M. Siddique. 2012a. Faba bean genomics: current status and future prospects. Euphytica 186:609-624. doi:10.1007/s10681-012-0658-4</w:t>
      </w:r>
    </w:p>
    <w:p>
      <w:pPr>
        <w:spacing w:line="360" w:lineRule="auto" w:before="4"/>
        <w:ind w:left="1047" w:right="110" w:hanging="708"/>
        <w:jc w:val="both"/>
        <w:rPr>
          <w:sz w:val="22"/>
        </w:rPr>
      </w:pPr>
      <w:r>
        <w:rPr>
          <w:sz w:val="22"/>
        </w:rPr>
        <w:t>Alghamdi, S.S., S.A. Al-Faifi, H.M. Migdadi, M.A. Khan, E.H. El-Harty, and M.H. Ammar. 2012b. Molecular diversity assessment using sequence related amplified polymorphism (SRAP) markers in </w:t>
      </w:r>
      <w:r>
        <w:rPr>
          <w:i/>
          <w:sz w:val="22"/>
        </w:rPr>
        <w:t>Viciafaba </w:t>
      </w:r>
      <w:r>
        <w:rPr>
          <w:sz w:val="22"/>
        </w:rPr>
        <w:t>L. International Journal and Molecular Sciences 16457- 16471.</w:t>
      </w:r>
      <w:r>
        <w:rPr>
          <w:spacing w:val="-2"/>
          <w:sz w:val="22"/>
        </w:rPr>
        <w:t> </w:t>
      </w:r>
      <w:r>
        <w:rPr>
          <w:sz w:val="22"/>
        </w:rPr>
        <w:t>doi:10.3390/ijms131216457.</w:t>
      </w:r>
    </w:p>
    <w:p>
      <w:pPr>
        <w:spacing w:line="360" w:lineRule="auto" w:before="4"/>
        <w:ind w:left="1047" w:right="110" w:hanging="708"/>
        <w:jc w:val="both"/>
        <w:rPr>
          <w:sz w:val="22"/>
        </w:rPr>
      </w:pPr>
      <w:r>
        <w:rPr>
          <w:sz w:val="22"/>
        </w:rPr>
        <w:t>Alghamdi, S.S., S.A. Al Faifi, H.M. Migdadi, M.H. Ammar, and K.H.M. Siddique. 2011. Inter- simple sequence repeat (ISSR)-based diversity assessment among faba bean genotypes. Crop Pasture Science 62(9):755-760. doi.org/10.1071/CP11045.</w:t>
      </w:r>
    </w:p>
    <w:p>
      <w:pPr>
        <w:spacing w:line="362" w:lineRule="auto" w:before="4"/>
        <w:ind w:left="339" w:right="0" w:firstLine="0"/>
        <w:jc w:val="left"/>
        <w:rPr>
          <w:sz w:val="22"/>
        </w:rPr>
      </w:pPr>
      <w:r>
        <w:rPr>
          <w:sz w:val="22"/>
        </w:rPr>
        <w:t>Cubero, J.I. y N.T. Moreno. 1983. Leguminosas de grano. Ed. Mundi Prensa, Madrid, España. Dellaporta,  S.L.,  J.  Wood,  and  J.B.  Hicks.  1983.  A  plant  mini  preparation:  version  II: Plant</w:t>
      </w:r>
    </w:p>
    <w:p>
      <w:pPr>
        <w:spacing w:before="2"/>
        <w:ind w:left="1047" w:right="0" w:firstLine="0"/>
        <w:jc w:val="left"/>
        <w:rPr>
          <w:sz w:val="22"/>
        </w:rPr>
      </w:pPr>
      <w:r>
        <w:rPr>
          <w:sz w:val="22"/>
        </w:rPr>
        <w:t>Molecular Biology Reports I: 19-20. doi:10.1007/BF02712670.</w:t>
      </w:r>
    </w:p>
    <w:p>
      <w:pPr>
        <w:spacing w:line="360" w:lineRule="auto" w:before="126"/>
        <w:ind w:left="1047" w:right="112" w:hanging="708"/>
        <w:jc w:val="both"/>
        <w:rPr>
          <w:sz w:val="22"/>
        </w:rPr>
      </w:pPr>
      <w:r>
        <w:rPr>
          <w:sz w:val="22"/>
        </w:rPr>
        <w:t>De Riek, J., E. Calsyn, I. Everaert, E. Van Bocksteal, and M. De Loose. 2001.AFLP based alternative for the assessment of the distinctness, uniformity and stability of sugar beet varieties. Theoretical and Applied Genetics 103:1254-1256. doi:10.1007/s001220.100710.</w:t>
      </w:r>
    </w:p>
    <w:p>
      <w:pPr>
        <w:spacing w:line="360" w:lineRule="auto" w:before="4"/>
        <w:ind w:left="1047" w:right="112" w:hanging="708"/>
        <w:jc w:val="both"/>
        <w:rPr>
          <w:sz w:val="22"/>
        </w:rPr>
      </w:pPr>
      <w:r>
        <w:rPr>
          <w:sz w:val="22"/>
        </w:rPr>
        <w:t>Duc, G.S.Y. Bao, M. Baum, B. Redden, M. Sadiki, M.J. Suso, M. Vishniakova, and X.X. Zong. 2010. Diversity maintenance and use of </w:t>
      </w:r>
      <w:r>
        <w:rPr>
          <w:i/>
          <w:sz w:val="22"/>
        </w:rPr>
        <w:t>Viciafaba </w:t>
      </w:r>
      <w:r>
        <w:rPr>
          <w:sz w:val="22"/>
        </w:rPr>
        <w:t>L. genetic resources. Field Crops Research 115:270-278. doi:10.1016/j.fcr.2008.10.003.</w:t>
      </w:r>
    </w:p>
    <w:p>
      <w:pPr>
        <w:spacing w:line="360" w:lineRule="auto" w:before="4"/>
        <w:ind w:left="1047" w:right="112" w:hanging="708"/>
        <w:jc w:val="both"/>
        <w:rPr>
          <w:sz w:val="22"/>
        </w:rPr>
      </w:pPr>
      <w:r>
        <w:rPr>
          <w:sz w:val="22"/>
        </w:rPr>
        <w:t>Gilbert, J.E.,R.V. Lewis, M.J.Wilkinson, and P.S.D. Caligari. 1999. Developing and appropriate strategy to assess genetic variability in plant germplasm collections. Theoretical and Applied Genetics 98:1125-1131. doi:10.1007/s001220051176.</w:t>
      </w:r>
    </w:p>
    <w:p>
      <w:pPr>
        <w:spacing w:after="0" w:line="360" w:lineRule="auto"/>
        <w:jc w:val="both"/>
        <w:rPr>
          <w:sz w:val="22"/>
        </w:rPr>
        <w:sectPr>
          <w:footerReference w:type="default" r:id="rId42"/>
          <w:pgSz w:w="12240" w:h="15840"/>
          <w:pgMar w:footer="1472" w:header="0" w:top="1360" w:bottom="1660" w:left="1720" w:right="1300"/>
          <w:pgNumType w:start="40"/>
        </w:sectPr>
      </w:pPr>
    </w:p>
    <w:p>
      <w:pPr>
        <w:spacing w:line="360" w:lineRule="auto" w:before="52"/>
        <w:ind w:left="1047" w:right="112" w:hanging="708"/>
        <w:jc w:val="both"/>
        <w:rPr>
          <w:sz w:val="22"/>
        </w:rPr>
      </w:pPr>
      <w:r>
        <w:rPr>
          <w:sz w:val="22"/>
        </w:rPr>
        <w:t>Gong, Y.M., S.C. Xu, W.H. Mao, Q.Z. Hu, G.W. Zhang, J. Ding, and Z.Y. Li.2010. Generation and characterization of 11 novel EST derived microsatellites from </w:t>
      </w:r>
      <w:r>
        <w:rPr>
          <w:i/>
          <w:sz w:val="22"/>
        </w:rPr>
        <w:t>Viciafaba </w:t>
      </w:r>
      <w:r>
        <w:rPr>
          <w:sz w:val="22"/>
        </w:rPr>
        <w:t>(Fabaceae). American Journal of Botany e69-e71.</w:t>
      </w:r>
      <w:r>
        <w:rPr>
          <w:spacing w:val="-11"/>
          <w:sz w:val="22"/>
        </w:rPr>
        <w:t> </w:t>
      </w:r>
      <w:r>
        <w:rPr>
          <w:sz w:val="22"/>
        </w:rPr>
        <w:t>doi:10.3732/ajb.1000166.</w:t>
      </w:r>
    </w:p>
    <w:p>
      <w:pPr>
        <w:spacing w:line="360" w:lineRule="auto" w:before="4"/>
        <w:ind w:left="1047" w:right="112" w:hanging="708"/>
        <w:jc w:val="both"/>
        <w:rPr>
          <w:sz w:val="22"/>
        </w:rPr>
      </w:pPr>
      <w:r>
        <w:rPr>
          <w:sz w:val="22"/>
        </w:rPr>
        <w:t>Gong, Y.M., S.C. Xu, W.H. Mao, Z.Y. Li, Q.Z. Hu, G.W. Zhang, and J. Ding. 2011. Genetic diversity analysis of faba bean (</w:t>
      </w:r>
      <w:r>
        <w:rPr>
          <w:i/>
          <w:sz w:val="22"/>
        </w:rPr>
        <w:t>Viciafaba </w:t>
      </w:r>
      <w:r>
        <w:rPr>
          <w:sz w:val="22"/>
        </w:rPr>
        <w:t>L.) based on EST-SSR markers. Agricultural Sciences in China 10(6): 838-844. doi:10.1016/S1671-2927(11)60069-2.</w:t>
      </w:r>
    </w:p>
    <w:p>
      <w:pPr>
        <w:spacing w:line="360" w:lineRule="auto" w:before="7"/>
        <w:ind w:left="1047" w:right="112" w:hanging="708"/>
        <w:jc w:val="both"/>
        <w:rPr>
          <w:sz w:val="22"/>
        </w:rPr>
      </w:pPr>
      <w:r>
        <w:rPr>
          <w:sz w:val="22"/>
        </w:rPr>
        <w:t>Gresta, F. G. Avola, E. Albertini, L. Raggi, and V. Abbate. 2009. A study of variability in the Silicianfaba bean landrace “Larga di Leonforte”. Genetic Resources and Crop Evolution 123-131. doi:10.1007/s10722-009-9490-7.</w:t>
      </w:r>
    </w:p>
    <w:p>
      <w:pPr>
        <w:spacing w:before="4"/>
        <w:ind w:left="339" w:right="0" w:firstLine="0"/>
        <w:jc w:val="left"/>
        <w:rPr>
          <w:sz w:val="22"/>
        </w:rPr>
      </w:pPr>
      <w:r>
        <w:rPr>
          <w:sz w:val="22"/>
        </w:rPr>
        <w:t>Hoelzel, A.R.1992. Molecular genetic analysis of populations: a practical approach. First    edition.</w:t>
      </w:r>
    </w:p>
    <w:p>
      <w:pPr>
        <w:spacing w:before="127"/>
        <w:ind w:left="1047" w:right="0" w:firstLine="0"/>
        <w:jc w:val="left"/>
        <w:rPr>
          <w:sz w:val="22"/>
        </w:rPr>
      </w:pPr>
      <w:r>
        <w:rPr>
          <w:sz w:val="22"/>
        </w:rPr>
        <w:t>New York: Oxford University Press.</w:t>
      </w:r>
    </w:p>
    <w:p>
      <w:pPr>
        <w:spacing w:line="360" w:lineRule="auto" w:before="126"/>
        <w:ind w:left="1047" w:right="112" w:hanging="708"/>
        <w:jc w:val="both"/>
        <w:rPr>
          <w:sz w:val="22"/>
        </w:rPr>
      </w:pPr>
      <w:r>
        <w:rPr>
          <w:sz w:val="22"/>
        </w:rPr>
        <w:t>ICAMEX. 2004. Tecnologías de producción del cultivo de haba. Instituto de Investigación y Capacitación Agropecuaria, Acuícola y Forestal del Estado de México (ICAMEX).Toluca, México.</w:t>
      </w:r>
    </w:p>
    <w:p>
      <w:pPr>
        <w:spacing w:line="360" w:lineRule="auto" w:before="4"/>
        <w:ind w:left="1047" w:right="113" w:hanging="708"/>
        <w:jc w:val="both"/>
        <w:rPr>
          <w:sz w:val="22"/>
        </w:rPr>
      </w:pPr>
      <w:r>
        <w:rPr>
          <w:sz w:val="22"/>
        </w:rPr>
        <w:t>Kwon, S.J., J. Hu, and C.J. Coyne. 2010. Genetic diversity and relationship among faba bean (</w:t>
      </w:r>
      <w:r>
        <w:rPr>
          <w:i/>
          <w:sz w:val="22"/>
        </w:rPr>
        <w:t>Viciafaba </w:t>
      </w:r>
      <w:r>
        <w:rPr>
          <w:sz w:val="22"/>
        </w:rPr>
        <w:t>L.) germplasm entries as revealed by TRAP markers. Plant Genetic Resources: Characterization and Utilization 8(3):204-213. doi:10.1017/S1479262110000201.</w:t>
      </w:r>
    </w:p>
    <w:p>
      <w:pPr>
        <w:spacing w:line="360" w:lineRule="auto" w:before="4"/>
        <w:ind w:left="1047" w:right="113" w:hanging="708"/>
        <w:jc w:val="both"/>
        <w:rPr>
          <w:sz w:val="22"/>
        </w:rPr>
      </w:pPr>
      <w:r>
        <w:rPr>
          <w:sz w:val="22"/>
        </w:rPr>
        <w:t>Link, W., C. Dixkens, M. Singh, M. Schwall, and A.E. Melchinger. 1995. Genetic diversity in European and Mediterranean faba bean germplasm revealed by RAPD  markers. Theoretical and Applied Genetics 90:27-32. doi:10.1007/BF00220992.</w:t>
      </w:r>
    </w:p>
    <w:p>
      <w:pPr>
        <w:spacing w:line="360" w:lineRule="auto" w:before="4"/>
        <w:ind w:left="1047" w:right="114" w:hanging="708"/>
        <w:jc w:val="both"/>
        <w:rPr>
          <w:sz w:val="22"/>
        </w:rPr>
      </w:pPr>
      <w:r>
        <w:rPr>
          <w:sz w:val="22"/>
        </w:rPr>
        <w:t>Liu, Y. and W. Hou. 2010. Genetic diversity of faba bean germplasms in Qinghai and core germplasm identified based on AFLP analysis. Legume Genomics and Genetics. 1(1):1-6. doi:10.5376/lgg.2010.01.0001.</w:t>
      </w:r>
    </w:p>
    <w:p>
      <w:pPr>
        <w:spacing w:line="360" w:lineRule="auto" w:before="4"/>
        <w:ind w:left="1047" w:right="114" w:hanging="708"/>
        <w:jc w:val="both"/>
        <w:rPr>
          <w:sz w:val="22"/>
        </w:rPr>
      </w:pPr>
      <w:r>
        <w:rPr>
          <w:sz w:val="22"/>
        </w:rPr>
        <w:t>Ma, Y., S.Y. Bao, T. Yang, J.G. Hu, J.P.Guan, Y.H. He, et al. 2013. Genetic linkage map of Chinese native variety faba bean (</w:t>
      </w:r>
      <w:r>
        <w:rPr>
          <w:i/>
          <w:sz w:val="22"/>
        </w:rPr>
        <w:t>Viciafaba </w:t>
      </w:r>
      <w:r>
        <w:rPr>
          <w:sz w:val="22"/>
        </w:rPr>
        <w:t>L.) based on simple sequence repeat markers. Plant Breeding 132:397-400. doi: 10.1111/pbr.12074.</w:t>
      </w:r>
    </w:p>
    <w:p>
      <w:pPr>
        <w:tabs>
          <w:tab w:pos="2602" w:val="left" w:leader="none"/>
          <w:tab w:pos="4451" w:val="left" w:leader="none"/>
          <w:tab w:pos="5502" w:val="left" w:leader="none"/>
          <w:tab w:pos="6627" w:val="left" w:leader="none"/>
          <w:tab w:pos="8037" w:val="left" w:leader="none"/>
        </w:tabs>
        <w:spacing w:line="360" w:lineRule="auto" w:before="4"/>
        <w:ind w:left="1047" w:right="111" w:hanging="708"/>
        <w:jc w:val="both"/>
        <w:rPr>
          <w:sz w:val="22"/>
        </w:rPr>
      </w:pPr>
      <w:r>
        <w:rPr>
          <w:sz w:val="22"/>
        </w:rPr>
        <w:t>Maalouf, F., S. Khalil, S. Ahmed, A.N. Akintunde, M. Kharrat, K.E. Shama’a, S. Hajjar, and R.S. Malhotra. 2011. Yield stability of faba bean lines under diverse broomrape prone production</w:t>
        <w:tab/>
        <w:t>environments.</w:t>
        <w:tab/>
        <w:t>Field</w:t>
        <w:tab/>
        <w:t>Crops</w:t>
        <w:tab/>
        <w:t>Research</w:t>
        <w:tab/>
      </w:r>
      <w:r>
        <w:rPr>
          <w:spacing w:val="-1"/>
          <w:sz w:val="22"/>
        </w:rPr>
        <w:t>24:288-294. </w:t>
      </w:r>
      <w:r>
        <w:rPr>
          <w:sz w:val="22"/>
        </w:rPr>
        <w:t>doi:10.1016/j.fcr.2011.06.005.</w:t>
      </w:r>
    </w:p>
    <w:p>
      <w:pPr>
        <w:spacing w:line="360" w:lineRule="auto" w:before="4"/>
        <w:ind w:left="1047" w:right="111" w:hanging="708"/>
        <w:jc w:val="both"/>
        <w:rPr>
          <w:sz w:val="22"/>
        </w:rPr>
      </w:pPr>
      <w:r>
        <w:rPr>
          <w:sz w:val="22"/>
        </w:rPr>
        <w:t>Nei, M., and W.H. Li. 1979. Mathematical model for studying genetic variation in terms of restriction endonucleases. Proceedingsof the National Academy of Sciences. USA 76:5269-5273. PMC413122.</w:t>
      </w:r>
    </w:p>
    <w:p>
      <w:pPr>
        <w:spacing w:after="0" w:line="360" w:lineRule="auto"/>
        <w:jc w:val="both"/>
        <w:rPr>
          <w:sz w:val="22"/>
        </w:rPr>
        <w:sectPr>
          <w:pgSz w:w="12240" w:h="15840"/>
          <w:pgMar w:header="0" w:footer="1472" w:top="1360" w:bottom="1860" w:left="1720" w:right="1300"/>
        </w:sectPr>
      </w:pPr>
    </w:p>
    <w:p>
      <w:pPr>
        <w:spacing w:line="360" w:lineRule="auto" w:before="52"/>
        <w:ind w:left="1047" w:right="108" w:hanging="708"/>
        <w:jc w:val="both"/>
        <w:rPr>
          <w:sz w:val="22"/>
        </w:rPr>
      </w:pPr>
      <w:r>
        <w:rPr>
          <w:sz w:val="22"/>
        </w:rPr>
        <w:t>Ouji, A., S. El Bok, N.H. Syed, R. Abdellaoui, M. Rouaissi, A.J. Flavell,and M. El Gazzah.2012. Genetic diversity of faba bean (</w:t>
      </w:r>
      <w:r>
        <w:rPr>
          <w:i/>
          <w:sz w:val="22"/>
        </w:rPr>
        <w:t>Viciafaba </w:t>
      </w:r>
      <w:r>
        <w:rPr>
          <w:sz w:val="22"/>
        </w:rPr>
        <w:t>L.) populations revealed by sequence specific amplified polymorphism (SSAP) markers. African Journal of Biotechnology 11(9):2162- 2168. doi:10.5897/AJB11.2991.</w:t>
      </w:r>
    </w:p>
    <w:p>
      <w:pPr>
        <w:spacing w:line="360" w:lineRule="auto" w:before="4"/>
        <w:ind w:left="1047" w:right="112" w:hanging="708"/>
        <w:jc w:val="both"/>
        <w:rPr>
          <w:sz w:val="22"/>
        </w:rPr>
      </w:pPr>
      <w:r>
        <w:rPr>
          <w:sz w:val="22"/>
        </w:rPr>
        <w:t>Pavlicek, A., S. Hrda, and J. Flerg. 1999. FreeTree-Freeware program for construction of phylogenetic trees on the basis of distance data and for bootstrap jackknife analysis of the tree robustness. Application in the RAPD analysis of the genus </w:t>
      </w:r>
      <w:r>
        <w:rPr>
          <w:i/>
          <w:sz w:val="22"/>
        </w:rPr>
        <w:t>Frenkelia</w:t>
      </w:r>
      <w:r>
        <w:rPr>
          <w:sz w:val="22"/>
        </w:rPr>
        <w:t>. Folia Biology (Prague). 45:97-99.</w:t>
      </w:r>
    </w:p>
    <w:p>
      <w:pPr>
        <w:pStyle w:val="BodyText"/>
        <w:spacing w:before="8"/>
        <w:rPr>
          <w:sz w:val="17"/>
        </w:rPr>
      </w:pPr>
    </w:p>
    <w:p>
      <w:pPr>
        <w:spacing w:line="432" w:lineRule="auto" w:before="0"/>
        <w:ind w:left="339" w:right="380" w:firstLine="0"/>
        <w:jc w:val="left"/>
        <w:rPr>
          <w:sz w:val="22"/>
        </w:rPr>
      </w:pPr>
      <w:r>
        <w:rPr>
          <w:sz w:val="22"/>
        </w:rPr>
        <w:t>Peakall, R., and P.E. Smouse. 2012. GenAlEx 6.5: Genetic analysis in Excel. Population genetic software for teaching and research-an update. Bioinformatics 28:2537-2539.</w:t>
      </w:r>
    </w:p>
    <w:p>
      <w:pPr>
        <w:spacing w:line="427" w:lineRule="auto" w:before="5"/>
        <w:ind w:left="339" w:right="337" w:firstLine="0"/>
        <w:jc w:val="left"/>
        <w:rPr>
          <w:sz w:val="22"/>
        </w:rPr>
      </w:pPr>
      <w:r>
        <w:rPr>
          <w:sz w:val="22"/>
        </w:rPr>
        <w:t>Peakall, R., and P.E. Smouse. 2006. GENALEX 6: Genetic analysis in Excel. Population genetic software for teaching and research. Molecular Ecology Notes 6:288-295.</w:t>
      </w:r>
    </w:p>
    <w:p>
      <w:pPr>
        <w:spacing w:line="429" w:lineRule="auto" w:before="10"/>
        <w:ind w:left="339" w:right="0" w:firstLine="0"/>
        <w:jc w:val="left"/>
        <w:rPr>
          <w:sz w:val="22"/>
        </w:rPr>
      </w:pPr>
      <w:r>
        <w:rPr>
          <w:sz w:val="22"/>
        </w:rPr>
        <w:t>Prevost, A., and M.J. Wilkinson.1999. A new system of comparing PCR primers applied to ISSR fingerprinting of potato cultivars. Theoretical and Applied Genetics 98:107-112.</w:t>
      </w:r>
    </w:p>
    <w:p>
      <w:pPr>
        <w:spacing w:line="360" w:lineRule="auto" w:before="8"/>
        <w:ind w:left="1047" w:right="113" w:hanging="708"/>
        <w:jc w:val="both"/>
        <w:rPr>
          <w:sz w:val="22"/>
        </w:rPr>
      </w:pPr>
      <w:r>
        <w:rPr>
          <w:sz w:val="22"/>
        </w:rPr>
        <w:t>Roldán-Ruíz, I., J. Dendauw, E. Van Bockstaele, A. Depicker, and M. De Loose. 2000. AFLP markers reveal high polymhorphic rates in Ryegrasses (Lolium spp.). Molecular Breeding 6:125-134. doi:10.1023/A:1009680614564.</w:t>
      </w:r>
    </w:p>
    <w:p>
      <w:pPr>
        <w:spacing w:line="360" w:lineRule="auto" w:before="5"/>
        <w:ind w:left="1047" w:right="112" w:hanging="708"/>
        <w:jc w:val="both"/>
        <w:rPr>
          <w:sz w:val="22"/>
        </w:rPr>
      </w:pPr>
      <w:r>
        <w:rPr>
          <w:sz w:val="22"/>
        </w:rPr>
        <w:t>Terzopoulos, P.J., P.J. Kaltsikes, and P.J. Bebeli. 2003. Collection, evaluation and classification of Greek populations of faba bean (</w:t>
      </w:r>
      <w:r>
        <w:rPr>
          <w:i/>
          <w:sz w:val="22"/>
        </w:rPr>
        <w:t>Viciafaba </w:t>
      </w:r>
      <w:r>
        <w:rPr>
          <w:sz w:val="22"/>
        </w:rPr>
        <w:t>L.) Genetic Resources and Crop Evolution 50:373-381. doi:10.1023/A:1023962618319.</w:t>
      </w:r>
    </w:p>
    <w:p>
      <w:pPr>
        <w:spacing w:line="360" w:lineRule="auto" w:before="4"/>
        <w:ind w:left="1047" w:right="112" w:hanging="708"/>
        <w:jc w:val="both"/>
        <w:rPr>
          <w:sz w:val="22"/>
        </w:rPr>
      </w:pPr>
      <w:r>
        <w:rPr>
          <w:sz w:val="22"/>
        </w:rPr>
        <w:t>Terzopoulos, P.J., P.J. Kaltsikes, and P.J. Bebeli. 2004. Characterization of Greek populations of faba bean (</w:t>
      </w:r>
      <w:r>
        <w:rPr>
          <w:i/>
          <w:sz w:val="22"/>
        </w:rPr>
        <w:t>Viciafaba </w:t>
      </w:r>
      <w:r>
        <w:rPr>
          <w:sz w:val="22"/>
        </w:rPr>
        <w:t>L.) and their evaluation using a new parameter. Genetic Resources and Crop Evolution 51:655-662. doi:10.1023/B:GRES0000024654.89373.c2</w:t>
      </w:r>
    </w:p>
    <w:p>
      <w:pPr>
        <w:spacing w:line="360" w:lineRule="auto" w:before="7"/>
        <w:ind w:left="1047" w:right="114" w:hanging="708"/>
        <w:jc w:val="both"/>
        <w:rPr>
          <w:sz w:val="22"/>
        </w:rPr>
      </w:pPr>
      <w:r>
        <w:rPr>
          <w:sz w:val="22"/>
        </w:rPr>
        <w:t>Terzopoulos, P.J., and P.J. Bebeli. 2008. Genetic diversity analysis of Mediterranean faba bean (</w:t>
      </w:r>
      <w:r>
        <w:rPr>
          <w:i/>
          <w:sz w:val="22"/>
        </w:rPr>
        <w:t>Viciafaba </w:t>
      </w:r>
      <w:r>
        <w:rPr>
          <w:sz w:val="22"/>
        </w:rPr>
        <w:t>L.) with ISSR markers. Field Crops Research 108(1):39-44. doi:10.1016/j.fcr.2007.08.006.</w:t>
      </w:r>
    </w:p>
    <w:p>
      <w:pPr>
        <w:spacing w:line="360" w:lineRule="auto" w:before="5"/>
        <w:ind w:left="1047" w:right="113" w:hanging="708"/>
        <w:jc w:val="both"/>
        <w:rPr>
          <w:sz w:val="22"/>
        </w:rPr>
      </w:pPr>
      <w:r>
        <w:rPr>
          <w:sz w:val="22"/>
        </w:rPr>
        <w:t>van de Ven, W.T., N. Duncan, G. Ramsay, M. Phillips, W. Powell, andR. Waugh. 1993. Taxonomic relationships between </w:t>
      </w:r>
      <w:r>
        <w:rPr>
          <w:i/>
          <w:sz w:val="22"/>
        </w:rPr>
        <w:t>V. faba </w:t>
      </w:r>
      <w:r>
        <w:rPr>
          <w:sz w:val="22"/>
        </w:rPr>
        <w:t>and its relatives based on nuclear and mitochondrial RFLPs and PCR analysis. Theoretical and Applied Genetics 86(1):71-80. doi:10.1007/BF00223810.</w:t>
      </w:r>
    </w:p>
    <w:p>
      <w:pPr>
        <w:spacing w:after="0" w:line="360" w:lineRule="auto"/>
        <w:jc w:val="both"/>
        <w:rPr>
          <w:sz w:val="22"/>
        </w:rPr>
        <w:sectPr>
          <w:footerReference w:type="default" r:id="rId43"/>
          <w:pgSz w:w="12240" w:h="15840"/>
          <w:pgMar w:footer="1676" w:header="0" w:top="1360" w:bottom="1860" w:left="1720" w:right="1300"/>
          <w:pgNumType w:start="42"/>
        </w:sectPr>
      </w:pPr>
    </w:p>
    <w:p>
      <w:pPr>
        <w:spacing w:line="360" w:lineRule="auto" w:before="52"/>
        <w:ind w:left="1047" w:right="112" w:hanging="708"/>
        <w:jc w:val="both"/>
        <w:rPr>
          <w:sz w:val="22"/>
        </w:rPr>
      </w:pPr>
      <w:r>
        <w:rPr>
          <w:sz w:val="22"/>
        </w:rPr>
        <w:t>Vörösváry, G., L. Holly, S. Strajeru, J. Tamás, D. Constantinovici, G. MálnásiCsizmadia, and L. Horváth. 2011. Studies on the variation of agronomic traits in some faba bean (</w:t>
      </w:r>
      <w:r>
        <w:rPr>
          <w:i/>
          <w:sz w:val="22"/>
        </w:rPr>
        <w:t>Viciafaba </w:t>
      </w:r>
      <w:r>
        <w:rPr>
          <w:sz w:val="22"/>
        </w:rPr>
        <w:t>L.) landraces from Romania. Bulletin of University of Agricultural Sciences and  Veterinary Medicine. Horticulture 68(1):279-283. Print ISSN 1843-5254; Electronic ISSN 1843-5394.</w:t>
      </w:r>
    </w:p>
    <w:p>
      <w:pPr>
        <w:spacing w:line="360" w:lineRule="auto" w:before="4"/>
        <w:ind w:left="1047" w:right="112" w:hanging="708"/>
        <w:jc w:val="both"/>
        <w:rPr>
          <w:sz w:val="22"/>
        </w:rPr>
      </w:pPr>
      <w:r>
        <w:rPr>
          <w:sz w:val="22"/>
        </w:rPr>
        <w:t>Wang, H.F., X. Zong, J.P. Guan, T. Yang, X.L. Sun, Y. Ma, and R. Redden. 2012. Genetic diversity and relationship of global faba bean (</w:t>
      </w:r>
      <w:r>
        <w:rPr>
          <w:i/>
          <w:sz w:val="22"/>
        </w:rPr>
        <w:t>Viciafaba </w:t>
      </w:r>
      <w:r>
        <w:rPr>
          <w:sz w:val="22"/>
        </w:rPr>
        <w:t>L.) germplasm revealed by ISSR markers. Theoretical and Applied Genetics 124:789-797.</w:t>
      </w:r>
      <w:r>
        <w:rPr>
          <w:spacing w:val="-18"/>
          <w:sz w:val="22"/>
        </w:rPr>
        <w:t> </w:t>
      </w:r>
      <w:r>
        <w:rPr>
          <w:sz w:val="22"/>
        </w:rPr>
        <w:t>doi:10.1007/s00122-011-1750-1.</w:t>
      </w:r>
    </w:p>
    <w:p>
      <w:pPr>
        <w:spacing w:line="360" w:lineRule="auto" w:before="4"/>
        <w:ind w:left="1047" w:right="113" w:hanging="708"/>
        <w:jc w:val="both"/>
        <w:rPr>
          <w:sz w:val="22"/>
        </w:rPr>
      </w:pPr>
      <w:r>
        <w:rPr>
          <w:sz w:val="22"/>
        </w:rPr>
        <w:t>Yahia, Y., A. Guetat, W. Elfalleh, A. Ferchichi, H. Yahia, and M. Loumerem. 2012. Analysis of agromorphological diversity of southern Tunisia faba bean (</w:t>
      </w:r>
      <w:r>
        <w:rPr>
          <w:i/>
          <w:sz w:val="22"/>
        </w:rPr>
        <w:t>Viciafaba </w:t>
      </w:r>
      <w:r>
        <w:rPr>
          <w:sz w:val="22"/>
        </w:rPr>
        <w:t>L.) germplasm. African Journalof Biotechnology 11(56):11913-11924. doi:10.5897/AJB11.3366.</w:t>
      </w:r>
    </w:p>
    <w:p>
      <w:pPr>
        <w:spacing w:after="0" w:line="360" w:lineRule="auto"/>
        <w:jc w:val="both"/>
        <w:rPr>
          <w:sz w:val="22"/>
        </w:rPr>
        <w:sectPr>
          <w:pgSz w:w="12240" w:h="15840"/>
          <w:pgMar w:header="0" w:footer="1676" w:top="1360" w:bottom="1860" w:left="1720" w:right="1300"/>
        </w:sectPr>
      </w:pPr>
    </w:p>
    <w:p>
      <w:pPr>
        <w:spacing w:line="276" w:lineRule="auto" w:before="58"/>
        <w:ind w:left="342" w:right="163" w:firstLine="0"/>
        <w:jc w:val="left"/>
        <w:rPr>
          <w:b/>
          <w:sz w:val="20"/>
        </w:rPr>
      </w:pPr>
      <w:r>
        <w:rPr>
          <w:b/>
          <w:sz w:val="20"/>
        </w:rPr>
        <w:t>Table 1. Identification code, seed characteristics, gathering place, altitude and geographic coordinates of the 39 assessed accessions.</w:t>
      </w:r>
    </w:p>
    <w:p>
      <w:pPr>
        <w:pStyle w:val="BodyText"/>
        <w:rPr>
          <w:b/>
          <w:sz w:val="20"/>
        </w:rPr>
      </w:pPr>
    </w:p>
    <w:p>
      <w:pPr>
        <w:pStyle w:val="BodyText"/>
        <w:rPr>
          <w:b/>
          <w:sz w:val="18"/>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35"/>
        <w:gridCol w:w="2250"/>
        <w:gridCol w:w="1806"/>
        <w:gridCol w:w="1483"/>
        <w:gridCol w:w="1873"/>
      </w:tblGrid>
      <w:tr>
        <w:trPr>
          <w:trHeight w:val="607" w:hRule="exact"/>
        </w:trPr>
        <w:tc>
          <w:tcPr>
            <w:tcW w:w="2335" w:type="dxa"/>
            <w:tcBorders>
              <w:left w:val="nil"/>
              <w:right w:val="nil"/>
            </w:tcBorders>
          </w:tcPr>
          <w:p>
            <w:pPr>
              <w:pStyle w:val="TableParagraph"/>
              <w:spacing w:before="14"/>
              <w:ind w:left="226" w:right="155"/>
              <w:jc w:val="center"/>
              <w:rPr>
                <w:b/>
                <w:sz w:val="16"/>
              </w:rPr>
            </w:pPr>
            <w:r>
              <w:rPr>
                <w:b/>
                <w:sz w:val="16"/>
              </w:rPr>
              <w:t>Identification code</w:t>
            </w:r>
          </w:p>
        </w:tc>
        <w:tc>
          <w:tcPr>
            <w:tcW w:w="2250" w:type="dxa"/>
            <w:tcBorders>
              <w:left w:val="nil"/>
              <w:right w:val="nil"/>
            </w:tcBorders>
          </w:tcPr>
          <w:p>
            <w:pPr>
              <w:pStyle w:val="TableParagraph"/>
              <w:spacing w:before="14"/>
              <w:ind w:left="383" w:right="338"/>
              <w:jc w:val="center"/>
              <w:rPr>
                <w:b/>
                <w:sz w:val="16"/>
              </w:rPr>
            </w:pPr>
            <w:r>
              <w:rPr>
                <w:b/>
                <w:sz w:val="16"/>
              </w:rPr>
              <w:t>Size, color of dry seed</w:t>
            </w:r>
          </w:p>
        </w:tc>
        <w:tc>
          <w:tcPr>
            <w:tcW w:w="1806" w:type="dxa"/>
            <w:tcBorders>
              <w:left w:val="nil"/>
              <w:right w:val="nil"/>
            </w:tcBorders>
          </w:tcPr>
          <w:p>
            <w:pPr>
              <w:pStyle w:val="TableParagraph"/>
              <w:spacing w:before="14"/>
              <w:ind w:left="105" w:right="132"/>
              <w:jc w:val="center"/>
              <w:rPr>
                <w:b/>
                <w:sz w:val="16"/>
              </w:rPr>
            </w:pPr>
            <w:r>
              <w:rPr>
                <w:b/>
                <w:sz w:val="16"/>
              </w:rPr>
              <w:t>Gathering place</w:t>
            </w:r>
          </w:p>
        </w:tc>
        <w:tc>
          <w:tcPr>
            <w:tcW w:w="1483" w:type="dxa"/>
            <w:tcBorders>
              <w:left w:val="nil"/>
              <w:right w:val="nil"/>
            </w:tcBorders>
          </w:tcPr>
          <w:p>
            <w:pPr>
              <w:pStyle w:val="TableParagraph"/>
              <w:spacing w:before="14"/>
              <w:ind w:left="138" w:right="117"/>
              <w:jc w:val="center"/>
              <w:rPr>
                <w:b/>
                <w:sz w:val="16"/>
              </w:rPr>
            </w:pPr>
            <w:r>
              <w:rPr>
                <w:b/>
                <w:sz w:val="16"/>
              </w:rPr>
              <w:t>Altitude (m.a.s.l.)</w:t>
            </w:r>
          </w:p>
        </w:tc>
        <w:tc>
          <w:tcPr>
            <w:tcW w:w="1873" w:type="dxa"/>
            <w:tcBorders>
              <w:left w:val="nil"/>
              <w:right w:val="nil"/>
            </w:tcBorders>
          </w:tcPr>
          <w:p>
            <w:pPr>
              <w:pStyle w:val="TableParagraph"/>
              <w:spacing w:before="14"/>
              <w:ind w:left="137"/>
              <w:rPr>
                <w:b/>
                <w:sz w:val="16"/>
              </w:rPr>
            </w:pPr>
            <w:r>
              <w:rPr>
                <w:b/>
                <w:sz w:val="16"/>
              </w:rPr>
              <w:t>Geographic coordinates</w:t>
            </w:r>
          </w:p>
        </w:tc>
      </w:tr>
      <w:tr>
        <w:trPr>
          <w:trHeight w:val="748" w:hRule="exact"/>
        </w:trPr>
        <w:tc>
          <w:tcPr>
            <w:tcW w:w="2335" w:type="dxa"/>
            <w:tcBorders>
              <w:left w:val="nil"/>
              <w:bottom w:val="nil"/>
              <w:right w:val="nil"/>
            </w:tcBorders>
          </w:tcPr>
          <w:p>
            <w:pPr>
              <w:pStyle w:val="TableParagraph"/>
              <w:spacing w:before="14"/>
              <w:ind w:left="226" w:right="157"/>
              <w:jc w:val="center"/>
              <w:rPr>
                <w:sz w:val="16"/>
              </w:rPr>
            </w:pPr>
            <w:r>
              <w:rPr>
                <w:sz w:val="16"/>
              </w:rPr>
              <w:t>P1, P2, P3, P4, P5, P6, P8, P9</w:t>
            </w:r>
          </w:p>
        </w:tc>
        <w:tc>
          <w:tcPr>
            <w:tcW w:w="2250" w:type="dxa"/>
            <w:tcBorders>
              <w:left w:val="nil"/>
              <w:bottom w:val="nil"/>
              <w:right w:val="nil"/>
            </w:tcBorders>
          </w:tcPr>
          <w:p>
            <w:pPr>
              <w:pStyle w:val="TableParagraph"/>
              <w:spacing w:before="14"/>
              <w:ind w:left="377" w:right="338"/>
              <w:jc w:val="center"/>
              <w:rPr>
                <w:sz w:val="16"/>
              </w:rPr>
            </w:pPr>
            <w:r>
              <w:rPr>
                <w:sz w:val="16"/>
              </w:rPr>
              <w:t>Small, yellow head</w:t>
            </w:r>
          </w:p>
        </w:tc>
        <w:tc>
          <w:tcPr>
            <w:tcW w:w="1806" w:type="dxa"/>
            <w:tcBorders>
              <w:left w:val="nil"/>
              <w:bottom w:val="nil"/>
              <w:right w:val="nil"/>
            </w:tcBorders>
          </w:tcPr>
          <w:p>
            <w:pPr>
              <w:pStyle w:val="TableParagraph"/>
              <w:spacing w:before="14"/>
              <w:ind w:left="105" w:right="129"/>
              <w:jc w:val="center"/>
              <w:rPr>
                <w:sz w:val="16"/>
              </w:rPr>
            </w:pPr>
            <w:r>
              <w:rPr>
                <w:sz w:val="16"/>
              </w:rPr>
              <w:t>Acambay</w:t>
            </w:r>
          </w:p>
        </w:tc>
        <w:tc>
          <w:tcPr>
            <w:tcW w:w="1483" w:type="dxa"/>
            <w:tcBorders>
              <w:left w:val="nil"/>
              <w:bottom w:val="nil"/>
              <w:right w:val="nil"/>
            </w:tcBorders>
          </w:tcPr>
          <w:p>
            <w:pPr>
              <w:pStyle w:val="TableParagraph"/>
              <w:spacing w:before="14"/>
              <w:ind w:left="138" w:right="116"/>
              <w:jc w:val="center"/>
              <w:rPr>
                <w:sz w:val="16"/>
              </w:rPr>
            </w:pPr>
            <w:r>
              <w:rPr>
                <w:sz w:val="16"/>
              </w:rPr>
              <w:t>2440</w:t>
            </w:r>
          </w:p>
        </w:tc>
        <w:tc>
          <w:tcPr>
            <w:tcW w:w="1873" w:type="dxa"/>
            <w:tcBorders>
              <w:left w:val="nil"/>
              <w:bottom w:val="nil"/>
              <w:right w:val="nil"/>
            </w:tcBorders>
          </w:tcPr>
          <w:p>
            <w:pPr>
              <w:pStyle w:val="TableParagraph"/>
              <w:spacing w:before="14"/>
              <w:ind w:left="485"/>
              <w:rPr>
                <w:sz w:val="16"/>
              </w:rPr>
            </w:pPr>
            <w:r>
              <w:rPr>
                <w:sz w:val="16"/>
              </w:rPr>
              <w:t>19° 57’ 16’’ N</w:t>
            </w:r>
          </w:p>
          <w:p>
            <w:pPr>
              <w:pStyle w:val="TableParagraph"/>
              <w:spacing w:before="7"/>
              <w:rPr>
                <w:b/>
                <w:sz w:val="19"/>
              </w:rPr>
            </w:pPr>
          </w:p>
          <w:p>
            <w:pPr>
              <w:pStyle w:val="TableParagraph"/>
              <w:spacing w:before="1"/>
              <w:ind w:left="485"/>
              <w:rPr>
                <w:sz w:val="16"/>
              </w:rPr>
            </w:pPr>
            <w:r>
              <w:rPr>
                <w:sz w:val="16"/>
              </w:rPr>
              <w:t>99° 50’ 39’’W</w:t>
            </w:r>
          </w:p>
        </w:tc>
      </w:tr>
      <w:tr>
        <w:trPr>
          <w:trHeight w:val="838" w:hRule="exact"/>
        </w:trPr>
        <w:tc>
          <w:tcPr>
            <w:tcW w:w="2335" w:type="dxa"/>
            <w:tcBorders>
              <w:top w:val="nil"/>
              <w:left w:val="nil"/>
              <w:bottom w:val="nil"/>
              <w:right w:val="nil"/>
            </w:tcBorders>
          </w:tcPr>
          <w:p>
            <w:pPr>
              <w:pStyle w:val="TableParagraph"/>
              <w:spacing w:before="113"/>
              <w:ind w:left="226" w:right="157"/>
              <w:jc w:val="center"/>
              <w:rPr>
                <w:sz w:val="16"/>
              </w:rPr>
            </w:pPr>
            <w:r>
              <w:rPr>
                <w:sz w:val="16"/>
              </w:rPr>
              <w:t>P7</w:t>
            </w:r>
          </w:p>
        </w:tc>
        <w:tc>
          <w:tcPr>
            <w:tcW w:w="2250" w:type="dxa"/>
            <w:tcBorders>
              <w:top w:val="nil"/>
              <w:left w:val="nil"/>
              <w:bottom w:val="nil"/>
              <w:right w:val="nil"/>
            </w:tcBorders>
          </w:tcPr>
          <w:p>
            <w:pPr/>
          </w:p>
        </w:tc>
        <w:tc>
          <w:tcPr>
            <w:tcW w:w="1806" w:type="dxa"/>
            <w:tcBorders>
              <w:top w:val="nil"/>
              <w:left w:val="nil"/>
              <w:bottom w:val="nil"/>
              <w:right w:val="nil"/>
            </w:tcBorders>
          </w:tcPr>
          <w:p>
            <w:pPr>
              <w:pStyle w:val="TableParagraph"/>
              <w:spacing w:before="113"/>
              <w:ind w:left="105" w:right="131"/>
              <w:jc w:val="center"/>
              <w:rPr>
                <w:sz w:val="16"/>
              </w:rPr>
            </w:pPr>
            <w:r>
              <w:rPr>
                <w:sz w:val="16"/>
              </w:rPr>
              <w:t>Jocotitlán</w:t>
            </w:r>
          </w:p>
        </w:tc>
        <w:tc>
          <w:tcPr>
            <w:tcW w:w="1483" w:type="dxa"/>
            <w:tcBorders>
              <w:top w:val="nil"/>
              <w:left w:val="nil"/>
              <w:bottom w:val="nil"/>
              <w:right w:val="nil"/>
            </w:tcBorders>
          </w:tcPr>
          <w:p>
            <w:pPr>
              <w:pStyle w:val="TableParagraph"/>
              <w:spacing w:before="113"/>
              <w:ind w:left="138" w:right="116"/>
              <w:jc w:val="center"/>
              <w:rPr>
                <w:sz w:val="16"/>
              </w:rPr>
            </w:pPr>
            <w:r>
              <w:rPr>
                <w:sz w:val="16"/>
              </w:rPr>
              <w:t>2200-3400</w:t>
            </w:r>
          </w:p>
        </w:tc>
        <w:tc>
          <w:tcPr>
            <w:tcW w:w="1873" w:type="dxa"/>
            <w:tcBorders>
              <w:top w:val="nil"/>
              <w:left w:val="nil"/>
              <w:bottom w:val="nil"/>
              <w:right w:val="nil"/>
            </w:tcBorders>
          </w:tcPr>
          <w:p>
            <w:pPr>
              <w:pStyle w:val="TableParagraph"/>
              <w:spacing w:before="113"/>
              <w:ind w:left="485"/>
              <w:rPr>
                <w:sz w:val="16"/>
              </w:rPr>
            </w:pPr>
            <w:r>
              <w:rPr>
                <w:sz w:val="16"/>
              </w:rPr>
              <w:t>19° 42’ 26’’ N</w:t>
            </w:r>
          </w:p>
          <w:p>
            <w:pPr>
              <w:pStyle w:val="TableParagraph"/>
              <w:spacing w:before="7"/>
              <w:rPr>
                <w:b/>
                <w:sz w:val="19"/>
              </w:rPr>
            </w:pPr>
          </w:p>
          <w:p>
            <w:pPr>
              <w:pStyle w:val="TableParagraph"/>
              <w:spacing w:before="1"/>
              <w:ind w:left="485"/>
              <w:rPr>
                <w:sz w:val="16"/>
              </w:rPr>
            </w:pPr>
            <w:r>
              <w:rPr>
                <w:sz w:val="16"/>
              </w:rPr>
              <w:t>99° 47’ 12’’W</w:t>
            </w:r>
          </w:p>
        </w:tc>
      </w:tr>
      <w:tr>
        <w:trPr>
          <w:trHeight w:val="839" w:hRule="exact"/>
        </w:trPr>
        <w:tc>
          <w:tcPr>
            <w:tcW w:w="2335" w:type="dxa"/>
            <w:tcBorders>
              <w:top w:val="nil"/>
              <w:left w:val="nil"/>
              <w:bottom w:val="nil"/>
              <w:right w:val="nil"/>
            </w:tcBorders>
          </w:tcPr>
          <w:p>
            <w:pPr>
              <w:pStyle w:val="TableParagraph"/>
              <w:spacing w:line="276" w:lineRule="auto" w:before="113"/>
              <w:ind w:left="419" w:right="147" w:hanging="185"/>
              <w:rPr>
                <w:sz w:val="16"/>
              </w:rPr>
            </w:pPr>
            <w:r>
              <w:rPr>
                <w:sz w:val="16"/>
              </w:rPr>
              <w:t>P10, P11, P12, P13, P14, P15, P16, P17, P18, P19, P34</w:t>
            </w:r>
          </w:p>
        </w:tc>
        <w:tc>
          <w:tcPr>
            <w:tcW w:w="2250" w:type="dxa"/>
            <w:tcBorders>
              <w:top w:val="nil"/>
              <w:left w:val="nil"/>
              <w:bottom w:val="nil"/>
              <w:right w:val="nil"/>
            </w:tcBorders>
          </w:tcPr>
          <w:p>
            <w:pPr>
              <w:pStyle w:val="TableParagraph"/>
              <w:spacing w:before="113"/>
              <w:ind w:left="377" w:right="338"/>
              <w:jc w:val="center"/>
              <w:rPr>
                <w:sz w:val="16"/>
              </w:rPr>
            </w:pPr>
            <w:r>
              <w:rPr>
                <w:sz w:val="16"/>
              </w:rPr>
              <w:t>Large, yellow head</w:t>
            </w:r>
          </w:p>
        </w:tc>
        <w:tc>
          <w:tcPr>
            <w:tcW w:w="1806" w:type="dxa"/>
            <w:tcBorders>
              <w:top w:val="nil"/>
              <w:left w:val="nil"/>
              <w:bottom w:val="nil"/>
              <w:right w:val="nil"/>
            </w:tcBorders>
          </w:tcPr>
          <w:p>
            <w:pPr>
              <w:pStyle w:val="TableParagraph"/>
              <w:spacing w:before="113"/>
              <w:ind w:left="105" w:right="131"/>
              <w:jc w:val="center"/>
              <w:rPr>
                <w:sz w:val="16"/>
              </w:rPr>
            </w:pPr>
            <w:r>
              <w:rPr>
                <w:sz w:val="16"/>
              </w:rPr>
              <w:t>Calimaya</w:t>
            </w:r>
          </w:p>
        </w:tc>
        <w:tc>
          <w:tcPr>
            <w:tcW w:w="1483" w:type="dxa"/>
            <w:tcBorders>
              <w:top w:val="nil"/>
              <w:left w:val="nil"/>
              <w:bottom w:val="nil"/>
              <w:right w:val="nil"/>
            </w:tcBorders>
          </w:tcPr>
          <w:p>
            <w:pPr>
              <w:pStyle w:val="TableParagraph"/>
              <w:spacing w:before="113"/>
              <w:ind w:left="138" w:right="116"/>
              <w:jc w:val="center"/>
              <w:rPr>
                <w:sz w:val="16"/>
              </w:rPr>
            </w:pPr>
            <w:r>
              <w:rPr>
                <w:sz w:val="16"/>
              </w:rPr>
              <w:t>2690</w:t>
            </w:r>
          </w:p>
        </w:tc>
        <w:tc>
          <w:tcPr>
            <w:tcW w:w="1873" w:type="dxa"/>
            <w:tcBorders>
              <w:top w:val="nil"/>
              <w:left w:val="nil"/>
              <w:bottom w:val="nil"/>
              <w:right w:val="nil"/>
            </w:tcBorders>
          </w:tcPr>
          <w:p>
            <w:pPr>
              <w:pStyle w:val="TableParagraph"/>
              <w:spacing w:before="113"/>
              <w:ind w:left="504"/>
              <w:rPr>
                <w:sz w:val="16"/>
              </w:rPr>
            </w:pPr>
            <w:r>
              <w:rPr>
                <w:sz w:val="16"/>
              </w:rPr>
              <w:t>19°10’ 25’’ N</w:t>
            </w:r>
          </w:p>
          <w:p>
            <w:pPr>
              <w:pStyle w:val="TableParagraph"/>
              <w:spacing w:before="10"/>
              <w:rPr>
                <w:b/>
                <w:sz w:val="19"/>
              </w:rPr>
            </w:pPr>
          </w:p>
          <w:p>
            <w:pPr>
              <w:pStyle w:val="TableParagraph"/>
              <w:spacing w:before="1"/>
              <w:ind w:left="507"/>
              <w:rPr>
                <w:sz w:val="16"/>
              </w:rPr>
            </w:pPr>
            <w:r>
              <w:rPr>
                <w:sz w:val="16"/>
              </w:rPr>
              <w:t>99°37’ 02’’W</w:t>
            </w:r>
          </w:p>
        </w:tc>
      </w:tr>
      <w:tr>
        <w:trPr>
          <w:trHeight w:val="1662" w:hRule="exact"/>
        </w:trPr>
        <w:tc>
          <w:tcPr>
            <w:tcW w:w="2335" w:type="dxa"/>
            <w:tcBorders>
              <w:top w:val="nil"/>
              <w:left w:val="nil"/>
              <w:bottom w:val="nil"/>
              <w:right w:val="nil"/>
            </w:tcBorders>
          </w:tcPr>
          <w:p>
            <w:pPr>
              <w:pStyle w:val="TableParagraph"/>
              <w:spacing w:before="112"/>
              <w:ind w:left="226" w:right="156"/>
              <w:jc w:val="center"/>
              <w:rPr>
                <w:sz w:val="16"/>
              </w:rPr>
            </w:pPr>
            <w:r>
              <w:rPr>
                <w:sz w:val="16"/>
              </w:rPr>
              <w:t>P20</w:t>
            </w:r>
          </w:p>
          <w:p>
            <w:pPr>
              <w:pStyle w:val="TableParagraph"/>
              <w:rPr>
                <w:b/>
                <w:sz w:val="16"/>
              </w:rPr>
            </w:pPr>
          </w:p>
          <w:p>
            <w:pPr>
              <w:pStyle w:val="TableParagraph"/>
              <w:rPr>
                <w:b/>
                <w:sz w:val="16"/>
              </w:rPr>
            </w:pPr>
          </w:p>
          <w:p>
            <w:pPr>
              <w:pStyle w:val="TableParagraph"/>
              <w:spacing w:before="6"/>
              <w:rPr>
                <w:b/>
                <w:sz w:val="23"/>
              </w:rPr>
            </w:pPr>
          </w:p>
          <w:p>
            <w:pPr>
              <w:pStyle w:val="TableParagraph"/>
              <w:ind w:left="226" w:right="156"/>
              <w:jc w:val="center"/>
              <w:rPr>
                <w:sz w:val="16"/>
              </w:rPr>
            </w:pPr>
            <w:r>
              <w:rPr>
                <w:sz w:val="16"/>
              </w:rPr>
              <w:t>P23</w:t>
            </w:r>
          </w:p>
        </w:tc>
        <w:tc>
          <w:tcPr>
            <w:tcW w:w="2250" w:type="dxa"/>
            <w:tcBorders>
              <w:top w:val="nil"/>
              <w:left w:val="nil"/>
              <w:bottom w:val="nil"/>
              <w:right w:val="nil"/>
            </w:tcBorders>
          </w:tcPr>
          <w:p>
            <w:pPr>
              <w:pStyle w:val="TableParagraph"/>
              <w:spacing w:before="112"/>
              <w:ind w:left="530" w:right="105"/>
              <w:rPr>
                <w:sz w:val="16"/>
              </w:rPr>
            </w:pPr>
            <w:r>
              <w:rPr>
                <w:sz w:val="16"/>
              </w:rPr>
              <w:t>Large, yellow head</w:t>
            </w:r>
          </w:p>
          <w:p>
            <w:pPr>
              <w:pStyle w:val="TableParagraph"/>
              <w:rPr>
                <w:b/>
                <w:sz w:val="16"/>
              </w:rPr>
            </w:pPr>
          </w:p>
          <w:p>
            <w:pPr>
              <w:pStyle w:val="TableParagraph"/>
              <w:rPr>
                <w:b/>
                <w:sz w:val="16"/>
              </w:rPr>
            </w:pPr>
          </w:p>
          <w:p>
            <w:pPr>
              <w:pStyle w:val="TableParagraph"/>
              <w:spacing w:before="6"/>
              <w:rPr>
                <w:b/>
                <w:sz w:val="23"/>
              </w:rPr>
            </w:pPr>
          </w:p>
          <w:p>
            <w:pPr>
              <w:pStyle w:val="TableParagraph"/>
              <w:ind w:left="530" w:right="105"/>
              <w:rPr>
                <w:sz w:val="16"/>
              </w:rPr>
            </w:pPr>
            <w:r>
              <w:rPr>
                <w:sz w:val="16"/>
              </w:rPr>
              <w:t>Large, yellow head</w:t>
            </w:r>
          </w:p>
        </w:tc>
        <w:tc>
          <w:tcPr>
            <w:tcW w:w="1806" w:type="dxa"/>
            <w:tcBorders>
              <w:top w:val="nil"/>
              <w:left w:val="nil"/>
              <w:bottom w:val="nil"/>
              <w:right w:val="nil"/>
            </w:tcBorders>
          </w:tcPr>
          <w:p>
            <w:pPr>
              <w:pStyle w:val="TableParagraph"/>
              <w:spacing w:before="112"/>
              <w:ind w:left="425"/>
              <w:rPr>
                <w:sz w:val="16"/>
              </w:rPr>
            </w:pPr>
            <w:r>
              <w:rPr>
                <w:sz w:val="16"/>
              </w:rPr>
              <w:t>Mexicaltzingo</w:t>
            </w:r>
          </w:p>
          <w:p>
            <w:pPr>
              <w:pStyle w:val="TableParagraph"/>
              <w:rPr>
                <w:b/>
                <w:sz w:val="16"/>
              </w:rPr>
            </w:pPr>
          </w:p>
          <w:p>
            <w:pPr>
              <w:pStyle w:val="TableParagraph"/>
              <w:rPr>
                <w:b/>
                <w:sz w:val="16"/>
              </w:rPr>
            </w:pPr>
          </w:p>
          <w:p>
            <w:pPr>
              <w:pStyle w:val="TableParagraph"/>
              <w:spacing w:before="6"/>
              <w:rPr>
                <w:b/>
                <w:sz w:val="23"/>
              </w:rPr>
            </w:pPr>
          </w:p>
          <w:p>
            <w:pPr>
              <w:pStyle w:val="TableParagraph"/>
              <w:ind w:left="226"/>
              <w:rPr>
                <w:sz w:val="16"/>
              </w:rPr>
            </w:pPr>
            <w:r>
              <w:rPr>
                <w:sz w:val="16"/>
              </w:rPr>
              <w:t>Santa Cruz Atizapán</w:t>
            </w:r>
          </w:p>
        </w:tc>
        <w:tc>
          <w:tcPr>
            <w:tcW w:w="1483" w:type="dxa"/>
            <w:tcBorders>
              <w:top w:val="nil"/>
              <w:left w:val="nil"/>
              <w:bottom w:val="nil"/>
              <w:right w:val="nil"/>
            </w:tcBorders>
          </w:tcPr>
          <w:p>
            <w:pPr>
              <w:pStyle w:val="TableParagraph"/>
              <w:spacing w:before="112"/>
              <w:ind w:left="138" w:right="116"/>
              <w:jc w:val="center"/>
              <w:rPr>
                <w:sz w:val="16"/>
              </w:rPr>
            </w:pPr>
            <w:r>
              <w:rPr>
                <w:sz w:val="16"/>
              </w:rPr>
              <w:t>2600</w:t>
            </w:r>
          </w:p>
          <w:p>
            <w:pPr>
              <w:pStyle w:val="TableParagraph"/>
              <w:rPr>
                <w:b/>
                <w:sz w:val="16"/>
              </w:rPr>
            </w:pPr>
          </w:p>
          <w:p>
            <w:pPr>
              <w:pStyle w:val="TableParagraph"/>
              <w:rPr>
                <w:b/>
                <w:sz w:val="16"/>
              </w:rPr>
            </w:pPr>
          </w:p>
          <w:p>
            <w:pPr>
              <w:pStyle w:val="TableParagraph"/>
              <w:spacing w:before="6"/>
              <w:rPr>
                <w:b/>
                <w:sz w:val="23"/>
              </w:rPr>
            </w:pPr>
          </w:p>
          <w:p>
            <w:pPr>
              <w:pStyle w:val="TableParagraph"/>
              <w:ind w:left="138" w:right="116"/>
              <w:jc w:val="center"/>
              <w:rPr>
                <w:sz w:val="16"/>
              </w:rPr>
            </w:pPr>
            <w:r>
              <w:rPr>
                <w:sz w:val="16"/>
              </w:rPr>
              <w:t>2600</w:t>
            </w:r>
          </w:p>
        </w:tc>
        <w:tc>
          <w:tcPr>
            <w:tcW w:w="1873" w:type="dxa"/>
            <w:tcBorders>
              <w:top w:val="nil"/>
              <w:left w:val="nil"/>
              <w:bottom w:val="nil"/>
              <w:right w:val="nil"/>
            </w:tcBorders>
          </w:tcPr>
          <w:p>
            <w:pPr>
              <w:pStyle w:val="TableParagraph"/>
              <w:spacing w:before="112"/>
              <w:ind w:left="485"/>
              <w:rPr>
                <w:sz w:val="16"/>
              </w:rPr>
            </w:pPr>
            <w:r>
              <w:rPr>
                <w:sz w:val="16"/>
              </w:rPr>
              <w:t>19° 13’ 15’’ N</w:t>
            </w:r>
          </w:p>
          <w:p>
            <w:pPr>
              <w:pStyle w:val="TableParagraph"/>
              <w:spacing w:before="10"/>
              <w:rPr>
                <w:b/>
                <w:sz w:val="19"/>
              </w:rPr>
            </w:pPr>
          </w:p>
          <w:p>
            <w:pPr>
              <w:pStyle w:val="TableParagraph"/>
              <w:ind w:left="466"/>
              <w:rPr>
                <w:sz w:val="16"/>
              </w:rPr>
            </w:pPr>
            <w:r>
              <w:rPr>
                <w:sz w:val="16"/>
              </w:rPr>
              <w:t>99° 33’ 05’’ W</w:t>
            </w:r>
          </w:p>
          <w:p>
            <w:pPr>
              <w:pStyle w:val="TableParagraph"/>
              <w:spacing w:before="7"/>
              <w:rPr>
                <w:b/>
                <w:sz w:val="19"/>
              </w:rPr>
            </w:pPr>
          </w:p>
          <w:p>
            <w:pPr>
              <w:pStyle w:val="TableParagraph"/>
              <w:spacing w:before="1"/>
              <w:ind w:left="485"/>
              <w:rPr>
                <w:sz w:val="16"/>
              </w:rPr>
            </w:pPr>
            <w:r>
              <w:rPr>
                <w:sz w:val="16"/>
              </w:rPr>
              <w:t>19° 09’ 27’’ N</w:t>
            </w:r>
          </w:p>
          <w:p>
            <w:pPr>
              <w:pStyle w:val="TableParagraph"/>
              <w:spacing w:before="10"/>
              <w:rPr>
                <w:b/>
                <w:sz w:val="19"/>
              </w:rPr>
            </w:pPr>
          </w:p>
          <w:p>
            <w:pPr>
              <w:pStyle w:val="TableParagraph"/>
              <w:ind w:left="485"/>
              <w:rPr>
                <w:sz w:val="16"/>
              </w:rPr>
            </w:pPr>
            <w:r>
              <w:rPr>
                <w:sz w:val="16"/>
              </w:rPr>
              <w:t>99° 29’ 19’’ N</w:t>
            </w:r>
          </w:p>
        </w:tc>
      </w:tr>
      <w:tr>
        <w:trPr>
          <w:trHeight w:val="838" w:hRule="exact"/>
        </w:trPr>
        <w:tc>
          <w:tcPr>
            <w:tcW w:w="2335" w:type="dxa"/>
            <w:tcBorders>
              <w:top w:val="nil"/>
              <w:left w:val="nil"/>
              <w:bottom w:val="nil"/>
              <w:right w:val="nil"/>
            </w:tcBorders>
          </w:tcPr>
          <w:p>
            <w:pPr>
              <w:pStyle w:val="TableParagraph"/>
              <w:spacing w:before="113"/>
              <w:ind w:left="226" w:right="157"/>
              <w:jc w:val="center"/>
              <w:rPr>
                <w:sz w:val="16"/>
              </w:rPr>
            </w:pPr>
            <w:r>
              <w:rPr>
                <w:sz w:val="16"/>
              </w:rPr>
              <w:t>P21, P22, P24, P25, P37</w:t>
            </w:r>
          </w:p>
        </w:tc>
        <w:tc>
          <w:tcPr>
            <w:tcW w:w="2250" w:type="dxa"/>
            <w:tcBorders>
              <w:top w:val="nil"/>
              <w:left w:val="nil"/>
              <w:bottom w:val="nil"/>
              <w:right w:val="nil"/>
            </w:tcBorders>
          </w:tcPr>
          <w:p>
            <w:pPr>
              <w:pStyle w:val="TableParagraph"/>
              <w:spacing w:before="113"/>
              <w:ind w:left="377" w:right="338"/>
              <w:jc w:val="center"/>
              <w:rPr>
                <w:sz w:val="16"/>
              </w:rPr>
            </w:pPr>
            <w:r>
              <w:rPr>
                <w:sz w:val="16"/>
              </w:rPr>
              <w:t>Large, yellow head</w:t>
            </w:r>
          </w:p>
        </w:tc>
        <w:tc>
          <w:tcPr>
            <w:tcW w:w="1806" w:type="dxa"/>
            <w:tcBorders>
              <w:top w:val="nil"/>
              <w:left w:val="nil"/>
              <w:bottom w:val="nil"/>
              <w:right w:val="nil"/>
            </w:tcBorders>
          </w:tcPr>
          <w:p>
            <w:pPr>
              <w:pStyle w:val="TableParagraph"/>
              <w:spacing w:before="113"/>
              <w:ind w:left="105" w:right="130"/>
              <w:jc w:val="center"/>
              <w:rPr>
                <w:sz w:val="16"/>
              </w:rPr>
            </w:pPr>
            <w:r>
              <w:rPr>
                <w:sz w:val="16"/>
              </w:rPr>
              <w:t>Santiago Tianguistenco</w:t>
            </w:r>
          </w:p>
        </w:tc>
        <w:tc>
          <w:tcPr>
            <w:tcW w:w="1483" w:type="dxa"/>
            <w:tcBorders>
              <w:top w:val="nil"/>
              <w:left w:val="nil"/>
              <w:bottom w:val="nil"/>
              <w:right w:val="nil"/>
            </w:tcBorders>
          </w:tcPr>
          <w:p>
            <w:pPr>
              <w:pStyle w:val="TableParagraph"/>
              <w:spacing w:before="113"/>
              <w:ind w:left="138" w:right="116"/>
              <w:jc w:val="center"/>
              <w:rPr>
                <w:sz w:val="16"/>
              </w:rPr>
            </w:pPr>
            <w:r>
              <w:rPr>
                <w:sz w:val="16"/>
              </w:rPr>
              <w:t>2622</w:t>
            </w:r>
          </w:p>
        </w:tc>
        <w:tc>
          <w:tcPr>
            <w:tcW w:w="1873" w:type="dxa"/>
            <w:tcBorders>
              <w:top w:val="nil"/>
              <w:left w:val="nil"/>
              <w:bottom w:val="nil"/>
              <w:right w:val="nil"/>
            </w:tcBorders>
          </w:tcPr>
          <w:p>
            <w:pPr>
              <w:pStyle w:val="TableParagraph"/>
              <w:spacing w:before="113"/>
              <w:ind w:left="485"/>
              <w:rPr>
                <w:sz w:val="16"/>
              </w:rPr>
            </w:pPr>
            <w:r>
              <w:rPr>
                <w:sz w:val="16"/>
              </w:rPr>
              <w:t>19° 10’ 08’’ N</w:t>
            </w:r>
          </w:p>
          <w:p>
            <w:pPr>
              <w:pStyle w:val="TableParagraph"/>
              <w:spacing w:before="7"/>
              <w:rPr>
                <w:b/>
                <w:sz w:val="19"/>
              </w:rPr>
            </w:pPr>
          </w:p>
          <w:p>
            <w:pPr>
              <w:pStyle w:val="TableParagraph"/>
              <w:spacing w:before="1"/>
              <w:ind w:left="485"/>
              <w:rPr>
                <w:sz w:val="16"/>
              </w:rPr>
            </w:pPr>
            <w:r>
              <w:rPr>
                <w:sz w:val="16"/>
              </w:rPr>
              <w:t>99° 28’ 01’’W</w:t>
            </w:r>
          </w:p>
        </w:tc>
      </w:tr>
      <w:tr>
        <w:trPr>
          <w:trHeight w:val="838" w:hRule="exact"/>
        </w:trPr>
        <w:tc>
          <w:tcPr>
            <w:tcW w:w="2335" w:type="dxa"/>
            <w:tcBorders>
              <w:top w:val="nil"/>
              <w:left w:val="nil"/>
              <w:bottom w:val="nil"/>
              <w:right w:val="nil"/>
            </w:tcBorders>
          </w:tcPr>
          <w:p>
            <w:pPr>
              <w:pStyle w:val="TableParagraph"/>
              <w:spacing w:before="113"/>
              <w:ind w:left="226" w:right="157"/>
              <w:jc w:val="center"/>
              <w:rPr>
                <w:sz w:val="16"/>
              </w:rPr>
            </w:pPr>
            <w:r>
              <w:rPr>
                <w:sz w:val="16"/>
              </w:rPr>
              <w:t>P26, P33, P35</w:t>
            </w:r>
          </w:p>
        </w:tc>
        <w:tc>
          <w:tcPr>
            <w:tcW w:w="2250" w:type="dxa"/>
            <w:tcBorders>
              <w:top w:val="nil"/>
              <w:left w:val="nil"/>
              <w:bottom w:val="nil"/>
              <w:right w:val="nil"/>
            </w:tcBorders>
          </w:tcPr>
          <w:p>
            <w:pPr>
              <w:pStyle w:val="TableParagraph"/>
              <w:spacing w:line="276" w:lineRule="auto" w:before="113"/>
              <w:ind w:left="1010" w:right="105" w:hanging="845"/>
              <w:rPr>
                <w:sz w:val="16"/>
              </w:rPr>
            </w:pPr>
            <w:r>
              <w:rPr>
                <w:sz w:val="16"/>
              </w:rPr>
              <w:t>Mid-sized, yellow-light brown head</w:t>
            </w:r>
          </w:p>
        </w:tc>
        <w:tc>
          <w:tcPr>
            <w:tcW w:w="1806" w:type="dxa"/>
            <w:tcBorders>
              <w:top w:val="nil"/>
              <w:left w:val="nil"/>
              <w:bottom w:val="nil"/>
              <w:right w:val="nil"/>
            </w:tcBorders>
          </w:tcPr>
          <w:p>
            <w:pPr>
              <w:pStyle w:val="TableParagraph"/>
              <w:spacing w:before="113"/>
              <w:ind w:left="105" w:right="131"/>
              <w:jc w:val="center"/>
              <w:rPr>
                <w:sz w:val="16"/>
              </w:rPr>
            </w:pPr>
            <w:r>
              <w:rPr>
                <w:sz w:val="16"/>
              </w:rPr>
              <w:t>Toluca</w:t>
            </w:r>
          </w:p>
        </w:tc>
        <w:tc>
          <w:tcPr>
            <w:tcW w:w="1483" w:type="dxa"/>
            <w:tcBorders>
              <w:top w:val="nil"/>
              <w:left w:val="nil"/>
              <w:bottom w:val="nil"/>
              <w:right w:val="nil"/>
            </w:tcBorders>
          </w:tcPr>
          <w:p>
            <w:pPr>
              <w:pStyle w:val="TableParagraph"/>
              <w:spacing w:before="113"/>
              <w:ind w:left="138" w:right="116"/>
              <w:jc w:val="center"/>
              <w:rPr>
                <w:sz w:val="16"/>
              </w:rPr>
            </w:pPr>
            <w:r>
              <w:rPr>
                <w:sz w:val="16"/>
              </w:rPr>
              <w:t>2680</w:t>
            </w:r>
          </w:p>
        </w:tc>
        <w:tc>
          <w:tcPr>
            <w:tcW w:w="1873" w:type="dxa"/>
            <w:tcBorders>
              <w:top w:val="nil"/>
              <w:left w:val="nil"/>
              <w:bottom w:val="nil"/>
              <w:right w:val="nil"/>
            </w:tcBorders>
          </w:tcPr>
          <w:p>
            <w:pPr>
              <w:pStyle w:val="TableParagraph"/>
              <w:spacing w:before="113"/>
              <w:ind w:left="485"/>
              <w:rPr>
                <w:sz w:val="16"/>
              </w:rPr>
            </w:pPr>
            <w:r>
              <w:rPr>
                <w:sz w:val="16"/>
              </w:rPr>
              <w:t>19° 17’ 32’’ N</w:t>
            </w:r>
          </w:p>
          <w:p>
            <w:pPr>
              <w:pStyle w:val="TableParagraph"/>
              <w:spacing w:before="8"/>
              <w:rPr>
                <w:b/>
                <w:sz w:val="19"/>
              </w:rPr>
            </w:pPr>
          </w:p>
          <w:p>
            <w:pPr>
              <w:pStyle w:val="TableParagraph"/>
              <w:ind w:left="485"/>
              <w:rPr>
                <w:sz w:val="16"/>
              </w:rPr>
            </w:pPr>
            <w:r>
              <w:rPr>
                <w:sz w:val="16"/>
              </w:rPr>
              <w:t>99° 39’ 14’’W</w:t>
            </w:r>
          </w:p>
        </w:tc>
      </w:tr>
      <w:tr>
        <w:trPr>
          <w:trHeight w:val="1662" w:hRule="exact"/>
        </w:trPr>
        <w:tc>
          <w:tcPr>
            <w:tcW w:w="2335" w:type="dxa"/>
            <w:tcBorders>
              <w:top w:val="nil"/>
              <w:left w:val="nil"/>
              <w:bottom w:val="nil"/>
              <w:right w:val="nil"/>
            </w:tcBorders>
          </w:tcPr>
          <w:p>
            <w:pPr>
              <w:pStyle w:val="TableParagraph"/>
              <w:spacing w:before="113"/>
              <w:ind w:left="226" w:right="156"/>
              <w:jc w:val="center"/>
              <w:rPr>
                <w:sz w:val="16"/>
              </w:rPr>
            </w:pPr>
            <w:r>
              <w:rPr>
                <w:sz w:val="16"/>
              </w:rPr>
              <w:t>P27</w:t>
            </w:r>
          </w:p>
          <w:p>
            <w:pPr>
              <w:pStyle w:val="TableParagraph"/>
              <w:rPr>
                <w:b/>
                <w:sz w:val="16"/>
              </w:rPr>
            </w:pPr>
          </w:p>
          <w:p>
            <w:pPr>
              <w:pStyle w:val="TableParagraph"/>
              <w:rPr>
                <w:b/>
                <w:sz w:val="16"/>
              </w:rPr>
            </w:pPr>
          </w:p>
          <w:p>
            <w:pPr>
              <w:pStyle w:val="TableParagraph"/>
              <w:spacing w:before="6"/>
              <w:rPr>
                <w:b/>
                <w:sz w:val="23"/>
              </w:rPr>
            </w:pPr>
          </w:p>
          <w:p>
            <w:pPr>
              <w:pStyle w:val="TableParagraph"/>
              <w:ind w:left="226" w:right="156"/>
              <w:jc w:val="center"/>
              <w:rPr>
                <w:sz w:val="16"/>
              </w:rPr>
            </w:pPr>
            <w:r>
              <w:rPr>
                <w:sz w:val="16"/>
              </w:rPr>
              <w:t>P28</w:t>
            </w:r>
          </w:p>
        </w:tc>
        <w:tc>
          <w:tcPr>
            <w:tcW w:w="2250" w:type="dxa"/>
            <w:tcBorders>
              <w:top w:val="nil"/>
              <w:left w:val="nil"/>
              <w:bottom w:val="nil"/>
              <w:right w:val="nil"/>
            </w:tcBorders>
          </w:tcPr>
          <w:p>
            <w:pPr>
              <w:pStyle w:val="TableParagraph"/>
              <w:spacing w:before="113"/>
              <w:ind w:left="165"/>
              <w:rPr>
                <w:sz w:val="16"/>
              </w:rPr>
            </w:pPr>
            <w:r>
              <w:rPr>
                <w:sz w:val="16"/>
              </w:rPr>
              <w:t>Mid-sized, yellow-light brown</w:t>
            </w:r>
          </w:p>
          <w:p>
            <w:pPr>
              <w:pStyle w:val="TableParagraph"/>
              <w:spacing w:line="537" w:lineRule="auto" w:before="27"/>
              <w:ind w:left="403" w:right="596" w:firstLine="890"/>
              <w:rPr>
                <w:sz w:val="16"/>
              </w:rPr>
            </w:pPr>
            <w:r>
              <w:rPr>
                <w:sz w:val="16"/>
              </w:rPr>
              <w:t>head Large, yellow head</w:t>
            </w:r>
          </w:p>
        </w:tc>
        <w:tc>
          <w:tcPr>
            <w:tcW w:w="1806" w:type="dxa"/>
            <w:tcBorders>
              <w:top w:val="nil"/>
              <w:left w:val="nil"/>
              <w:bottom w:val="nil"/>
              <w:right w:val="nil"/>
            </w:tcBorders>
          </w:tcPr>
          <w:p>
            <w:pPr>
              <w:pStyle w:val="TableParagraph"/>
              <w:spacing w:before="113"/>
              <w:ind w:left="105" w:right="131"/>
              <w:jc w:val="center"/>
              <w:rPr>
                <w:sz w:val="16"/>
              </w:rPr>
            </w:pPr>
            <w:r>
              <w:rPr>
                <w:sz w:val="16"/>
              </w:rPr>
              <w:t>Zinacantepec</w:t>
            </w:r>
          </w:p>
          <w:p>
            <w:pPr>
              <w:pStyle w:val="TableParagraph"/>
              <w:rPr>
                <w:b/>
                <w:sz w:val="16"/>
              </w:rPr>
            </w:pPr>
          </w:p>
          <w:p>
            <w:pPr>
              <w:pStyle w:val="TableParagraph"/>
              <w:rPr>
                <w:b/>
                <w:sz w:val="16"/>
              </w:rPr>
            </w:pPr>
          </w:p>
          <w:p>
            <w:pPr>
              <w:pStyle w:val="TableParagraph"/>
              <w:spacing w:before="6"/>
              <w:rPr>
                <w:b/>
                <w:sz w:val="23"/>
              </w:rPr>
            </w:pPr>
          </w:p>
          <w:p>
            <w:pPr>
              <w:pStyle w:val="TableParagraph"/>
              <w:ind w:left="105" w:right="128"/>
              <w:jc w:val="center"/>
              <w:rPr>
                <w:sz w:val="16"/>
              </w:rPr>
            </w:pPr>
            <w:r>
              <w:rPr>
                <w:sz w:val="16"/>
              </w:rPr>
              <w:t>Almoloya del Rio</w:t>
            </w:r>
          </w:p>
        </w:tc>
        <w:tc>
          <w:tcPr>
            <w:tcW w:w="1483" w:type="dxa"/>
            <w:tcBorders>
              <w:top w:val="nil"/>
              <w:left w:val="nil"/>
              <w:bottom w:val="nil"/>
              <w:right w:val="nil"/>
            </w:tcBorders>
          </w:tcPr>
          <w:p>
            <w:pPr>
              <w:pStyle w:val="TableParagraph"/>
              <w:spacing w:before="113"/>
              <w:ind w:left="138" w:right="116"/>
              <w:jc w:val="center"/>
              <w:rPr>
                <w:sz w:val="16"/>
              </w:rPr>
            </w:pPr>
            <w:r>
              <w:rPr>
                <w:sz w:val="16"/>
              </w:rPr>
              <w:t>1160</w:t>
            </w:r>
          </w:p>
          <w:p>
            <w:pPr>
              <w:pStyle w:val="TableParagraph"/>
              <w:rPr>
                <w:b/>
                <w:sz w:val="16"/>
              </w:rPr>
            </w:pPr>
          </w:p>
          <w:p>
            <w:pPr>
              <w:pStyle w:val="TableParagraph"/>
              <w:rPr>
                <w:b/>
                <w:sz w:val="16"/>
              </w:rPr>
            </w:pPr>
          </w:p>
          <w:p>
            <w:pPr>
              <w:pStyle w:val="TableParagraph"/>
              <w:spacing w:before="6"/>
              <w:rPr>
                <w:b/>
                <w:sz w:val="23"/>
              </w:rPr>
            </w:pPr>
          </w:p>
          <w:p>
            <w:pPr>
              <w:pStyle w:val="TableParagraph"/>
              <w:ind w:left="138" w:right="116"/>
              <w:jc w:val="center"/>
              <w:rPr>
                <w:sz w:val="16"/>
              </w:rPr>
            </w:pPr>
            <w:r>
              <w:rPr>
                <w:sz w:val="16"/>
              </w:rPr>
              <w:t>2610</w:t>
            </w:r>
          </w:p>
        </w:tc>
        <w:tc>
          <w:tcPr>
            <w:tcW w:w="1873" w:type="dxa"/>
            <w:tcBorders>
              <w:top w:val="nil"/>
              <w:left w:val="nil"/>
              <w:bottom w:val="nil"/>
              <w:right w:val="nil"/>
            </w:tcBorders>
          </w:tcPr>
          <w:p>
            <w:pPr>
              <w:pStyle w:val="TableParagraph"/>
              <w:spacing w:before="113"/>
              <w:ind w:left="504"/>
              <w:rPr>
                <w:sz w:val="16"/>
              </w:rPr>
            </w:pPr>
            <w:r>
              <w:rPr>
                <w:sz w:val="16"/>
              </w:rPr>
              <w:t>19°17’ 00’’ N</w:t>
            </w:r>
          </w:p>
          <w:p>
            <w:pPr>
              <w:pStyle w:val="TableParagraph"/>
              <w:spacing w:before="10"/>
              <w:rPr>
                <w:b/>
                <w:sz w:val="19"/>
              </w:rPr>
            </w:pPr>
          </w:p>
          <w:p>
            <w:pPr>
              <w:pStyle w:val="TableParagraph"/>
              <w:ind w:left="485"/>
              <w:rPr>
                <w:sz w:val="16"/>
              </w:rPr>
            </w:pPr>
            <w:r>
              <w:rPr>
                <w:sz w:val="16"/>
              </w:rPr>
              <w:t>99° 44’ 00’’W</w:t>
            </w:r>
          </w:p>
          <w:p>
            <w:pPr>
              <w:pStyle w:val="TableParagraph"/>
              <w:spacing w:before="7"/>
              <w:rPr>
                <w:b/>
                <w:sz w:val="19"/>
              </w:rPr>
            </w:pPr>
          </w:p>
          <w:p>
            <w:pPr>
              <w:pStyle w:val="TableParagraph"/>
              <w:spacing w:before="1"/>
              <w:ind w:left="504"/>
              <w:rPr>
                <w:sz w:val="16"/>
              </w:rPr>
            </w:pPr>
            <w:r>
              <w:rPr>
                <w:sz w:val="16"/>
              </w:rPr>
              <w:t>19°10’ 00’’ N</w:t>
            </w:r>
          </w:p>
          <w:p>
            <w:pPr>
              <w:pStyle w:val="TableParagraph"/>
              <w:spacing w:before="10"/>
              <w:rPr>
                <w:b/>
                <w:sz w:val="19"/>
              </w:rPr>
            </w:pPr>
          </w:p>
          <w:p>
            <w:pPr>
              <w:pStyle w:val="TableParagraph"/>
              <w:ind w:left="485"/>
              <w:rPr>
                <w:sz w:val="16"/>
              </w:rPr>
            </w:pPr>
            <w:r>
              <w:rPr>
                <w:sz w:val="16"/>
              </w:rPr>
              <w:t>99° 29’ 00’’W</w:t>
            </w:r>
          </w:p>
        </w:tc>
      </w:tr>
      <w:tr>
        <w:trPr>
          <w:trHeight w:val="839" w:hRule="exact"/>
        </w:trPr>
        <w:tc>
          <w:tcPr>
            <w:tcW w:w="2335" w:type="dxa"/>
            <w:tcBorders>
              <w:top w:val="nil"/>
              <w:left w:val="nil"/>
              <w:bottom w:val="nil"/>
              <w:right w:val="nil"/>
            </w:tcBorders>
          </w:tcPr>
          <w:p>
            <w:pPr>
              <w:pStyle w:val="TableParagraph"/>
              <w:spacing w:before="112"/>
              <w:ind w:left="226" w:right="157"/>
              <w:jc w:val="center"/>
              <w:rPr>
                <w:sz w:val="16"/>
              </w:rPr>
            </w:pPr>
            <w:r>
              <w:rPr>
                <w:sz w:val="16"/>
              </w:rPr>
              <w:t>P29, P30, P31, P32, P39</w:t>
            </w:r>
          </w:p>
        </w:tc>
        <w:tc>
          <w:tcPr>
            <w:tcW w:w="2250" w:type="dxa"/>
            <w:tcBorders>
              <w:top w:val="nil"/>
              <w:left w:val="nil"/>
              <w:bottom w:val="nil"/>
              <w:right w:val="nil"/>
            </w:tcBorders>
          </w:tcPr>
          <w:p>
            <w:pPr>
              <w:pStyle w:val="TableParagraph"/>
              <w:spacing w:line="276" w:lineRule="auto" w:before="112"/>
              <w:ind w:left="288" w:right="196" w:firstLine="45"/>
              <w:rPr>
                <w:sz w:val="16"/>
              </w:rPr>
            </w:pPr>
            <w:r>
              <w:rPr>
                <w:sz w:val="16"/>
              </w:rPr>
              <w:t>Small to mid-sized , light brown to brown marbled**</w:t>
            </w:r>
          </w:p>
        </w:tc>
        <w:tc>
          <w:tcPr>
            <w:tcW w:w="1806" w:type="dxa"/>
            <w:tcBorders>
              <w:top w:val="nil"/>
              <w:left w:val="nil"/>
              <w:bottom w:val="nil"/>
              <w:right w:val="nil"/>
            </w:tcBorders>
          </w:tcPr>
          <w:p>
            <w:pPr>
              <w:pStyle w:val="TableParagraph"/>
              <w:spacing w:before="112"/>
              <w:ind w:left="105" w:right="131"/>
              <w:jc w:val="center"/>
              <w:rPr>
                <w:sz w:val="16"/>
              </w:rPr>
            </w:pPr>
            <w:r>
              <w:rPr>
                <w:sz w:val="16"/>
              </w:rPr>
              <w:t>Metepec</w:t>
            </w:r>
          </w:p>
        </w:tc>
        <w:tc>
          <w:tcPr>
            <w:tcW w:w="1483" w:type="dxa"/>
            <w:tcBorders>
              <w:top w:val="nil"/>
              <w:left w:val="nil"/>
              <w:bottom w:val="nil"/>
              <w:right w:val="nil"/>
            </w:tcBorders>
          </w:tcPr>
          <w:p>
            <w:pPr>
              <w:pStyle w:val="TableParagraph"/>
              <w:spacing w:before="112"/>
              <w:ind w:left="138" w:right="116"/>
              <w:jc w:val="center"/>
              <w:rPr>
                <w:sz w:val="16"/>
              </w:rPr>
            </w:pPr>
            <w:r>
              <w:rPr>
                <w:sz w:val="16"/>
              </w:rPr>
              <w:t>2635</w:t>
            </w:r>
          </w:p>
        </w:tc>
        <w:tc>
          <w:tcPr>
            <w:tcW w:w="1873" w:type="dxa"/>
            <w:tcBorders>
              <w:top w:val="nil"/>
              <w:left w:val="nil"/>
              <w:bottom w:val="nil"/>
              <w:right w:val="nil"/>
            </w:tcBorders>
          </w:tcPr>
          <w:p>
            <w:pPr>
              <w:pStyle w:val="TableParagraph"/>
              <w:spacing w:before="112"/>
              <w:ind w:left="485"/>
              <w:rPr>
                <w:sz w:val="16"/>
              </w:rPr>
            </w:pPr>
            <w:r>
              <w:rPr>
                <w:sz w:val="16"/>
              </w:rPr>
              <w:t>19° 15’ 04’’ N</w:t>
            </w:r>
          </w:p>
          <w:p>
            <w:pPr>
              <w:pStyle w:val="TableParagraph"/>
              <w:spacing w:before="10"/>
              <w:rPr>
                <w:b/>
                <w:sz w:val="19"/>
              </w:rPr>
            </w:pPr>
          </w:p>
          <w:p>
            <w:pPr>
              <w:pStyle w:val="TableParagraph"/>
              <w:ind w:left="485"/>
              <w:rPr>
                <w:sz w:val="16"/>
              </w:rPr>
            </w:pPr>
            <w:r>
              <w:rPr>
                <w:sz w:val="16"/>
              </w:rPr>
              <w:t>99° 36’ 17’’W</w:t>
            </w:r>
          </w:p>
        </w:tc>
      </w:tr>
      <w:tr>
        <w:trPr>
          <w:trHeight w:val="838" w:hRule="exact"/>
        </w:trPr>
        <w:tc>
          <w:tcPr>
            <w:tcW w:w="2335" w:type="dxa"/>
            <w:tcBorders>
              <w:top w:val="nil"/>
              <w:left w:val="nil"/>
              <w:bottom w:val="nil"/>
              <w:right w:val="nil"/>
            </w:tcBorders>
          </w:tcPr>
          <w:p>
            <w:pPr>
              <w:pStyle w:val="TableParagraph"/>
              <w:spacing w:before="113"/>
              <w:ind w:left="226" w:right="156"/>
              <w:jc w:val="center"/>
              <w:rPr>
                <w:sz w:val="16"/>
              </w:rPr>
            </w:pPr>
            <w:r>
              <w:rPr>
                <w:sz w:val="16"/>
              </w:rPr>
              <w:t>P36</w:t>
            </w:r>
          </w:p>
        </w:tc>
        <w:tc>
          <w:tcPr>
            <w:tcW w:w="2250" w:type="dxa"/>
            <w:tcBorders>
              <w:top w:val="nil"/>
              <w:left w:val="nil"/>
              <w:bottom w:val="nil"/>
              <w:right w:val="nil"/>
            </w:tcBorders>
          </w:tcPr>
          <w:p>
            <w:pPr>
              <w:pStyle w:val="TableParagraph"/>
              <w:spacing w:before="113"/>
              <w:ind w:left="314" w:right="105"/>
              <w:rPr>
                <w:sz w:val="16"/>
              </w:rPr>
            </w:pPr>
            <w:r>
              <w:rPr>
                <w:sz w:val="16"/>
              </w:rPr>
              <w:t>Mid-sized yellow to ,light</w:t>
            </w:r>
          </w:p>
          <w:p>
            <w:pPr>
              <w:pStyle w:val="TableParagraph"/>
              <w:spacing w:before="27"/>
              <w:ind w:left="1125" w:right="105"/>
              <w:rPr>
                <w:sz w:val="16"/>
              </w:rPr>
            </w:pPr>
            <w:r>
              <w:rPr>
                <w:sz w:val="16"/>
              </w:rPr>
              <w:t>brown head</w:t>
            </w:r>
          </w:p>
        </w:tc>
        <w:tc>
          <w:tcPr>
            <w:tcW w:w="1806" w:type="dxa"/>
            <w:tcBorders>
              <w:top w:val="nil"/>
              <w:left w:val="nil"/>
              <w:bottom w:val="nil"/>
              <w:right w:val="nil"/>
            </w:tcBorders>
          </w:tcPr>
          <w:p>
            <w:pPr>
              <w:pStyle w:val="TableParagraph"/>
              <w:spacing w:before="113"/>
              <w:ind w:left="105" w:right="130"/>
              <w:jc w:val="center"/>
              <w:rPr>
                <w:sz w:val="16"/>
              </w:rPr>
            </w:pPr>
            <w:r>
              <w:rPr>
                <w:sz w:val="16"/>
              </w:rPr>
              <w:t>Lerma</w:t>
            </w:r>
          </w:p>
        </w:tc>
        <w:tc>
          <w:tcPr>
            <w:tcW w:w="1483" w:type="dxa"/>
            <w:tcBorders>
              <w:top w:val="nil"/>
              <w:left w:val="nil"/>
              <w:bottom w:val="nil"/>
              <w:right w:val="nil"/>
            </w:tcBorders>
          </w:tcPr>
          <w:p>
            <w:pPr>
              <w:pStyle w:val="TableParagraph"/>
              <w:spacing w:before="113"/>
              <w:ind w:left="138" w:right="116"/>
              <w:jc w:val="center"/>
              <w:rPr>
                <w:sz w:val="16"/>
              </w:rPr>
            </w:pPr>
            <w:r>
              <w:rPr>
                <w:sz w:val="16"/>
              </w:rPr>
              <w:t>2570</w:t>
            </w:r>
          </w:p>
        </w:tc>
        <w:tc>
          <w:tcPr>
            <w:tcW w:w="1873" w:type="dxa"/>
            <w:tcBorders>
              <w:top w:val="nil"/>
              <w:left w:val="nil"/>
              <w:bottom w:val="nil"/>
              <w:right w:val="nil"/>
            </w:tcBorders>
          </w:tcPr>
          <w:p>
            <w:pPr>
              <w:pStyle w:val="TableParagraph"/>
              <w:spacing w:before="113"/>
              <w:ind w:left="485"/>
              <w:rPr>
                <w:sz w:val="16"/>
              </w:rPr>
            </w:pPr>
            <w:r>
              <w:rPr>
                <w:sz w:val="16"/>
              </w:rPr>
              <w:t>19° 17’ 05’’ N</w:t>
            </w:r>
          </w:p>
          <w:p>
            <w:pPr>
              <w:pStyle w:val="TableParagraph"/>
              <w:spacing w:before="7"/>
              <w:rPr>
                <w:b/>
                <w:sz w:val="19"/>
              </w:rPr>
            </w:pPr>
          </w:p>
          <w:p>
            <w:pPr>
              <w:pStyle w:val="TableParagraph"/>
              <w:spacing w:before="1"/>
              <w:ind w:left="485"/>
              <w:rPr>
                <w:sz w:val="16"/>
              </w:rPr>
            </w:pPr>
            <w:r>
              <w:rPr>
                <w:sz w:val="16"/>
              </w:rPr>
              <w:t>99° 30’ 43’’W</w:t>
            </w:r>
          </w:p>
        </w:tc>
      </w:tr>
      <w:tr>
        <w:trPr>
          <w:trHeight w:val="949" w:hRule="exact"/>
        </w:trPr>
        <w:tc>
          <w:tcPr>
            <w:tcW w:w="2335" w:type="dxa"/>
            <w:tcBorders>
              <w:top w:val="nil"/>
              <w:left w:val="nil"/>
              <w:right w:val="nil"/>
            </w:tcBorders>
          </w:tcPr>
          <w:p>
            <w:pPr>
              <w:pStyle w:val="TableParagraph"/>
              <w:spacing w:before="113"/>
              <w:ind w:left="226" w:right="156"/>
              <w:jc w:val="center"/>
              <w:rPr>
                <w:sz w:val="16"/>
              </w:rPr>
            </w:pPr>
            <w:r>
              <w:rPr>
                <w:sz w:val="16"/>
              </w:rPr>
              <w:t>P38</w:t>
            </w:r>
          </w:p>
        </w:tc>
        <w:tc>
          <w:tcPr>
            <w:tcW w:w="2250" w:type="dxa"/>
            <w:tcBorders>
              <w:top w:val="nil"/>
              <w:left w:val="nil"/>
              <w:right w:val="nil"/>
            </w:tcBorders>
          </w:tcPr>
          <w:p>
            <w:pPr>
              <w:pStyle w:val="TableParagraph"/>
              <w:spacing w:before="113"/>
              <w:ind w:left="189" w:right="105"/>
              <w:rPr>
                <w:sz w:val="16"/>
              </w:rPr>
            </w:pPr>
            <w:r>
              <w:rPr>
                <w:sz w:val="16"/>
              </w:rPr>
              <w:t>Small , yellow to ,light brown</w:t>
            </w:r>
          </w:p>
          <w:p>
            <w:pPr>
              <w:pStyle w:val="TableParagraph"/>
              <w:spacing w:before="27"/>
              <w:ind w:left="1349" w:right="105"/>
              <w:rPr>
                <w:sz w:val="16"/>
              </w:rPr>
            </w:pPr>
            <w:r>
              <w:rPr>
                <w:sz w:val="16"/>
              </w:rPr>
              <w:t>head</w:t>
            </w:r>
          </w:p>
        </w:tc>
        <w:tc>
          <w:tcPr>
            <w:tcW w:w="1806" w:type="dxa"/>
            <w:tcBorders>
              <w:top w:val="nil"/>
              <w:left w:val="nil"/>
              <w:right w:val="nil"/>
            </w:tcBorders>
          </w:tcPr>
          <w:p>
            <w:pPr>
              <w:pStyle w:val="TableParagraph"/>
              <w:spacing w:before="113"/>
              <w:ind w:left="105" w:right="135"/>
              <w:jc w:val="center"/>
              <w:rPr>
                <w:sz w:val="16"/>
              </w:rPr>
            </w:pPr>
            <w:r>
              <w:rPr>
                <w:sz w:val="16"/>
              </w:rPr>
              <w:t>San Felipe del Progreso</w:t>
            </w:r>
          </w:p>
        </w:tc>
        <w:tc>
          <w:tcPr>
            <w:tcW w:w="1483" w:type="dxa"/>
            <w:tcBorders>
              <w:top w:val="nil"/>
              <w:left w:val="nil"/>
              <w:right w:val="nil"/>
            </w:tcBorders>
          </w:tcPr>
          <w:p>
            <w:pPr>
              <w:pStyle w:val="TableParagraph"/>
              <w:spacing w:before="113"/>
              <w:ind w:left="138" w:right="116"/>
              <w:jc w:val="center"/>
              <w:rPr>
                <w:sz w:val="16"/>
              </w:rPr>
            </w:pPr>
            <w:r>
              <w:rPr>
                <w:sz w:val="16"/>
              </w:rPr>
              <w:t>2570-2650</w:t>
            </w:r>
          </w:p>
        </w:tc>
        <w:tc>
          <w:tcPr>
            <w:tcW w:w="1873" w:type="dxa"/>
            <w:tcBorders>
              <w:top w:val="nil"/>
              <w:left w:val="nil"/>
              <w:right w:val="nil"/>
            </w:tcBorders>
          </w:tcPr>
          <w:p>
            <w:pPr>
              <w:pStyle w:val="TableParagraph"/>
              <w:spacing w:before="113"/>
              <w:ind w:left="485"/>
              <w:rPr>
                <w:sz w:val="16"/>
              </w:rPr>
            </w:pPr>
            <w:r>
              <w:rPr>
                <w:sz w:val="16"/>
              </w:rPr>
              <w:t>19° 57’ 16’’ N</w:t>
            </w:r>
          </w:p>
          <w:p>
            <w:pPr>
              <w:pStyle w:val="TableParagraph"/>
              <w:spacing w:before="7"/>
              <w:rPr>
                <w:b/>
                <w:sz w:val="19"/>
              </w:rPr>
            </w:pPr>
          </w:p>
          <w:p>
            <w:pPr>
              <w:pStyle w:val="TableParagraph"/>
              <w:spacing w:before="1"/>
              <w:ind w:left="485"/>
              <w:rPr>
                <w:sz w:val="16"/>
              </w:rPr>
            </w:pPr>
            <w:r>
              <w:rPr>
                <w:sz w:val="16"/>
              </w:rPr>
              <w:t>99° 50’ 39’’W</w:t>
            </w:r>
          </w:p>
        </w:tc>
      </w:tr>
    </w:tbl>
    <w:p>
      <w:pPr>
        <w:spacing w:after="0"/>
        <w:rPr>
          <w:sz w:val="16"/>
        </w:rPr>
        <w:sectPr>
          <w:footerReference w:type="default" r:id="rId44"/>
          <w:pgSz w:w="12240" w:h="15840"/>
          <w:pgMar w:footer="1494" w:header="0" w:top="1440" w:bottom="1680" w:left="1480" w:right="780"/>
          <w:pgNumType w:start="44"/>
        </w:sectPr>
      </w:pPr>
    </w:p>
    <w:p>
      <w:pPr>
        <w:spacing w:before="44"/>
        <w:ind w:left="436" w:right="604" w:firstLine="0"/>
        <w:jc w:val="left"/>
        <w:rPr>
          <w:b/>
          <w:sz w:val="20"/>
        </w:rPr>
      </w:pPr>
      <w:r>
        <w:rPr>
          <w:b/>
          <w:sz w:val="20"/>
        </w:rPr>
        <w:t>Table 2. Results from amplification and polymorphism of 12 ISSR primers used in this study.</w:t>
      </w:r>
    </w:p>
    <w:p>
      <w:pPr>
        <w:pStyle w:val="BodyText"/>
        <w:rPr>
          <w:b/>
          <w:sz w:val="20"/>
        </w:rPr>
      </w:pPr>
    </w:p>
    <w:p>
      <w:pPr>
        <w:pStyle w:val="BodyText"/>
        <w:spacing w:before="2"/>
        <w:rPr>
          <w:b/>
        </w:rPr>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52"/>
        <w:gridCol w:w="1335"/>
        <w:gridCol w:w="1106"/>
        <w:gridCol w:w="1015"/>
        <w:gridCol w:w="1093"/>
        <w:gridCol w:w="1109"/>
        <w:gridCol w:w="1093"/>
        <w:gridCol w:w="1065"/>
        <w:gridCol w:w="993"/>
      </w:tblGrid>
      <w:tr>
        <w:trPr>
          <w:trHeight w:val="857" w:hRule="exact"/>
        </w:trPr>
        <w:tc>
          <w:tcPr>
            <w:tcW w:w="952" w:type="dxa"/>
            <w:tcBorders>
              <w:left w:val="nil"/>
              <w:right w:val="nil"/>
            </w:tcBorders>
          </w:tcPr>
          <w:p>
            <w:pPr>
              <w:pStyle w:val="TableParagraph"/>
              <w:spacing w:before="1"/>
              <w:rPr>
                <w:b/>
                <w:sz w:val="19"/>
              </w:rPr>
            </w:pPr>
          </w:p>
          <w:p>
            <w:pPr>
              <w:pStyle w:val="TableParagraph"/>
              <w:ind w:right="211"/>
              <w:jc w:val="right"/>
              <w:rPr>
                <w:b/>
                <w:sz w:val="16"/>
              </w:rPr>
            </w:pPr>
            <w:r>
              <w:rPr>
                <w:b/>
                <w:sz w:val="16"/>
              </w:rPr>
              <w:t>Primer</w:t>
            </w:r>
          </w:p>
        </w:tc>
        <w:tc>
          <w:tcPr>
            <w:tcW w:w="1335" w:type="dxa"/>
            <w:tcBorders>
              <w:left w:val="nil"/>
              <w:right w:val="nil"/>
            </w:tcBorders>
          </w:tcPr>
          <w:p>
            <w:pPr>
              <w:pStyle w:val="TableParagraph"/>
              <w:tabs>
                <w:tab w:pos="856" w:val="left" w:leader="none"/>
              </w:tabs>
              <w:spacing w:line="537" w:lineRule="auto" w:before="14"/>
              <w:ind w:left="231" w:right="288" w:firstLine="86"/>
              <w:rPr>
                <w:b/>
                <w:sz w:val="16"/>
              </w:rPr>
            </w:pPr>
            <w:r>
              <w:rPr>
                <w:b/>
                <w:sz w:val="16"/>
              </w:rPr>
              <w:t>Sequence (5’</w:t>
              <w:tab/>
              <w:t>3’)</w:t>
            </w:r>
          </w:p>
        </w:tc>
        <w:tc>
          <w:tcPr>
            <w:tcW w:w="1106" w:type="dxa"/>
            <w:tcBorders>
              <w:left w:val="nil"/>
              <w:right w:val="nil"/>
            </w:tcBorders>
          </w:tcPr>
          <w:p>
            <w:pPr>
              <w:pStyle w:val="TableParagraph"/>
              <w:spacing w:before="1"/>
              <w:rPr>
                <w:b/>
                <w:sz w:val="19"/>
              </w:rPr>
            </w:pPr>
          </w:p>
          <w:p>
            <w:pPr>
              <w:pStyle w:val="TableParagraph"/>
              <w:ind w:left="180" w:right="338"/>
              <w:jc w:val="center"/>
              <w:rPr>
                <w:b/>
                <w:sz w:val="16"/>
              </w:rPr>
            </w:pPr>
            <w:r>
              <w:rPr>
                <w:b/>
                <w:sz w:val="16"/>
              </w:rPr>
              <w:t>AT (°C)</w:t>
            </w:r>
          </w:p>
        </w:tc>
        <w:tc>
          <w:tcPr>
            <w:tcW w:w="1015" w:type="dxa"/>
            <w:tcBorders>
              <w:left w:val="nil"/>
              <w:right w:val="nil"/>
            </w:tcBorders>
          </w:tcPr>
          <w:p>
            <w:pPr>
              <w:pStyle w:val="TableParagraph"/>
              <w:spacing w:before="1"/>
              <w:rPr>
                <w:b/>
                <w:sz w:val="19"/>
              </w:rPr>
            </w:pPr>
          </w:p>
          <w:p>
            <w:pPr>
              <w:pStyle w:val="TableParagraph"/>
              <w:ind w:right="438"/>
              <w:jc w:val="right"/>
              <w:rPr>
                <w:b/>
                <w:sz w:val="16"/>
              </w:rPr>
            </w:pPr>
            <w:r>
              <w:rPr>
                <w:b/>
                <w:sz w:val="16"/>
              </w:rPr>
              <w:t>TB</w:t>
            </w:r>
          </w:p>
        </w:tc>
        <w:tc>
          <w:tcPr>
            <w:tcW w:w="1093" w:type="dxa"/>
            <w:tcBorders>
              <w:left w:val="nil"/>
              <w:right w:val="nil"/>
            </w:tcBorders>
          </w:tcPr>
          <w:p>
            <w:pPr>
              <w:pStyle w:val="TableParagraph"/>
              <w:spacing w:before="1"/>
              <w:rPr>
                <w:b/>
                <w:sz w:val="19"/>
              </w:rPr>
            </w:pPr>
          </w:p>
          <w:p>
            <w:pPr>
              <w:pStyle w:val="TableParagraph"/>
              <w:ind w:left="389" w:right="383"/>
              <w:jc w:val="center"/>
              <w:rPr>
                <w:b/>
                <w:sz w:val="16"/>
              </w:rPr>
            </w:pPr>
            <w:r>
              <w:rPr>
                <w:b/>
                <w:sz w:val="16"/>
              </w:rPr>
              <w:t>PB</w:t>
            </w:r>
          </w:p>
        </w:tc>
        <w:tc>
          <w:tcPr>
            <w:tcW w:w="1109" w:type="dxa"/>
            <w:tcBorders>
              <w:left w:val="nil"/>
              <w:right w:val="nil"/>
            </w:tcBorders>
          </w:tcPr>
          <w:p>
            <w:pPr>
              <w:pStyle w:val="TableParagraph"/>
              <w:spacing w:before="1"/>
              <w:rPr>
                <w:b/>
                <w:sz w:val="19"/>
              </w:rPr>
            </w:pPr>
          </w:p>
          <w:p>
            <w:pPr>
              <w:pStyle w:val="TableParagraph"/>
              <w:ind w:left="383" w:right="383"/>
              <w:jc w:val="center"/>
              <w:rPr>
                <w:b/>
                <w:sz w:val="16"/>
              </w:rPr>
            </w:pPr>
            <w:r>
              <w:rPr>
                <w:b/>
                <w:sz w:val="16"/>
              </w:rPr>
              <w:t>PPB</w:t>
            </w:r>
          </w:p>
        </w:tc>
        <w:tc>
          <w:tcPr>
            <w:tcW w:w="1093" w:type="dxa"/>
            <w:tcBorders>
              <w:left w:val="nil"/>
              <w:right w:val="nil"/>
            </w:tcBorders>
          </w:tcPr>
          <w:p>
            <w:pPr>
              <w:pStyle w:val="TableParagraph"/>
              <w:spacing w:before="1"/>
              <w:rPr>
                <w:b/>
                <w:sz w:val="19"/>
              </w:rPr>
            </w:pPr>
          </w:p>
          <w:p>
            <w:pPr>
              <w:pStyle w:val="TableParagraph"/>
              <w:ind w:left="440"/>
              <w:rPr>
                <w:b/>
                <w:sz w:val="16"/>
              </w:rPr>
            </w:pPr>
            <w:r>
              <w:rPr>
                <w:b/>
                <w:sz w:val="16"/>
              </w:rPr>
              <w:t>Rp</w:t>
            </w:r>
          </w:p>
        </w:tc>
        <w:tc>
          <w:tcPr>
            <w:tcW w:w="1065" w:type="dxa"/>
            <w:tcBorders>
              <w:left w:val="nil"/>
              <w:right w:val="nil"/>
            </w:tcBorders>
          </w:tcPr>
          <w:p>
            <w:pPr>
              <w:pStyle w:val="TableParagraph"/>
              <w:spacing w:before="1"/>
              <w:rPr>
                <w:b/>
                <w:sz w:val="19"/>
              </w:rPr>
            </w:pPr>
          </w:p>
          <w:p>
            <w:pPr>
              <w:pStyle w:val="TableParagraph"/>
              <w:ind w:right="374"/>
              <w:jc w:val="right"/>
              <w:rPr>
                <w:b/>
                <w:sz w:val="16"/>
              </w:rPr>
            </w:pPr>
            <w:r>
              <w:rPr>
                <w:b/>
                <w:sz w:val="16"/>
              </w:rPr>
              <w:t>PIC</w:t>
            </w:r>
          </w:p>
        </w:tc>
        <w:tc>
          <w:tcPr>
            <w:tcW w:w="993" w:type="dxa"/>
            <w:tcBorders>
              <w:left w:val="nil"/>
              <w:right w:val="nil"/>
            </w:tcBorders>
          </w:tcPr>
          <w:p>
            <w:pPr>
              <w:pStyle w:val="TableParagraph"/>
              <w:spacing w:before="1"/>
              <w:rPr>
                <w:b/>
                <w:sz w:val="19"/>
              </w:rPr>
            </w:pPr>
          </w:p>
          <w:p>
            <w:pPr>
              <w:pStyle w:val="TableParagraph"/>
              <w:ind w:left="353" w:right="318"/>
              <w:jc w:val="center"/>
              <w:rPr>
                <w:b/>
                <w:sz w:val="16"/>
              </w:rPr>
            </w:pPr>
            <w:r>
              <w:rPr>
                <w:b/>
                <w:sz w:val="16"/>
              </w:rPr>
              <w:t>MI</w:t>
            </w:r>
          </w:p>
        </w:tc>
      </w:tr>
      <w:tr>
        <w:trPr>
          <w:trHeight w:val="337" w:hRule="exact"/>
        </w:trPr>
        <w:tc>
          <w:tcPr>
            <w:tcW w:w="952" w:type="dxa"/>
            <w:tcBorders>
              <w:left w:val="nil"/>
              <w:bottom w:val="nil"/>
              <w:right w:val="nil"/>
            </w:tcBorders>
          </w:tcPr>
          <w:p>
            <w:pPr>
              <w:pStyle w:val="TableParagraph"/>
              <w:spacing w:before="14"/>
              <w:ind w:left="354" w:right="317"/>
              <w:jc w:val="center"/>
              <w:rPr>
                <w:sz w:val="16"/>
              </w:rPr>
            </w:pPr>
            <w:r>
              <w:rPr>
                <w:sz w:val="16"/>
              </w:rPr>
              <w:t>807</w:t>
            </w:r>
          </w:p>
        </w:tc>
        <w:tc>
          <w:tcPr>
            <w:tcW w:w="1335" w:type="dxa"/>
            <w:tcBorders>
              <w:left w:val="nil"/>
              <w:bottom w:val="nil"/>
              <w:right w:val="nil"/>
            </w:tcBorders>
          </w:tcPr>
          <w:p>
            <w:pPr>
              <w:pStyle w:val="TableParagraph"/>
              <w:spacing w:before="14"/>
              <w:ind w:left="118" w:right="173"/>
              <w:jc w:val="center"/>
              <w:rPr>
                <w:sz w:val="16"/>
              </w:rPr>
            </w:pPr>
            <w:r>
              <w:rPr>
                <w:sz w:val="16"/>
              </w:rPr>
              <w:t>(AG)8 T</w:t>
            </w:r>
          </w:p>
        </w:tc>
        <w:tc>
          <w:tcPr>
            <w:tcW w:w="1106" w:type="dxa"/>
            <w:tcBorders>
              <w:left w:val="nil"/>
              <w:bottom w:val="nil"/>
              <w:right w:val="nil"/>
            </w:tcBorders>
          </w:tcPr>
          <w:p>
            <w:pPr>
              <w:pStyle w:val="TableParagraph"/>
              <w:spacing w:before="14"/>
              <w:ind w:left="180" w:right="337"/>
              <w:jc w:val="center"/>
              <w:rPr>
                <w:sz w:val="16"/>
              </w:rPr>
            </w:pPr>
            <w:r>
              <w:rPr>
                <w:sz w:val="16"/>
              </w:rPr>
              <w:t>55</w:t>
            </w:r>
          </w:p>
        </w:tc>
        <w:tc>
          <w:tcPr>
            <w:tcW w:w="1015" w:type="dxa"/>
            <w:tcBorders>
              <w:left w:val="nil"/>
              <w:bottom w:val="nil"/>
              <w:right w:val="nil"/>
            </w:tcBorders>
          </w:tcPr>
          <w:p>
            <w:pPr>
              <w:pStyle w:val="TableParagraph"/>
              <w:spacing w:before="14"/>
              <w:ind w:right="465"/>
              <w:jc w:val="right"/>
              <w:rPr>
                <w:sz w:val="16"/>
              </w:rPr>
            </w:pPr>
            <w:r>
              <w:rPr>
                <w:sz w:val="16"/>
              </w:rPr>
              <w:t>11</w:t>
            </w:r>
          </w:p>
        </w:tc>
        <w:tc>
          <w:tcPr>
            <w:tcW w:w="1093" w:type="dxa"/>
            <w:tcBorders>
              <w:left w:val="nil"/>
              <w:bottom w:val="nil"/>
              <w:right w:val="nil"/>
            </w:tcBorders>
          </w:tcPr>
          <w:p>
            <w:pPr>
              <w:pStyle w:val="TableParagraph"/>
              <w:spacing w:before="14"/>
              <w:ind w:left="389" w:right="382"/>
              <w:jc w:val="center"/>
              <w:rPr>
                <w:sz w:val="16"/>
              </w:rPr>
            </w:pPr>
            <w:r>
              <w:rPr>
                <w:sz w:val="16"/>
              </w:rPr>
              <w:t>11</w:t>
            </w:r>
          </w:p>
        </w:tc>
        <w:tc>
          <w:tcPr>
            <w:tcW w:w="1109" w:type="dxa"/>
            <w:tcBorders>
              <w:left w:val="nil"/>
              <w:bottom w:val="nil"/>
              <w:right w:val="nil"/>
            </w:tcBorders>
          </w:tcPr>
          <w:p>
            <w:pPr>
              <w:pStyle w:val="TableParagraph"/>
              <w:spacing w:before="14"/>
              <w:ind w:left="383" w:right="383"/>
              <w:jc w:val="center"/>
              <w:rPr>
                <w:sz w:val="16"/>
              </w:rPr>
            </w:pPr>
            <w:r>
              <w:rPr>
                <w:sz w:val="16"/>
              </w:rPr>
              <w:t>100</w:t>
            </w:r>
          </w:p>
        </w:tc>
        <w:tc>
          <w:tcPr>
            <w:tcW w:w="1093" w:type="dxa"/>
            <w:tcBorders>
              <w:left w:val="nil"/>
              <w:bottom w:val="nil"/>
              <w:right w:val="nil"/>
            </w:tcBorders>
          </w:tcPr>
          <w:p>
            <w:pPr>
              <w:pStyle w:val="TableParagraph"/>
              <w:spacing w:before="14"/>
              <w:ind w:left="402"/>
              <w:rPr>
                <w:sz w:val="16"/>
              </w:rPr>
            </w:pPr>
            <w:r>
              <w:rPr>
                <w:sz w:val="16"/>
              </w:rPr>
              <w:t>4.00</w:t>
            </w:r>
          </w:p>
        </w:tc>
        <w:tc>
          <w:tcPr>
            <w:tcW w:w="1065" w:type="dxa"/>
            <w:tcBorders>
              <w:left w:val="nil"/>
              <w:bottom w:val="nil"/>
              <w:right w:val="nil"/>
            </w:tcBorders>
          </w:tcPr>
          <w:p>
            <w:pPr>
              <w:pStyle w:val="TableParagraph"/>
              <w:spacing w:before="14"/>
              <w:ind w:right="372"/>
              <w:jc w:val="right"/>
              <w:rPr>
                <w:sz w:val="16"/>
              </w:rPr>
            </w:pPr>
            <w:r>
              <w:rPr>
                <w:sz w:val="16"/>
              </w:rPr>
              <w:t>0.26</w:t>
            </w:r>
          </w:p>
        </w:tc>
        <w:tc>
          <w:tcPr>
            <w:tcW w:w="993" w:type="dxa"/>
            <w:tcBorders>
              <w:left w:val="nil"/>
              <w:bottom w:val="nil"/>
              <w:right w:val="nil"/>
            </w:tcBorders>
          </w:tcPr>
          <w:p>
            <w:pPr>
              <w:pStyle w:val="TableParagraph"/>
              <w:spacing w:before="14"/>
              <w:ind w:left="354" w:right="318"/>
              <w:jc w:val="center"/>
              <w:rPr>
                <w:sz w:val="16"/>
              </w:rPr>
            </w:pPr>
            <w:r>
              <w:rPr>
                <w:sz w:val="16"/>
              </w:rPr>
              <w:t>2.95</w:t>
            </w:r>
          </w:p>
        </w:tc>
      </w:tr>
      <w:tr>
        <w:trPr>
          <w:trHeight w:val="426"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808</w:t>
            </w:r>
          </w:p>
        </w:tc>
        <w:tc>
          <w:tcPr>
            <w:tcW w:w="1335" w:type="dxa"/>
            <w:tcBorders>
              <w:top w:val="nil"/>
              <w:left w:val="nil"/>
              <w:bottom w:val="nil"/>
              <w:right w:val="nil"/>
            </w:tcBorders>
          </w:tcPr>
          <w:p>
            <w:pPr>
              <w:pStyle w:val="TableParagraph"/>
              <w:spacing w:before="113"/>
              <w:ind w:left="118" w:right="173"/>
              <w:jc w:val="center"/>
              <w:rPr>
                <w:sz w:val="16"/>
              </w:rPr>
            </w:pPr>
            <w:r>
              <w:rPr>
                <w:sz w:val="16"/>
              </w:rPr>
              <w:t>(AG)8 C</w:t>
            </w:r>
          </w:p>
        </w:tc>
        <w:tc>
          <w:tcPr>
            <w:tcW w:w="1106" w:type="dxa"/>
            <w:tcBorders>
              <w:top w:val="nil"/>
              <w:left w:val="nil"/>
              <w:bottom w:val="nil"/>
              <w:right w:val="nil"/>
            </w:tcBorders>
          </w:tcPr>
          <w:p>
            <w:pPr>
              <w:pStyle w:val="TableParagraph"/>
              <w:spacing w:before="113"/>
              <w:ind w:left="180" w:right="337"/>
              <w:jc w:val="center"/>
              <w:rPr>
                <w:sz w:val="16"/>
              </w:rPr>
            </w:pPr>
            <w:r>
              <w:rPr>
                <w:sz w:val="16"/>
              </w:rPr>
              <w:t>52</w:t>
            </w:r>
          </w:p>
        </w:tc>
        <w:tc>
          <w:tcPr>
            <w:tcW w:w="1015" w:type="dxa"/>
            <w:tcBorders>
              <w:top w:val="nil"/>
              <w:left w:val="nil"/>
              <w:bottom w:val="nil"/>
              <w:right w:val="nil"/>
            </w:tcBorders>
          </w:tcPr>
          <w:p>
            <w:pPr>
              <w:pStyle w:val="TableParagraph"/>
              <w:spacing w:before="113"/>
              <w:ind w:right="81"/>
              <w:jc w:val="center"/>
              <w:rPr>
                <w:sz w:val="16"/>
              </w:rPr>
            </w:pPr>
            <w:r>
              <w:rPr>
                <w:w w:val="100"/>
                <w:sz w:val="16"/>
              </w:rPr>
              <w:t>7</w:t>
            </w:r>
          </w:p>
        </w:tc>
        <w:tc>
          <w:tcPr>
            <w:tcW w:w="1093" w:type="dxa"/>
            <w:tcBorders>
              <w:top w:val="nil"/>
              <w:left w:val="nil"/>
              <w:bottom w:val="nil"/>
              <w:right w:val="nil"/>
            </w:tcBorders>
          </w:tcPr>
          <w:p>
            <w:pPr>
              <w:pStyle w:val="TableParagraph"/>
              <w:spacing w:before="113"/>
              <w:ind w:left="6"/>
              <w:jc w:val="center"/>
              <w:rPr>
                <w:sz w:val="16"/>
              </w:rPr>
            </w:pPr>
            <w:r>
              <w:rPr>
                <w:w w:val="100"/>
                <w:sz w:val="16"/>
              </w:rPr>
              <w:t>6</w:t>
            </w:r>
          </w:p>
        </w:tc>
        <w:tc>
          <w:tcPr>
            <w:tcW w:w="1109" w:type="dxa"/>
            <w:tcBorders>
              <w:top w:val="nil"/>
              <w:left w:val="nil"/>
              <w:bottom w:val="nil"/>
              <w:right w:val="nil"/>
            </w:tcBorders>
          </w:tcPr>
          <w:p>
            <w:pPr>
              <w:pStyle w:val="TableParagraph"/>
              <w:spacing w:before="113"/>
              <w:ind w:left="383" w:right="383"/>
              <w:jc w:val="center"/>
              <w:rPr>
                <w:sz w:val="16"/>
              </w:rPr>
            </w:pPr>
            <w:r>
              <w:rPr>
                <w:sz w:val="16"/>
              </w:rPr>
              <w:t>85.7</w:t>
            </w:r>
          </w:p>
        </w:tc>
        <w:tc>
          <w:tcPr>
            <w:tcW w:w="1093" w:type="dxa"/>
            <w:tcBorders>
              <w:top w:val="nil"/>
              <w:left w:val="nil"/>
              <w:bottom w:val="nil"/>
              <w:right w:val="nil"/>
            </w:tcBorders>
          </w:tcPr>
          <w:p>
            <w:pPr>
              <w:pStyle w:val="TableParagraph"/>
              <w:spacing w:before="113"/>
              <w:ind w:left="402"/>
              <w:rPr>
                <w:sz w:val="16"/>
              </w:rPr>
            </w:pPr>
            <w:r>
              <w:rPr>
                <w:sz w:val="16"/>
              </w:rPr>
              <w:t>2.41</w:t>
            </w:r>
          </w:p>
        </w:tc>
        <w:tc>
          <w:tcPr>
            <w:tcW w:w="1065" w:type="dxa"/>
            <w:tcBorders>
              <w:top w:val="nil"/>
              <w:left w:val="nil"/>
              <w:bottom w:val="nil"/>
              <w:right w:val="nil"/>
            </w:tcBorders>
          </w:tcPr>
          <w:p>
            <w:pPr>
              <w:pStyle w:val="TableParagraph"/>
              <w:spacing w:before="113"/>
              <w:ind w:right="372"/>
              <w:jc w:val="right"/>
              <w:rPr>
                <w:sz w:val="16"/>
              </w:rPr>
            </w:pPr>
            <w:r>
              <w:rPr>
                <w:sz w:val="16"/>
              </w:rPr>
              <w:t>0.27</w:t>
            </w:r>
          </w:p>
        </w:tc>
        <w:tc>
          <w:tcPr>
            <w:tcW w:w="993" w:type="dxa"/>
            <w:tcBorders>
              <w:top w:val="nil"/>
              <w:left w:val="nil"/>
              <w:bottom w:val="nil"/>
              <w:right w:val="nil"/>
            </w:tcBorders>
          </w:tcPr>
          <w:p>
            <w:pPr>
              <w:pStyle w:val="TableParagraph"/>
              <w:spacing w:before="113"/>
              <w:ind w:left="354" w:right="318"/>
              <w:jc w:val="center"/>
              <w:rPr>
                <w:sz w:val="16"/>
              </w:rPr>
            </w:pPr>
            <w:r>
              <w:rPr>
                <w:sz w:val="16"/>
              </w:rPr>
              <w:t>1.63</w:t>
            </w:r>
          </w:p>
        </w:tc>
      </w:tr>
      <w:tr>
        <w:trPr>
          <w:trHeight w:val="426" w:hRule="exact"/>
        </w:trPr>
        <w:tc>
          <w:tcPr>
            <w:tcW w:w="952" w:type="dxa"/>
            <w:tcBorders>
              <w:top w:val="nil"/>
              <w:left w:val="nil"/>
              <w:bottom w:val="nil"/>
              <w:right w:val="nil"/>
            </w:tcBorders>
          </w:tcPr>
          <w:p>
            <w:pPr>
              <w:pStyle w:val="TableParagraph"/>
              <w:spacing w:before="112"/>
              <w:ind w:left="354" w:right="317"/>
              <w:jc w:val="center"/>
              <w:rPr>
                <w:sz w:val="16"/>
              </w:rPr>
            </w:pPr>
            <w:r>
              <w:rPr>
                <w:sz w:val="16"/>
              </w:rPr>
              <w:t>810</w:t>
            </w:r>
          </w:p>
        </w:tc>
        <w:tc>
          <w:tcPr>
            <w:tcW w:w="1335" w:type="dxa"/>
            <w:tcBorders>
              <w:top w:val="nil"/>
              <w:left w:val="nil"/>
              <w:bottom w:val="nil"/>
              <w:right w:val="nil"/>
            </w:tcBorders>
          </w:tcPr>
          <w:p>
            <w:pPr>
              <w:pStyle w:val="TableParagraph"/>
              <w:spacing w:before="112"/>
              <w:ind w:left="118" w:right="173"/>
              <w:jc w:val="center"/>
              <w:rPr>
                <w:sz w:val="16"/>
              </w:rPr>
            </w:pPr>
            <w:r>
              <w:rPr>
                <w:sz w:val="16"/>
              </w:rPr>
              <w:t>(GA)8 T</w:t>
            </w:r>
          </w:p>
        </w:tc>
        <w:tc>
          <w:tcPr>
            <w:tcW w:w="1106" w:type="dxa"/>
            <w:tcBorders>
              <w:top w:val="nil"/>
              <w:left w:val="nil"/>
              <w:bottom w:val="nil"/>
              <w:right w:val="nil"/>
            </w:tcBorders>
          </w:tcPr>
          <w:p>
            <w:pPr>
              <w:pStyle w:val="TableParagraph"/>
              <w:spacing w:before="112"/>
              <w:ind w:left="180" w:right="337"/>
              <w:jc w:val="center"/>
              <w:rPr>
                <w:sz w:val="16"/>
              </w:rPr>
            </w:pPr>
            <w:r>
              <w:rPr>
                <w:sz w:val="16"/>
              </w:rPr>
              <w:t>51</w:t>
            </w:r>
          </w:p>
        </w:tc>
        <w:tc>
          <w:tcPr>
            <w:tcW w:w="1015" w:type="dxa"/>
            <w:tcBorders>
              <w:top w:val="nil"/>
              <w:left w:val="nil"/>
              <w:bottom w:val="nil"/>
              <w:right w:val="nil"/>
            </w:tcBorders>
          </w:tcPr>
          <w:p>
            <w:pPr>
              <w:pStyle w:val="TableParagraph"/>
              <w:spacing w:before="112"/>
              <w:ind w:right="465"/>
              <w:jc w:val="right"/>
              <w:rPr>
                <w:sz w:val="16"/>
              </w:rPr>
            </w:pPr>
            <w:r>
              <w:rPr>
                <w:sz w:val="16"/>
              </w:rPr>
              <w:t>12</w:t>
            </w:r>
          </w:p>
        </w:tc>
        <w:tc>
          <w:tcPr>
            <w:tcW w:w="1093" w:type="dxa"/>
            <w:tcBorders>
              <w:top w:val="nil"/>
              <w:left w:val="nil"/>
              <w:bottom w:val="nil"/>
              <w:right w:val="nil"/>
            </w:tcBorders>
          </w:tcPr>
          <w:p>
            <w:pPr>
              <w:pStyle w:val="TableParagraph"/>
              <w:spacing w:before="112"/>
              <w:ind w:left="389" w:right="382"/>
              <w:jc w:val="center"/>
              <w:rPr>
                <w:sz w:val="16"/>
              </w:rPr>
            </w:pPr>
            <w:r>
              <w:rPr>
                <w:sz w:val="16"/>
              </w:rPr>
              <w:t>12</w:t>
            </w:r>
          </w:p>
        </w:tc>
        <w:tc>
          <w:tcPr>
            <w:tcW w:w="1109" w:type="dxa"/>
            <w:tcBorders>
              <w:top w:val="nil"/>
              <w:left w:val="nil"/>
              <w:bottom w:val="nil"/>
              <w:right w:val="nil"/>
            </w:tcBorders>
          </w:tcPr>
          <w:p>
            <w:pPr>
              <w:pStyle w:val="TableParagraph"/>
              <w:spacing w:before="112"/>
              <w:ind w:left="383" w:right="383"/>
              <w:jc w:val="center"/>
              <w:rPr>
                <w:sz w:val="16"/>
              </w:rPr>
            </w:pPr>
            <w:r>
              <w:rPr>
                <w:sz w:val="16"/>
              </w:rPr>
              <w:t>100</w:t>
            </w:r>
          </w:p>
        </w:tc>
        <w:tc>
          <w:tcPr>
            <w:tcW w:w="1093" w:type="dxa"/>
            <w:tcBorders>
              <w:top w:val="nil"/>
              <w:left w:val="nil"/>
              <w:bottom w:val="nil"/>
              <w:right w:val="nil"/>
            </w:tcBorders>
          </w:tcPr>
          <w:p>
            <w:pPr>
              <w:pStyle w:val="TableParagraph"/>
              <w:spacing w:before="112"/>
              <w:ind w:left="402"/>
              <w:rPr>
                <w:sz w:val="16"/>
              </w:rPr>
            </w:pPr>
            <w:r>
              <w:rPr>
                <w:sz w:val="16"/>
              </w:rPr>
              <w:t>5.43</w:t>
            </w:r>
          </w:p>
        </w:tc>
        <w:tc>
          <w:tcPr>
            <w:tcW w:w="1065" w:type="dxa"/>
            <w:tcBorders>
              <w:top w:val="nil"/>
              <w:left w:val="nil"/>
              <w:bottom w:val="nil"/>
              <w:right w:val="nil"/>
            </w:tcBorders>
          </w:tcPr>
          <w:p>
            <w:pPr>
              <w:pStyle w:val="TableParagraph"/>
              <w:spacing w:before="112"/>
              <w:ind w:right="372"/>
              <w:jc w:val="right"/>
              <w:rPr>
                <w:sz w:val="16"/>
              </w:rPr>
            </w:pPr>
            <w:r>
              <w:rPr>
                <w:sz w:val="16"/>
              </w:rPr>
              <w:t>0.29</w:t>
            </w:r>
          </w:p>
        </w:tc>
        <w:tc>
          <w:tcPr>
            <w:tcW w:w="993" w:type="dxa"/>
            <w:tcBorders>
              <w:top w:val="nil"/>
              <w:left w:val="nil"/>
              <w:bottom w:val="nil"/>
              <w:right w:val="nil"/>
            </w:tcBorders>
          </w:tcPr>
          <w:p>
            <w:pPr>
              <w:pStyle w:val="TableParagraph"/>
              <w:spacing w:before="112"/>
              <w:ind w:left="354" w:right="318"/>
              <w:jc w:val="center"/>
              <w:rPr>
                <w:sz w:val="16"/>
              </w:rPr>
            </w:pPr>
            <w:r>
              <w:rPr>
                <w:sz w:val="16"/>
              </w:rPr>
              <w:t>3.57</w:t>
            </w:r>
          </w:p>
        </w:tc>
      </w:tr>
      <w:tr>
        <w:trPr>
          <w:trHeight w:val="427"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811</w:t>
            </w:r>
          </w:p>
        </w:tc>
        <w:tc>
          <w:tcPr>
            <w:tcW w:w="1335" w:type="dxa"/>
            <w:tcBorders>
              <w:top w:val="nil"/>
              <w:left w:val="nil"/>
              <w:bottom w:val="nil"/>
              <w:right w:val="nil"/>
            </w:tcBorders>
          </w:tcPr>
          <w:p>
            <w:pPr>
              <w:pStyle w:val="TableParagraph"/>
              <w:spacing w:before="113"/>
              <w:ind w:left="118" w:right="173"/>
              <w:jc w:val="center"/>
              <w:rPr>
                <w:sz w:val="16"/>
              </w:rPr>
            </w:pPr>
            <w:r>
              <w:rPr>
                <w:sz w:val="16"/>
              </w:rPr>
              <w:t>(GA)8 C</w:t>
            </w:r>
          </w:p>
        </w:tc>
        <w:tc>
          <w:tcPr>
            <w:tcW w:w="1106" w:type="dxa"/>
            <w:tcBorders>
              <w:top w:val="nil"/>
              <w:left w:val="nil"/>
              <w:bottom w:val="nil"/>
              <w:right w:val="nil"/>
            </w:tcBorders>
          </w:tcPr>
          <w:p>
            <w:pPr>
              <w:pStyle w:val="TableParagraph"/>
              <w:spacing w:before="113"/>
              <w:ind w:left="180" w:right="337"/>
              <w:jc w:val="center"/>
              <w:rPr>
                <w:sz w:val="16"/>
              </w:rPr>
            </w:pPr>
            <w:r>
              <w:rPr>
                <w:sz w:val="16"/>
              </w:rPr>
              <w:t>53</w:t>
            </w:r>
          </w:p>
        </w:tc>
        <w:tc>
          <w:tcPr>
            <w:tcW w:w="1015" w:type="dxa"/>
            <w:tcBorders>
              <w:top w:val="nil"/>
              <w:left w:val="nil"/>
              <w:bottom w:val="nil"/>
              <w:right w:val="nil"/>
            </w:tcBorders>
          </w:tcPr>
          <w:p>
            <w:pPr>
              <w:pStyle w:val="TableParagraph"/>
              <w:spacing w:before="113"/>
              <w:ind w:right="81"/>
              <w:jc w:val="center"/>
              <w:rPr>
                <w:sz w:val="16"/>
              </w:rPr>
            </w:pPr>
            <w:r>
              <w:rPr>
                <w:w w:val="100"/>
                <w:sz w:val="16"/>
              </w:rPr>
              <w:t>9</w:t>
            </w:r>
          </w:p>
        </w:tc>
        <w:tc>
          <w:tcPr>
            <w:tcW w:w="1093" w:type="dxa"/>
            <w:tcBorders>
              <w:top w:val="nil"/>
              <w:left w:val="nil"/>
              <w:bottom w:val="nil"/>
              <w:right w:val="nil"/>
            </w:tcBorders>
          </w:tcPr>
          <w:p>
            <w:pPr>
              <w:pStyle w:val="TableParagraph"/>
              <w:spacing w:before="113"/>
              <w:ind w:left="6"/>
              <w:jc w:val="center"/>
              <w:rPr>
                <w:sz w:val="16"/>
              </w:rPr>
            </w:pPr>
            <w:r>
              <w:rPr>
                <w:w w:val="100"/>
                <w:sz w:val="16"/>
              </w:rPr>
              <w:t>9</w:t>
            </w:r>
          </w:p>
        </w:tc>
        <w:tc>
          <w:tcPr>
            <w:tcW w:w="1109" w:type="dxa"/>
            <w:tcBorders>
              <w:top w:val="nil"/>
              <w:left w:val="nil"/>
              <w:bottom w:val="nil"/>
              <w:right w:val="nil"/>
            </w:tcBorders>
          </w:tcPr>
          <w:p>
            <w:pPr>
              <w:pStyle w:val="TableParagraph"/>
              <w:spacing w:before="113"/>
              <w:ind w:left="383" w:right="383"/>
              <w:jc w:val="center"/>
              <w:rPr>
                <w:sz w:val="16"/>
              </w:rPr>
            </w:pPr>
            <w:r>
              <w:rPr>
                <w:sz w:val="16"/>
              </w:rPr>
              <w:t>100</w:t>
            </w:r>
          </w:p>
        </w:tc>
        <w:tc>
          <w:tcPr>
            <w:tcW w:w="1093" w:type="dxa"/>
            <w:tcBorders>
              <w:top w:val="nil"/>
              <w:left w:val="nil"/>
              <w:bottom w:val="nil"/>
              <w:right w:val="nil"/>
            </w:tcBorders>
          </w:tcPr>
          <w:p>
            <w:pPr>
              <w:pStyle w:val="TableParagraph"/>
              <w:spacing w:before="113"/>
              <w:ind w:left="402"/>
              <w:rPr>
                <w:sz w:val="16"/>
              </w:rPr>
            </w:pPr>
            <w:r>
              <w:rPr>
                <w:sz w:val="16"/>
              </w:rPr>
              <w:t>3.17</w:t>
            </w:r>
          </w:p>
        </w:tc>
        <w:tc>
          <w:tcPr>
            <w:tcW w:w="1065" w:type="dxa"/>
            <w:tcBorders>
              <w:top w:val="nil"/>
              <w:left w:val="nil"/>
              <w:bottom w:val="nil"/>
              <w:right w:val="nil"/>
            </w:tcBorders>
          </w:tcPr>
          <w:p>
            <w:pPr>
              <w:pStyle w:val="TableParagraph"/>
              <w:spacing w:before="113"/>
              <w:ind w:right="372"/>
              <w:jc w:val="right"/>
              <w:rPr>
                <w:sz w:val="16"/>
              </w:rPr>
            </w:pPr>
            <w:r>
              <w:rPr>
                <w:sz w:val="16"/>
              </w:rPr>
              <w:t>0.27</w:t>
            </w:r>
          </w:p>
        </w:tc>
        <w:tc>
          <w:tcPr>
            <w:tcW w:w="993" w:type="dxa"/>
            <w:tcBorders>
              <w:top w:val="nil"/>
              <w:left w:val="nil"/>
              <w:bottom w:val="nil"/>
              <w:right w:val="nil"/>
            </w:tcBorders>
          </w:tcPr>
          <w:p>
            <w:pPr>
              <w:pStyle w:val="TableParagraph"/>
              <w:spacing w:before="113"/>
              <w:ind w:left="354" w:right="318"/>
              <w:jc w:val="center"/>
              <w:rPr>
                <w:sz w:val="16"/>
              </w:rPr>
            </w:pPr>
            <w:r>
              <w:rPr>
                <w:sz w:val="16"/>
              </w:rPr>
              <w:t>2.44</w:t>
            </w:r>
          </w:p>
        </w:tc>
      </w:tr>
      <w:tr>
        <w:trPr>
          <w:trHeight w:val="428"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812</w:t>
            </w:r>
          </w:p>
        </w:tc>
        <w:tc>
          <w:tcPr>
            <w:tcW w:w="1335" w:type="dxa"/>
            <w:tcBorders>
              <w:top w:val="nil"/>
              <w:left w:val="nil"/>
              <w:bottom w:val="nil"/>
              <w:right w:val="nil"/>
            </w:tcBorders>
          </w:tcPr>
          <w:p>
            <w:pPr>
              <w:pStyle w:val="TableParagraph"/>
              <w:spacing w:before="113"/>
              <w:ind w:left="118" w:right="174"/>
              <w:jc w:val="center"/>
              <w:rPr>
                <w:sz w:val="16"/>
              </w:rPr>
            </w:pPr>
            <w:r>
              <w:rPr>
                <w:sz w:val="16"/>
              </w:rPr>
              <w:t>(GA)8 A</w:t>
            </w:r>
          </w:p>
        </w:tc>
        <w:tc>
          <w:tcPr>
            <w:tcW w:w="1106" w:type="dxa"/>
            <w:tcBorders>
              <w:top w:val="nil"/>
              <w:left w:val="nil"/>
              <w:bottom w:val="nil"/>
              <w:right w:val="nil"/>
            </w:tcBorders>
          </w:tcPr>
          <w:p>
            <w:pPr>
              <w:pStyle w:val="TableParagraph"/>
              <w:spacing w:before="113"/>
              <w:ind w:left="180" w:right="337"/>
              <w:jc w:val="center"/>
              <w:rPr>
                <w:sz w:val="16"/>
              </w:rPr>
            </w:pPr>
            <w:r>
              <w:rPr>
                <w:sz w:val="16"/>
              </w:rPr>
              <w:t>54</w:t>
            </w:r>
          </w:p>
        </w:tc>
        <w:tc>
          <w:tcPr>
            <w:tcW w:w="1015" w:type="dxa"/>
            <w:tcBorders>
              <w:top w:val="nil"/>
              <w:left w:val="nil"/>
              <w:bottom w:val="nil"/>
              <w:right w:val="nil"/>
            </w:tcBorders>
          </w:tcPr>
          <w:p>
            <w:pPr>
              <w:pStyle w:val="TableParagraph"/>
              <w:spacing w:before="113"/>
              <w:ind w:right="81"/>
              <w:jc w:val="center"/>
              <w:rPr>
                <w:sz w:val="16"/>
              </w:rPr>
            </w:pPr>
            <w:r>
              <w:rPr>
                <w:w w:val="100"/>
                <w:sz w:val="16"/>
              </w:rPr>
              <w:t>7</w:t>
            </w:r>
          </w:p>
        </w:tc>
        <w:tc>
          <w:tcPr>
            <w:tcW w:w="1093" w:type="dxa"/>
            <w:tcBorders>
              <w:top w:val="nil"/>
              <w:left w:val="nil"/>
              <w:bottom w:val="nil"/>
              <w:right w:val="nil"/>
            </w:tcBorders>
          </w:tcPr>
          <w:p>
            <w:pPr>
              <w:pStyle w:val="TableParagraph"/>
              <w:spacing w:before="113"/>
              <w:ind w:left="6"/>
              <w:jc w:val="center"/>
              <w:rPr>
                <w:sz w:val="16"/>
              </w:rPr>
            </w:pPr>
            <w:r>
              <w:rPr>
                <w:w w:val="100"/>
                <w:sz w:val="16"/>
              </w:rPr>
              <w:t>5</w:t>
            </w:r>
          </w:p>
        </w:tc>
        <w:tc>
          <w:tcPr>
            <w:tcW w:w="1109" w:type="dxa"/>
            <w:tcBorders>
              <w:top w:val="nil"/>
              <w:left w:val="nil"/>
              <w:bottom w:val="nil"/>
              <w:right w:val="nil"/>
            </w:tcBorders>
          </w:tcPr>
          <w:p>
            <w:pPr>
              <w:pStyle w:val="TableParagraph"/>
              <w:spacing w:before="113"/>
              <w:ind w:left="383" w:right="383"/>
              <w:jc w:val="center"/>
              <w:rPr>
                <w:sz w:val="16"/>
              </w:rPr>
            </w:pPr>
            <w:r>
              <w:rPr>
                <w:sz w:val="16"/>
              </w:rPr>
              <w:t>71.4</w:t>
            </w:r>
          </w:p>
        </w:tc>
        <w:tc>
          <w:tcPr>
            <w:tcW w:w="1093" w:type="dxa"/>
            <w:tcBorders>
              <w:top w:val="nil"/>
              <w:left w:val="nil"/>
              <w:bottom w:val="nil"/>
              <w:right w:val="nil"/>
            </w:tcBorders>
          </w:tcPr>
          <w:p>
            <w:pPr>
              <w:pStyle w:val="TableParagraph"/>
              <w:spacing w:before="113"/>
              <w:ind w:left="402"/>
              <w:rPr>
                <w:sz w:val="16"/>
              </w:rPr>
            </w:pPr>
            <w:r>
              <w:rPr>
                <w:sz w:val="16"/>
              </w:rPr>
              <w:t>1.84</w:t>
            </w:r>
          </w:p>
        </w:tc>
        <w:tc>
          <w:tcPr>
            <w:tcW w:w="1065" w:type="dxa"/>
            <w:tcBorders>
              <w:top w:val="nil"/>
              <w:left w:val="nil"/>
              <w:bottom w:val="nil"/>
              <w:right w:val="nil"/>
            </w:tcBorders>
          </w:tcPr>
          <w:p>
            <w:pPr>
              <w:pStyle w:val="TableParagraph"/>
              <w:spacing w:before="113"/>
              <w:ind w:right="372"/>
              <w:jc w:val="right"/>
              <w:rPr>
                <w:sz w:val="16"/>
              </w:rPr>
            </w:pPr>
            <w:r>
              <w:rPr>
                <w:sz w:val="16"/>
              </w:rPr>
              <w:t>0.24</w:t>
            </w:r>
          </w:p>
        </w:tc>
        <w:tc>
          <w:tcPr>
            <w:tcW w:w="993" w:type="dxa"/>
            <w:tcBorders>
              <w:top w:val="nil"/>
              <w:left w:val="nil"/>
              <w:bottom w:val="nil"/>
              <w:right w:val="nil"/>
            </w:tcBorders>
          </w:tcPr>
          <w:p>
            <w:pPr>
              <w:pStyle w:val="TableParagraph"/>
              <w:spacing w:before="113"/>
              <w:ind w:left="354" w:right="318"/>
              <w:jc w:val="center"/>
              <w:rPr>
                <w:sz w:val="16"/>
              </w:rPr>
            </w:pPr>
            <w:r>
              <w:rPr>
                <w:sz w:val="16"/>
              </w:rPr>
              <w:t>1.23</w:t>
            </w:r>
          </w:p>
        </w:tc>
      </w:tr>
      <w:tr>
        <w:trPr>
          <w:trHeight w:val="426"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818</w:t>
            </w:r>
          </w:p>
        </w:tc>
        <w:tc>
          <w:tcPr>
            <w:tcW w:w="1335" w:type="dxa"/>
            <w:tcBorders>
              <w:top w:val="nil"/>
              <w:left w:val="nil"/>
              <w:bottom w:val="nil"/>
              <w:right w:val="nil"/>
            </w:tcBorders>
          </w:tcPr>
          <w:p>
            <w:pPr>
              <w:pStyle w:val="TableParagraph"/>
              <w:spacing w:before="113"/>
              <w:ind w:left="118" w:right="174"/>
              <w:jc w:val="center"/>
              <w:rPr>
                <w:sz w:val="16"/>
              </w:rPr>
            </w:pPr>
            <w:r>
              <w:rPr>
                <w:sz w:val="16"/>
              </w:rPr>
              <w:t>(CA)8 G</w:t>
            </w:r>
          </w:p>
        </w:tc>
        <w:tc>
          <w:tcPr>
            <w:tcW w:w="1106" w:type="dxa"/>
            <w:tcBorders>
              <w:top w:val="nil"/>
              <w:left w:val="nil"/>
              <w:bottom w:val="nil"/>
              <w:right w:val="nil"/>
            </w:tcBorders>
          </w:tcPr>
          <w:p>
            <w:pPr>
              <w:pStyle w:val="TableParagraph"/>
              <w:spacing w:before="113"/>
              <w:ind w:left="180" w:right="337"/>
              <w:jc w:val="center"/>
              <w:rPr>
                <w:sz w:val="16"/>
              </w:rPr>
            </w:pPr>
            <w:r>
              <w:rPr>
                <w:sz w:val="16"/>
              </w:rPr>
              <w:t>55</w:t>
            </w:r>
          </w:p>
        </w:tc>
        <w:tc>
          <w:tcPr>
            <w:tcW w:w="1015" w:type="dxa"/>
            <w:tcBorders>
              <w:top w:val="nil"/>
              <w:left w:val="nil"/>
              <w:bottom w:val="nil"/>
              <w:right w:val="nil"/>
            </w:tcBorders>
          </w:tcPr>
          <w:p>
            <w:pPr>
              <w:pStyle w:val="TableParagraph"/>
              <w:spacing w:before="113"/>
              <w:ind w:right="81"/>
              <w:jc w:val="center"/>
              <w:rPr>
                <w:sz w:val="16"/>
              </w:rPr>
            </w:pPr>
            <w:r>
              <w:rPr>
                <w:w w:val="100"/>
                <w:sz w:val="16"/>
              </w:rPr>
              <w:t>7</w:t>
            </w:r>
          </w:p>
        </w:tc>
        <w:tc>
          <w:tcPr>
            <w:tcW w:w="1093" w:type="dxa"/>
            <w:tcBorders>
              <w:top w:val="nil"/>
              <w:left w:val="nil"/>
              <w:bottom w:val="nil"/>
              <w:right w:val="nil"/>
            </w:tcBorders>
          </w:tcPr>
          <w:p>
            <w:pPr>
              <w:pStyle w:val="TableParagraph"/>
              <w:spacing w:before="113"/>
              <w:ind w:left="6"/>
              <w:jc w:val="center"/>
              <w:rPr>
                <w:sz w:val="16"/>
              </w:rPr>
            </w:pPr>
            <w:r>
              <w:rPr>
                <w:w w:val="100"/>
                <w:sz w:val="16"/>
              </w:rPr>
              <w:t>5</w:t>
            </w:r>
          </w:p>
        </w:tc>
        <w:tc>
          <w:tcPr>
            <w:tcW w:w="1109" w:type="dxa"/>
            <w:tcBorders>
              <w:top w:val="nil"/>
              <w:left w:val="nil"/>
              <w:bottom w:val="nil"/>
              <w:right w:val="nil"/>
            </w:tcBorders>
          </w:tcPr>
          <w:p>
            <w:pPr>
              <w:pStyle w:val="TableParagraph"/>
              <w:spacing w:before="113"/>
              <w:ind w:left="383" w:right="383"/>
              <w:jc w:val="center"/>
              <w:rPr>
                <w:sz w:val="16"/>
              </w:rPr>
            </w:pPr>
            <w:r>
              <w:rPr>
                <w:sz w:val="16"/>
              </w:rPr>
              <w:t>71.4</w:t>
            </w:r>
          </w:p>
        </w:tc>
        <w:tc>
          <w:tcPr>
            <w:tcW w:w="1093" w:type="dxa"/>
            <w:tcBorders>
              <w:top w:val="nil"/>
              <w:left w:val="nil"/>
              <w:bottom w:val="nil"/>
              <w:right w:val="nil"/>
            </w:tcBorders>
          </w:tcPr>
          <w:p>
            <w:pPr>
              <w:pStyle w:val="TableParagraph"/>
              <w:spacing w:before="113"/>
              <w:ind w:left="402"/>
              <w:rPr>
                <w:sz w:val="16"/>
              </w:rPr>
            </w:pPr>
            <w:r>
              <w:rPr>
                <w:sz w:val="16"/>
              </w:rPr>
              <w:t>1.07</w:t>
            </w:r>
          </w:p>
        </w:tc>
        <w:tc>
          <w:tcPr>
            <w:tcW w:w="1065" w:type="dxa"/>
            <w:tcBorders>
              <w:top w:val="nil"/>
              <w:left w:val="nil"/>
              <w:bottom w:val="nil"/>
              <w:right w:val="nil"/>
            </w:tcBorders>
          </w:tcPr>
          <w:p>
            <w:pPr>
              <w:pStyle w:val="TableParagraph"/>
              <w:spacing w:before="113"/>
              <w:ind w:right="372"/>
              <w:jc w:val="right"/>
              <w:rPr>
                <w:sz w:val="16"/>
              </w:rPr>
            </w:pPr>
            <w:r>
              <w:rPr>
                <w:sz w:val="16"/>
              </w:rPr>
              <w:t>0.18</w:t>
            </w:r>
          </w:p>
        </w:tc>
        <w:tc>
          <w:tcPr>
            <w:tcW w:w="993" w:type="dxa"/>
            <w:tcBorders>
              <w:top w:val="nil"/>
              <w:left w:val="nil"/>
              <w:bottom w:val="nil"/>
              <w:right w:val="nil"/>
            </w:tcBorders>
          </w:tcPr>
          <w:p>
            <w:pPr>
              <w:pStyle w:val="TableParagraph"/>
              <w:spacing w:before="113"/>
              <w:ind w:left="354" w:right="318"/>
              <w:jc w:val="center"/>
              <w:rPr>
                <w:sz w:val="16"/>
              </w:rPr>
            </w:pPr>
            <w:r>
              <w:rPr>
                <w:sz w:val="16"/>
              </w:rPr>
              <w:t>0.92</w:t>
            </w:r>
          </w:p>
        </w:tc>
      </w:tr>
      <w:tr>
        <w:trPr>
          <w:trHeight w:val="426" w:hRule="exact"/>
        </w:trPr>
        <w:tc>
          <w:tcPr>
            <w:tcW w:w="952" w:type="dxa"/>
            <w:tcBorders>
              <w:top w:val="nil"/>
              <w:left w:val="nil"/>
              <w:bottom w:val="nil"/>
              <w:right w:val="nil"/>
            </w:tcBorders>
          </w:tcPr>
          <w:p>
            <w:pPr>
              <w:pStyle w:val="TableParagraph"/>
              <w:spacing w:before="112"/>
              <w:ind w:left="354" w:right="317"/>
              <w:jc w:val="center"/>
              <w:rPr>
                <w:sz w:val="16"/>
              </w:rPr>
            </w:pPr>
            <w:r>
              <w:rPr>
                <w:sz w:val="16"/>
              </w:rPr>
              <w:t>841</w:t>
            </w:r>
          </w:p>
        </w:tc>
        <w:tc>
          <w:tcPr>
            <w:tcW w:w="1335" w:type="dxa"/>
            <w:tcBorders>
              <w:top w:val="nil"/>
              <w:left w:val="nil"/>
              <w:bottom w:val="nil"/>
              <w:right w:val="nil"/>
            </w:tcBorders>
          </w:tcPr>
          <w:p>
            <w:pPr>
              <w:pStyle w:val="TableParagraph"/>
              <w:spacing w:before="112"/>
              <w:ind w:left="118" w:right="171"/>
              <w:jc w:val="center"/>
              <w:rPr>
                <w:sz w:val="16"/>
              </w:rPr>
            </w:pPr>
            <w:r>
              <w:rPr>
                <w:sz w:val="16"/>
              </w:rPr>
              <w:t>(GA)8 CTC</w:t>
            </w:r>
          </w:p>
        </w:tc>
        <w:tc>
          <w:tcPr>
            <w:tcW w:w="1106" w:type="dxa"/>
            <w:tcBorders>
              <w:top w:val="nil"/>
              <w:left w:val="nil"/>
              <w:bottom w:val="nil"/>
              <w:right w:val="nil"/>
            </w:tcBorders>
          </w:tcPr>
          <w:p>
            <w:pPr>
              <w:pStyle w:val="TableParagraph"/>
              <w:spacing w:before="112"/>
              <w:ind w:left="180" w:right="337"/>
              <w:jc w:val="center"/>
              <w:rPr>
                <w:sz w:val="16"/>
              </w:rPr>
            </w:pPr>
            <w:r>
              <w:rPr>
                <w:sz w:val="16"/>
              </w:rPr>
              <w:t>53</w:t>
            </w:r>
          </w:p>
        </w:tc>
        <w:tc>
          <w:tcPr>
            <w:tcW w:w="1015" w:type="dxa"/>
            <w:tcBorders>
              <w:top w:val="nil"/>
              <w:left w:val="nil"/>
              <w:bottom w:val="nil"/>
              <w:right w:val="nil"/>
            </w:tcBorders>
          </w:tcPr>
          <w:p>
            <w:pPr>
              <w:pStyle w:val="TableParagraph"/>
              <w:spacing w:before="112"/>
              <w:ind w:right="465"/>
              <w:jc w:val="right"/>
              <w:rPr>
                <w:sz w:val="16"/>
              </w:rPr>
            </w:pPr>
            <w:r>
              <w:rPr>
                <w:sz w:val="16"/>
              </w:rPr>
              <w:t>10</w:t>
            </w:r>
          </w:p>
        </w:tc>
        <w:tc>
          <w:tcPr>
            <w:tcW w:w="1093" w:type="dxa"/>
            <w:tcBorders>
              <w:top w:val="nil"/>
              <w:left w:val="nil"/>
              <w:bottom w:val="nil"/>
              <w:right w:val="nil"/>
            </w:tcBorders>
          </w:tcPr>
          <w:p>
            <w:pPr>
              <w:pStyle w:val="TableParagraph"/>
              <w:spacing w:before="112"/>
              <w:ind w:left="6"/>
              <w:jc w:val="center"/>
              <w:rPr>
                <w:sz w:val="16"/>
              </w:rPr>
            </w:pPr>
            <w:r>
              <w:rPr>
                <w:w w:val="100"/>
                <w:sz w:val="16"/>
              </w:rPr>
              <w:t>8</w:t>
            </w:r>
          </w:p>
        </w:tc>
        <w:tc>
          <w:tcPr>
            <w:tcW w:w="1109" w:type="dxa"/>
            <w:tcBorders>
              <w:top w:val="nil"/>
              <w:left w:val="nil"/>
              <w:bottom w:val="nil"/>
              <w:right w:val="nil"/>
            </w:tcBorders>
          </w:tcPr>
          <w:p>
            <w:pPr>
              <w:pStyle w:val="TableParagraph"/>
              <w:spacing w:before="112"/>
              <w:ind w:left="383" w:right="383"/>
              <w:jc w:val="center"/>
              <w:rPr>
                <w:sz w:val="16"/>
              </w:rPr>
            </w:pPr>
            <w:r>
              <w:rPr>
                <w:sz w:val="16"/>
              </w:rPr>
              <w:t>80.0</w:t>
            </w:r>
          </w:p>
        </w:tc>
        <w:tc>
          <w:tcPr>
            <w:tcW w:w="1093" w:type="dxa"/>
            <w:tcBorders>
              <w:top w:val="nil"/>
              <w:left w:val="nil"/>
              <w:bottom w:val="nil"/>
              <w:right w:val="nil"/>
            </w:tcBorders>
          </w:tcPr>
          <w:p>
            <w:pPr>
              <w:pStyle w:val="TableParagraph"/>
              <w:spacing w:before="112"/>
              <w:ind w:left="402"/>
              <w:rPr>
                <w:sz w:val="16"/>
              </w:rPr>
            </w:pPr>
            <w:r>
              <w:rPr>
                <w:sz w:val="16"/>
              </w:rPr>
              <w:t>3.28</w:t>
            </w:r>
          </w:p>
        </w:tc>
        <w:tc>
          <w:tcPr>
            <w:tcW w:w="1065" w:type="dxa"/>
            <w:tcBorders>
              <w:top w:val="nil"/>
              <w:left w:val="nil"/>
              <w:bottom w:val="nil"/>
              <w:right w:val="nil"/>
            </w:tcBorders>
          </w:tcPr>
          <w:p>
            <w:pPr>
              <w:pStyle w:val="TableParagraph"/>
              <w:spacing w:before="112"/>
              <w:ind w:right="372"/>
              <w:jc w:val="right"/>
              <w:rPr>
                <w:sz w:val="16"/>
              </w:rPr>
            </w:pPr>
            <w:r>
              <w:rPr>
                <w:sz w:val="16"/>
              </w:rPr>
              <w:t>0.29</w:t>
            </w:r>
          </w:p>
        </w:tc>
        <w:tc>
          <w:tcPr>
            <w:tcW w:w="993" w:type="dxa"/>
            <w:tcBorders>
              <w:top w:val="nil"/>
              <w:left w:val="nil"/>
              <w:bottom w:val="nil"/>
              <w:right w:val="nil"/>
            </w:tcBorders>
          </w:tcPr>
          <w:p>
            <w:pPr>
              <w:pStyle w:val="TableParagraph"/>
              <w:spacing w:before="112"/>
              <w:ind w:left="354" w:right="318"/>
              <w:jc w:val="center"/>
              <w:rPr>
                <w:sz w:val="16"/>
              </w:rPr>
            </w:pPr>
            <w:r>
              <w:rPr>
                <w:sz w:val="16"/>
              </w:rPr>
              <w:t>2.34</w:t>
            </w:r>
          </w:p>
        </w:tc>
      </w:tr>
      <w:tr>
        <w:trPr>
          <w:trHeight w:val="427"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842</w:t>
            </w:r>
          </w:p>
        </w:tc>
        <w:tc>
          <w:tcPr>
            <w:tcW w:w="1335" w:type="dxa"/>
            <w:tcBorders>
              <w:top w:val="nil"/>
              <w:left w:val="nil"/>
              <w:bottom w:val="nil"/>
              <w:right w:val="nil"/>
            </w:tcBorders>
          </w:tcPr>
          <w:p>
            <w:pPr>
              <w:pStyle w:val="TableParagraph"/>
              <w:spacing w:before="113"/>
              <w:ind w:left="118" w:right="172"/>
              <w:jc w:val="center"/>
              <w:rPr>
                <w:sz w:val="16"/>
              </w:rPr>
            </w:pPr>
            <w:r>
              <w:rPr>
                <w:sz w:val="16"/>
              </w:rPr>
              <w:t>(GA)8 CTG</w:t>
            </w:r>
          </w:p>
        </w:tc>
        <w:tc>
          <w:tcPr>
            <w:tcW w:w="1106" w:type="dxa"/>
            <w:tcBorders>
              <w:top w:val="nil"/>
              <w:left w:val="nil"/>
              <w:bottom w:val="nil"/>
              <w:right w:val="nil"/>
            </w:tcBorders>
          </w:tcPr>
          <w:p>
            <w:pPr>
              <w:pStyle w:val="TableParagraph"/>
              <w:spacing w:before="113"/>
              <w:ind w:left="180" w:right="337"/>
              <w:jc w:val="center"/>
              <w:rPr>
                <w:sz w:val="16"/>
              </w:rPr>
            </w:pPr>
            <w:r>
              <w:rPr>
                <w:sz w:val="16"/>
              </w:rPr>
              <w:t>58</w:t>
            </w:r>
          </w:p>
        </w:tc>
        <w:tc>
          <w:tcPr>
            <w:tcW w:w="1015" w:type="dxa"/>
            <w:tcBorders>
              <w:top w:val="nil"/>
              <w:left w:val="nil"/>
              <w:bottom w:val="nil"/>
              <w:right w:val="nil"/>
            </w:tcBorders>
          </w:tcPr>
          <w:p>
            <w:pPr>
              <w:pStyle w:val="TableParagraph"/>
              <w:spacing w:before="113"/>
              <w:ind w:right="465"/>
              <w:jc w:val="right"/>
              <w:rPr>
                <w:sz w:val="16"/>
              </w:rPr>
            </w:pPr>
            <w:r>
              <w:rPr>
                <w:sz w:val="16"/>
              </w:rPr>
              <w:t>12</w:t>
            </w:r>
          </w:p>
        </w:tc>
        <w:tc>
          <w:tcPr>
            <w:tcW w:w="1093" w:type="dxa"/>
            <w:tcBorders>
              <w:top w:val="nil"/>
              <w:left w:val="nil"/>
              <w:bottom w:val="nil"/>
              <w:right w:val="nil"/>
            </w:tcBorders>
          </w:tcPr>
          <w:p>
            <w:pPr>
              <w:pStyle w:val="TableParagraph"/>
              <w:spacing w:before="113"/>
              <w:ind w:left="389" w:right="382"/>
              <w:jc w:val="center"/>
              <w:rPr>
                <w:sz w:val="16"/>
              </w:rPr>
            </w:pPr>
            <w:r>
              <w:rPr>
                <w:sz w:val="16"/>
              </w:rPr>
              <w:t>12</w:t>
            </w:r>
          </w:p>
        </w:tc>
        <w:tc>
          <w:tcPr>
            <w:tcW w:w="1109" w:type="dxa"/>
            <w:tcBorders>
              <w:top w:val="nil"/>
              <w:left w:val="nil"/>
              <w:bottom w:val="nil"/>
              <w:right w:val="nil"/>
            </w:tcBorders>
          </w:tcPr>
          <w:p>
            <w:pPr>
              <w:pStyle w:val="TableParagraph"/>
              <w:spacing w:before="113"/>
              <w:ind w:left="383" w:right="383"/>
              <w:jc w:val="center"/>
              <w:rPr>
                <w:sz w:val="16"/>
              </w:rPr>
            </w:pPr>
            <w:r>
              <w:rPr>
                <w:sz w:val="16"/>
              </w:rPr>
              <w:t>100</w:t>
            </w:r>
          </w:p>
        </w:tc>
        <w:tc>
          <w:tcPr>
            <w:tcW w:w="1093" w:type="dxa"/>
            <w:tcBorders>
              <w:top w:val="nil"/>
              <w:left w:val="nil"/>
              <w:bottom w:val="nil"/>
              <w:right w:val="nil"/>
            </w:tcBorders>
          </w:tcPr>
          <w:p>
            <w:pPr>
              <w:pStyle w:val="TableParagraph"/>
              <w:spacing w:before="113"/>
              <w:ind w:left="402"/>
              <w:rPr>
                <w:sz w:val="16"/>
              </w:rPr>
            </w:pPr>
            <w:r>
              <w:rPr>
                <w:sz w:val="16"/>
              </w:rPr>
              <w:t>6.71</w:t>
            </w:r>
          </w:p>
        </w:tc>
        <w:tc>
          <w:tcPr>
            <w:tcW w:w="1065" w:type="dxa"/>
            <w:tcBorders>
              <w:top w:val="nil"/>
              <w:left w:val="nil"/>
              <w:bottom w:val="nil"/>
              <w:right w:val="nil"/>
            </w:tcBorders>
          </w:tcPr>
          <w:p>
            <w:pPr>
              <w:pStyle w:val="TableParagraph"/>
              <w:spacing w:before="113"/>
              <w:ind w:right="372"/>
              <w:jc w:val="right"/>
              <w:rPr>
                <w:sz w:val="16"/>
              </w:rPr>
            </w:pPr>
            <w:r>
              <w:rPr>
                <w:sz w:val="16"/>
              </w:rPr>
              <w:t>0.36</w:t>
            </w:r>
          </w:p>
        </w:tc>
        <w:tc>
          <w:tcPr>
            <w:tcW w:w="993" w:type="dxa"/>
            <w:tcBorders>
              <w:top w:val="nil"/>
              <w:left w:val="nil"/>
              <w:bottom w:val="nil"/>
              <w:right w:val="nil"/>
            </w:tcBorders>
          </w:tcPr>
          <w:p>
            <w:pPr>
              <w:pStyle w:val="TableParagraph"/>
              <w:spacing w:before="113"/>
              <w:ind w:left="354" w:right="318"/>
              <w:jc w:val="center"/>
              <w:rPr>
                <w:sz w:val="16"/>
              </w:rPr>
            </w:pPr>
            <w:r>
              <w:rPr>
                <w:sz w:val="16"/>
              </w:rPr>
              <w:t>4.32</w:t>
            </w:r>
          </w:p>
        </w:tc>
      </w:tr>
      <w:tr>
        <w:trPr>
          <w:trHeight w:val="427"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848</w:t>
            </w:r>
          </w:p>
        </w:tc>
        <w:tc>
          <w:tcPr>
            <w:tcW w:w="1335" w:type="dxa"/>
            <w:tcBorders>
              <w:top w:val="nil"/>
              <w:left w:val="nil"/>
              <w:bottom w:val="nil"/>
              <w:right w:val="nil"/>
            </w:tcBorders>
          </w:tcPr>
          <w:p>
            <w:pPr>
              <w:pStyle w:val="TableParagraph"/>
              <w:spacing w:before="113"/>
              <w:ind w:left="118" w:right="174"/>
              <w:jc w:val="center"/>
              <w:rPr>
                <w:sz w:val="16"/>
              </w:rPr>
            </w:pPr>
            <w:r>
              <w:rPr>
                <w:sz w:val="16"/>
              </w:rPr>
              <w:t>(CA)8 AAGG</w:t>
            </w:r>
          </w:p>
        </w:tc>
        <w:tc>
          <w:tcPr>
            <w:tcW w:w="1106" w:type="dxa"/>
            <w:tcBorders>
              <w:top w:val="nil"/>
              <w:left w:val="nil"/>
              <w:bottom w:val="nil"/>
              <w:right w:val="nil"/>
            </w:tcBorders>
          </w:tcPr>
          <w:p>
            <w:pPr>
              <w:pStyle w:val="TableParagraph"/>
              <w:spacing w:before="113"/>
              <w:ind w:left="180" w:right="337"/>
              <w:jc w:val="center"/>
              <w:rPr>
                <w:sz w:val="16"/>
              </w:rPr>
            </w:pPr>
            <w:r>
              <w:rPr>
                <w:sz w:val="16"/>
              </w:rPr>
              <w:t>61</w:t>
            </w:r>
          </w:p>
        </w:tc>
        <w:tc>
          <w:tcPr>
            <w:tcW w:w="1015" w:type="dxa"/>
            <w:tcBorders>
              <w:top w:val="nil"/>
              <w:left w:val="nil"/>
              <w:bottom w:val="nil"/>
              <w:right w:val="nil"/>
            </w:tcBorders>
          </w:tcPr>
          <w:p>
            <w:pPr>
              <w:pStyle w:val="TableParagraph"/>
              <w:spacing w:before="113"/>
              <w:ind w:right="465"/>
              <w:jc w:val="right"/>
              <w:rPr>
                <w:sz w:val="16"/>
              </w:rPr>
            </w:pPr>
            <w:r>
              <w:rPr>
                <w:sz w:val="16"/>
              </w:rPr>
              <w:t>20</w:t>
            </w:r>
          </w:p>
        </w:tc>
        <w:tc>
          <w:tcPr>
            <w:tcW w:w="1093" w:type="dxa"/>
            <w:tcBorders>
              <w:top w:val="nil"/>
              <w:left w:val="nil"/>
              <w:bottom w:val="nil"/>
              <w:right w:val="nil"/>
            </w:tcBorders>
          </w:tcPr>
          <w:p>
            <w:pPr>
              <w:pStyle w:val="TableParagraph"/>
              <w:spacing w:before="113"/>
              <w:ind w:left="389" w:right="382"/>
              <w:jc w:val="center"/>
              <w:rPr>
                <w:sz w:val="16"/>
              </w:rPr>
            </w:pPr>
            <w:r>
              <w:rPr>
                <w:sz w:val="16"/>
              </w:rPr>
              <w:t>20</w:t>
            </w:r>
          </w:p>
        </w:tc>
        <w:tc>
          <w:tcPr>
            <w:tcW w:w="1109" w:type="dxa"/>
            <w:tcBorders>
              <w:top w:val="nil"/>
              <w:left w:val="nil"/>
              <w:bottom w:val="nil"/>
              <w:right w:val="nil"/>
            </w:tcBorders>
          </w:tcPr>
          <w:p>
            <w:pPr>
              <w:pStyle w:val="TableParagraph"/>
              <w:spacing w:before="113"/>
              <w:ind w:left="383" w:right="383"/>
              <w:jc w:val="center"/>
              <w:rPr>
                <w:sz w:val="16"/>
              </w:rPr>
            </w:pPr>
            <w:r>
              <w:rPr>
                <w:sz w:val="16"/>
              </w:rPr>
              <w:t>100</w:t>
            </w:r>
          </w:p>
        </w:tc>
        <w:tc>
          <w:tcPr>
            <w:tcW w:w="1093" w:type="dxa"/>
            <w:tcBorders>
              <w:top w:val="nil"/>
              <w:left w:val="nil"/>
              <w:bottom w:val="nil"/>
              <w:right w:val="nil"/>
            </w:tcBorders>
          </w:tcPr>
          <w:p>
            <w:pPr>
              <w:pStyle w:val="TableParagraph"/>
              <w:spacing w:before="113"/>
              <w:ind w:left="402"/>
              <w:rPr>
                <w:sz w:val="16"/>
              </w:rPr>
            </w:pPr>
            <w:r>
              <w:rPr>
                <w:sz w:val="16"/>
              </w:rPr>
              <w:t>12.8</w:t>
            </w:r>
          </w:p>
        </w:tc>
        <w:tc>
          <w:tcPr>
            <w:tcW w:w="1065" w:type="dxa"/>
            <w:tcBorders>
              <w:top w:val="nil"/>
              <w:left w:val="nil"/>
              <w:bottom w:val="nil"/>
              <w:right w:val="nil"/>
            </w:tcBorders>
          </w:tcPr>
          <w:p>
            <w:pPr>
              <w:pStyle w:val="TableParagraph"/>
              <w:spacing w:before="113"/>
              <w:ind w:right="372"/>
              <w:jc w:val="right"/>
              <w:rPr>
                <w:sz w:val="16"/>
              </w:rPr>
            </w:pPr>
            <w:r>
              <w:rPr>
                <w:sz w:val="16"/>
              </w:rPr>
              <w:t>0.40</w:t>
            </w:r>
          </w:p>
        </w:tc>
        <w:tc>
          <w:tcPr>
            <w:tcW w:w="993" w:type="dxa"/>
            <w:tcBorders>
              <w:top w:val="nil"/>
              <w:left w:val="nil"/>
              <w:bottom w:val="nil"/>
              <w:right w:val="nil"/>
            </w:tcBorders>
          </w:tcPr>
          <w:p>
            <w:pPr>
              <w:pStyle w:val="TableParagraph"/>
              <w:spacing w:before="113"/>
              <w:ind w:left="354" w:right="318"/>
              <w:jc w:val="center"/>
              <w:rPr>
                <w:sz w:val="16"/>
              </w:rPr>
            </w:pPr>
            <w:r>
              <w:rPr>
                <w:sz w:val="16"/>
              </w:rPr>
              <w:t>8.06</w:t>
            </w:r>
          </w:p>
        </w:tc>
      </w:tr>
      <w:tr>
        <w:trPr>
          <w:trHeight w:val="426" w:hRule="exact"/>
        </w:trPr>
        <w:tc>
          <w:tcPr>
            <w:tcW w:w="952" w:type="dxa"/>
            <w:tcBorders>
              <w:top w:val="nil"/>
              <w:left w:val="nil"/>
              <w:bottom w:val="nil"/>
              <w:right w:val="nil"/>
            </w:tcBorders>
          </w:tcPr>
          <w:p>
            <w:pPr>
              <w:pStyle w:val="TableParagraph"/>
              <w:spacing w:before="113"/>
              <w:ind w:left="354" w:right="317"/>
              <w:jc w:val="center"/>
              <w:rPr>
                <w:sz w:val="16"/>
              </w:rPr>
            </w:pPr>
            <w:r>
              <w:rPr>
                <w:sz w:val="16"/>
              </w:rPr>
              <w:t>857</w:t>
            </w:r>
          </w:p>
        </w:tc>
        <w:tc>
          <w:tcPr>
            <w:tcW w:w="1335" w:type="dxa"/>
            <w:tcBorders>
              <w:top w:val="nil"/>
              <w:left w:val="nil"/>
              <w:bottom w:val="nil"/>
              <w:right w:val="nil"/>
            </w:tcBorders>
          </w:tcPr>
          <w:p>
            <w:pPr>
              <w:pStyle w:val="TableParagraph"/>
              <w:spacing w:before="113"/>
              <w:ind w:left="118" w:right="172"/>
              <w:jc w:val="center"/>
              <w:rPr>
                <w:sz w:val="16"/>
              </w:rPr>
            </w:pPr>
            <w:r>
              <w:rPr>
                <w:sz w:val="16"/>
              </w:rPr>
              <w:t>(AC)8 CTG</w:t>
            </w:r>
          </w:p>
        </w:tc>
        <w:tc>
          <w:tcPr>
            <w:tcW w:w="1106" w:type="dxa"/>
            <w:tcBorders>
              <w:top w:val="nil"/>
              <w:left w:val="nil"/>
              <w:bottom w:val="nil"/>
              <w:right w:val="nil"/>
            </w:tcBorders>
          </w:tcPr>
          <w:p>
            <w:pPr>
              <w:pStyle w:val="TableParagraph"/>
              <w:spacing w:before="113"/>
              <w:ind w:left="180" w:right="337"/>
              <w:jc w:val="center"/>
              <w:rPr>
                <w:sz w:val="16"/>
              </w:rPr>
            </w:pPr>
            <w:r>
              <w:rPr>
                <w:sz w:val="16"/>
              </w:rPr>
              <w:t>54</w:t>
            </w:r>
          </w:p>
        </w:tc>
        <w:tc>
          <w:tcPr>
            <w:tcW w:w="1015" w:type="dxa"/>
            <w:tcBorders>
              <w:top w:val="nil"/>
              <w:left w:val="nil"/>
              <w:bottom w:val="nil"/>
              <w:right w:val="nil"/>
            </w:tcBorders>
          </w:tcPr>
          <w:p>
            <w:pPr>
              <w:pStyle w:val="TableParagraph"/>
              <w:spacing w:before="113"/>
              <w:ind w:right="465"/>
              <w:jc w:val="right"/>
              <w:rPr>
                <w:sz w:val="16"/>
              </w:rPr>
            </w:pPr>
            <w:r>
              <w:rPr>
                <w:sz w:val="16"/>
              </w:rPr>
              <w:t>21</w:t>
            </w:r>
          </w:p>
        </w:tc>
        <w:tc>
          <w:tcPr>
            <w:tcW w:w="1093" w:type="dxa"/>
            <w:tcBorders>
              <w:top w:val="nil"/>
              <w:left w:val="nil"/>
              <w:bottom w:val="nil"/>
              <w:right w:val="nil"/>
            </w:tcBorders>
          </w:tcPr>
          <w:p>
            <w:pPr>
              <w:pStyle w:val="TableParagraph"/>
              <w:spacing w:before="113"/>
              <w:ind w:left="389" w:right="382"/>
              <w:jc w:val="center"/>
              <w:rPr>
                <w:sz w:val="16"/>
              </w:rPr>
            </w:pPr>
            <w:r>
              <w:rPr>
                <w:sz w:val="16"/>
              </w:rPr>
              <w:t>21</w:t>
            </w:r>
          </w:p>
        </w:tc>
        <w:tc>
          <w:tcPr>
            <w:tcW w:w="1109" w:type="dxa"/>
            <w:tcBorders>
              <w:top w:val="nil"/>
              <w:left w:val="nil"/>
              <w:bottom w:val="nil"/>
              <w:right w:val="nil"/>
            </w:tcBorders>
          </w:tcPr>
          <w:p>
            <w:pPr>
              <w:pStyle w:val="TableParagraph"/>
              <w:spacing w:before="113"/>
              <w:ind w:left="383" w:right="383"/>
              <w:jc w:val="center"/>
              <w:rPr>
                <w:sz w:val="16"/>
              </w:rPr>
            </w:pPr>
            <w:r>
              <w:rPr>
                <w:sz w:val="16"/>
              </w:rPr>
              <w:t>100</w:t>
            </w:r>
          </w:p>
        </w:tc>
        <w:tc>
          <w:tcPr>
            <w:tcW w:w="1093" w:type="dxa"/>
            <w:tcBorders>
              <w:top w:val="nil"/>
              <w:left w:val="nil"/>
              <w:bottom w:val="nil"/>
              <w:right w:val="nil"/>
            </w:tcBorders>
          </w:tcPr>
          <w:p>
            <w:pPr>
              <w:pStyle w:val="TableParagraph"/>
              <w:spacing w:before="113"/>
              <w:ind w:left="402"/>
              <w:rPr>
                <w:sz w:val="16"/>
              </w:rPr>
            </w:pPr>
            <w:r>
              <w:rPr>
                <w:sz w:val="16"/>
              </w:rPr>
              <w:t>11.6</w:t>
            </w:r>
          </w:p>
        </w:tc>
        <w:tc>
          <w:tcPr>
            <w:tcW w:w="1065" w:type="dxa"/>
            <w:tcBorders>
              <w:top w:val="nil"/>
              <w:left w:val="nil"/>
              <w:bottom w:val="nil"/>
              <w:right w:val="nil"/>
            </w:tcBorders>
          </w:tcPr>
          <w:p>
            <w:pPr>
              <w:pStyle w:val="TableParagraph"/>
              <w:spacing w:before="113"/>
              <w:ind w:right="372"/>
              <w:jc w:val="right"/>
              <w:rPr>
                <w:sz w:val="16"/>
              </w:rPr>
            </w:pPr>
            <w:r>
              <w:rPr>
                <w:sz w:val="16"/>
              </w:rPr>
              <w:t>0.36</w:t>
            </w:r>
          </w:p>
        </w:tc>
        <w:tc>
          <w:tcPr>
            <w:tcW w:w="993" w:type="dxa"/>
            <w:tcBorders>
              <w:top w:val="nil"/>
              <w:left w:val="nil"/>
              <w:bottom w:val="nil"/>
              <w:right w:val="nil"/>
            </w:tcBorders>
          </w:tcPr>
          <w:p>
            <w:pPr>
              <w:pStyle w:val="TableParagraph"/>
              <w:spacing w:before="113"/>
              <w:ind w:left="354" w:right="318"/>
              <w:jc w:val="center"/>
              <w:rPr>
                <w:sz w:val="16"/>
              </w:rPr>
            </w:pPr>
            <w:r>
              <w:rPr>
                <w:sz w:val="16"/>
              </w:rPr>
              <w:t>7.64</w:t>
            </w:r>
          </w:p>
        </w:tc>
      </w:tr>
      <w:tr>
        <w:trPr>
          <w:trHeight w:val="426" w:hRule="exact"/>
        </w:trPr>
        <w:tc>
          <w:tcPr>
            <w:tcW w:w="952" w:type="dxa"/>
            <w:tcBorders>
              <w:top w:val="nil"/>
              <w:left w:val="nil"/>
              <w:bottom w:val="nil"/>
              <w:right w:val="nil"/>
            </w:tcBorders>
          </w:tcPr>
          <w:p>
            <w:pPr>
              <w:pStyle w:val="TableParagraph"/>
              <w:spacing w:before="112"/>
              <w:ind w:left="354" w:right="317"/>
              <w:jc w:val="center"/>
              <w:rPr>
                <w:sz w:val="16"/>
              </w:rPr>
            </w:pPr>
            <w:r>
              <w:rPr>
                <w:sz w:val="16"/>
              </w:rPr>
              <w:t>866</w:t>
            </w:r>
          </w:p>
        </w:tc>
        <w:tc>
          <w:tcPr>
            <w:tcW w:w="1335" w:type="dxa"/>
            <w:tcBorders>
              <w:top w:val="nil"/>
              <w:left w:val="nil"/>
              <w:bottom w:val="nil"/>
              <w:right w:val="nil"/>
            </w:tcBorders>
          </w:tcPr>
          <w:p>
            <w:pPr>
              <w:pStyle w:val="TableParagraph"/>
              <w:spacing w:before="112"/>
              <w:ind w:left="118" w:right="174"/>
              <w:jc w:val="center"/>
              <w:rPr>
                <w:sz w:val="16"/>
              </w:rPr>
            </w:pPr>
            <w:r>
              <w:rPr>
                <w:sz w:val="16"/>
              </w:rPr>
              <w:t>(CTC)6</w:t>
            </w:r>
          </w:p>
        </w:tc>
        <w:tc>
          <w:tcPr>
            <w:tcW w:w="1106" w:type="dxa"/>
            <w:tcBorders>
              <w:top w:val="nil"/>
              <w:left w:val="nil"/>
              <w:bottom w:val="nil"/>
              <w:right w:val="nil"/>
            </w:tcBorders>
          </w:tcPr>
          <w:p>
            <w:pPr>
              <w:pStyle w:val="TableParagraph"/>
              <w:spacing w:before="112"/>
              <w:ind w:left="180" w:right="337"/>
              <w:jc w:val="center"/>
              <w:rPr>
                <w:sz w:val="16"/>
              </w:rPr>
            </w:pPr>
            <w:r>
              <w:rPr>
                <w:sz w:val="16"/>
              </w:rPr>
              <w:t>61</w:t>
            </w:r>
          </w:p>
        </w:tc>
        <w:tc>
          <w:tcPr>
            <w:tcW w:w="1015" w:type="dxa"/>
            <w:tcBorders>
              <w:top w:val="nil"/>
              <w:left w:val="nil"/>
              <w:bottom w:val="nil"/>
              <w:right w:val="nil"/>
            </w:tcBorders>
          </w:tcPr>
          <w:p>
            <w:pPr>
              <w:pStyle w:val="TableParagraph"/>
              <w:spacing w:before="112"/>
              <w:ind w:right="81"/>
              <w:jc w:val="center"/>
              <w:rPr>
                <w:sz w:val="16"/>
              </w:rPr>
            </w:pPr>
            <w:r>
              <w:rPr>
                <w:w w:val="100"/>
                <w:sz w:val="16"/>
              </w:rPr>
              <w:t>8</w:t>
            </w:r>
          </w:p>
        </w:tc>
        <w:tc>
          <w:tcPr>
            <w:tcW w:w="1093" w:type="dxa"/>
            <w:tcBorders>
              <w:top w:val="nil"/>
              <w:left w:val="nil"/>
              <w:bottom w:val="nil"/>
              <w:right w:val="nil"/>
            </w:tcBorders>
          </w:tcPr>
          <w:p>
            <w:pPr>
              <w:pStyle w:val="TableParagraph"/>
              <w:spacing w:before="112"/>
              <w:ind w:left="6"/>
              <w:jc w:val="center"/>
              <w:rPr>
                <w:sz w:val="16"/>
              </w:rPr>
            </w:pPr>
            <w:r>
              <w:rPr>
                <w:w w:val="100"/>
                <w:sz w:val="16"/>
              </w:rPr>
              <w:t>7</w:t>
            </w:r>
          </w:p>
        </w:tc>
        <w:tc>
          <w:tcPr>
            <w:tcW w:w="1109" w:type="dxa"/>
            <w:tcBorders>
              <w:top w:val="nil"/>
              <w:left w:val="nil"/>
              <w:bottom w:val="nil"/>
              <w:right w:val="nil"/>
            </w:tcBorders>
          </w:tcPr>
          <w:p>
            <w:pPr>
              <w:pStyle w:val="TableParagraph"/>
              <w:spacing w:before="112"/>
              <w:ind w:left="383" w:right="383"/>
              <w:jc w:val="center"/>
              <w:rPr>
                <w:sz w:val="16"/>
              </w:rPr>
            </w:pPr>
            <w:r>
              <w:rPr>
                <w:sz w:val="16"/>
              </w:rPr>
              <w:t>87.5</w:t>
            </w:r>
          </w:p>
        </w:tc>
        <w:tc>
          <w:tcPr>
            <w:tcW w:w="1093" w:type="dxa"/>
            <w:tcBorders>
              <w:top w:val="nil"/>
              <w:left w:val="nil"/>
              <w:bottom w:val="nil"/>
              <w:right w:val="nil"/>
            </w:tcBorders>
          </w:tcPr>
          <w:p>
            <w:pPr>
              <w:pStyle w:val="TableParagraph"/>
              <w:spacing w:before="112"/>
              <w:ind w:left="402"/>
              <w:rPr>
                <w:sz w:val="16"/>
              </w:rPr>
            </w:pPr>
            <w:r>
              <w:rPr>
                <w:sz w:val="16"/>
              </w:rPr>
              <w:t>2.61</w:t>
            </w:r>
          </w:p>
        </w:tc>
        <w:tc>
          <w:tcPr>
            <w:tcW w:w="1065" w:type="dxa"/>
            <w:tcBorders>
              <w:top w:val="nil"/>
              <w:left w:val="nil"/>
              <w:bottom w:val="nil"/>
              <w:right w:val="nil"/>
            </w:tcBorders>
          </w:tcPr>
          <w:p>
            <w:pPr>
              <w:pStyle w:val="TableParagraph"/>
              <w:spacing w:before="112"/>
              <w:ind w:right="372"/>
              <w:jc w:val="right"/>
              <w:rPr>
                <w:sz w:val="16"/>
              </w:rPr>
            </w:pPr>
            <w:r>
              <w:rPr>
                <w:sz w:val="16"/>
              </w:rPr>
              <w:t>0.28</w:t>
            </w:r>
          </w:p>
        </w:tc>
        <w:tc>
          <w:tcPr>
            <w:tcW w:w="993" w:type="dxa"/>
            <w:tcBorders>
              <w:top w:val="nil"/>
              <w:left w:val="nil"/>
              <w:bottom w:val="nil"/>
              <w:right w:val="nil"/>
            </w:tcBorders>
          </w:tcPr>
          <w:p>
            <w:pPr>
              <w:pStyle w:val="TableParagraph"/>
              <w:spacing w:before="112"/>
              <w:ind w:left="354" w:right="318"/>
              <w:jc w:val="center"/>
              <w:rPr>
                <w:sz w:val="16"/>
              </w:rPr>
            </w:pPr>
            <w:r>
              <w:rPr>
                <w:sz w:val="16"/>
              </w:rPr>
              <w:t>1.97</w:t>
            </w:r>
          </w:p>
        </w:tc>
      </w:tr>
      <w:tr>
        <w:trPr>
          <w:trHeight w:val="427" w:hRule="exact"/>
        </w:trPr>
        <w:tc>
          <w:tcPr>
            <w:tcW w:w="952" w:type="dxa"/>
            <w:tcBorders>
              <w:top w:val="nil"/>
              <w:left w:val="nil"/>
              <w:bottom w:val="nil"/>
              <w:right w:val="nil"/>
            </w:tcBorders>
          </w:tcPr>
          <w:p>
            <w:pPr>
              <w:pStyle w:val="TableParagraph"/>
              <w:spacing w:before="113"/>
              <w:ind w:right="135"/>
              <w:jc w:val="right"/>
              <w:rPr>
                <w:sz w:val="16"/>
              </w:rPr>
            </w:pPr>
            <w:r>
              <w:rPr>
                <w:sz w:val="16"/>
              </w:rPr>
              <w:t>*ISSR2M</w:t>
            </w:r>
          </w:p>
        </w:tc>
        <w:tc>
          <w:tcPr>
            <w:tcW w:w="1335" w:type="dxa"/>
            <w:tcBorders>
              <w:top w:val="nil"/>
              <w:left w:val="nil"/>
              <w:bottom w:val="nil"/>
              <w:right w:val="nil"/>
            </w:tcBorders>
          </w:tcPr>
          <w:p>
            <w:pPr>
              <w:pStyle w:val="TableParagraph"/>
              <w:spacing w:before="113"/>
              <w:ind w:left="118" w:right="176"/>
              <w:jc w:val="center"/>
              <w:rPr>
                <w:sz w:val="16"/>
              </w:rPr>
            </w:pPr>
            <w:r>
              <w:rPr>
                <w:sz w:val="16"/>
              </w:rPr>
              <w:t>(CA)8 AAGCT</w:t>
            </w:r>
          </w:p>
        </w:tc>
        <w:tc>
          <w:tcPr>
            <w:tcW w:w="1106" w:type="dxa"/>
            <w:tcBorders>
              <w:top w:val="nil"/>
              <w:left w:val="nil"/>
              <w:bottom w:val="nil"/>
              <w:right w:val="nil"/>
            </w:tcBorders>
          </w:tcPr>
          <w:p>
            <w:pPr>
              <w:pStyle w:val="TableParagraph"/>
              <w:spacing w:before="113"/>
              <w:ind w:left="180" w:right="337"/>
              <w:jc w:val="center"/>
              <w:rPr>
                <w:sz w:val="16"/>
              </w:rPr>
            </w:pPr>
            <w:r>
              <w:rPr>
                <w:sz w:val="16"/>
              </w:rPr>
              <w:t>61</w:t>
            </w:r>
          </w:p>
        </w:tc>
        <w:tc>
          <w:tcPr>
            <w:tcW w:w="1015" w:type="dxa"/>
            <w:tcBorders>
              <w:top w:val="nil"/>
              <w:left w:val="nil"/>
              <w:bottom w:val="nil"/>
              <w:right w:val="nil"/>
            </w:tcBorders>
          </w:tcPr>
          <w:p>
            <w:pPr>
              <w:pStyle w:val="TableParagraph"/>
              <w:spacing w:before="113"/>
              <w:ind w:right="465"/>
              <w:jc w:val="right"/>
              <w:rPr>
                <w:sz w:val="16"/>
              </w:rPr>
            </w:pPr>
            <w:r>
              <w:rPr>
                <w:sz w:val="16"/>
              </w:rPr>
              <w:t>18</w:t>
            </w:r>
          </w:p>
        </w:tc>
        <w:tc>
          <w:tcPr>
            <w:tcW w:w="1093" w:type="dxa"/>
            <w:tcBorders>
              <w:top w:val="nil"/>
              <w:left w:val="nil"/>
              <w:bottom w:val="nil"/>
              <w:right w:val="nil"/>
            </w:tcBorders>
          </w:tcPr>
          <w:p>
            <w:pPr>
              <w:pStyle w:val="TableParagraph"/>
              <w:spacing w:before="113"/>
              <w:ind w:left="389" w:right="382"/>
              <w:jc w:val="center"/>
              <w:rPr>
                <w:sz w:val="16"/>
              </w:rPr>
            </w:pPr>
            <w:r>
              <w:rPr>
                <w:sz w:val="16"/>
              </w:rPr>
              <w:t>18</w:t>
            </w:r>
          </w:p>
        </w:tc>
        <w:tc>
          <w:tcPr>
            <w:tcW w:w="1109" w:type="dxa"/>
            <w:tcBorders>
              <w:top w:val="nil"/>
              <w:left w:val="nil"/>
              <w:bottom w:val="nil"/>
              <w:right w:val="nil"/>
            </w:tcBorders>
          </w:tcPr>
          <w:p>
            <w:pPr>
              <w:pStyle w:val="TableParagraph"/>
              <w:spacing w:before="113"/>
              <w:ind w:left="383" w:right="383"/>
              <w:jc w:val="center"/>
              <w:rPr>
                <w:sz w:val="16"/>
              </w:rPr>
            </w:pPr>
            <w:r>
              <w:rPr>
                <w:sz w:val="16"/>
              </w:rPr>
              <w:t>100</w:t>
            </w:r>
          </w:p>
        </w:tc>
        <w:tc>
          <w:tcPr>
            <w:tcW w:w="1093" w:type="dxa"/>
            <w:tcBorders>
              <w:top w:val="nil"/>
              <w:left w:val="nil"/>
              <w:bottom w:val="nil"/>
              <w:right w:val="nil"/>
            </w:tcBorders>
          </w:tcPr>
          <w:p>
            <w:pPr>
              <w:pStyle w:val="TableParagraph"/>
              <w:spacing w:before="113"/>
              <w:ind w:left="402"/>
              <w:rPr>
                <w:sz w:val="16"/>
              </w:rPr>
            </w:pPr>
            <w:r>
              <w:rPr>
                <w:sz w:val="16"/>
              </w:rPr>
              <w:t>9.43</w:t>
            </w:r>
          </w:p>
        </w:tc>
        <w:tc>
          <w:tcPr>
            <w:tcW w:w="1065" w:type="dxa"/>
            <w:tcBorders>
              <w:top w:val="nil"/>
              <w:left w:val="nil"/>
              <w:bottom w:val="nil"/>
              <w:right w:val="nil"/>
            </w:tcBorders>
          </w:tcPr>
          <w:p>
            <w:pPr>
              <w:pStyle w:val="TableParagraph"/>
              <w:spacing w:before="113"/>
              <w:ind w:right="372"/>
              <w:jc w:val="right"/>
              <w:rPr>
                <w:sz w:val="16"/>
              </w:rPr>
            </w:pPr>
            <w:r>
              <w:rPr>
                <w:sz w:val="16"/>
              </w:rPr>
              <w:t>0.33</w:t>
            </w:r>
          </w:p>
        </w:tc>
        <w:tc>
          <w:tcPr>
            <w:tcW w:w="993" w:type="dxa"/>
            <w:tcBorders>
              <w:top w:val="nil"/>
              <w:left w:val="nil"/>
              <w:bottom w:val="nil"/>
              <w:right w:val="nil"/>
            </w:tcBorders>
          </w:tcPr>
          <w:p>
            <w:pPr>
              <w:pStyle w:val="TableParagraph"/>
              <w:spacing w:before="113"/>
              <w:ind w:left="354" w:right="318"/>
              <w:jc w:val="center"/>
              <w:rPr>
                <w:sz w:val="16"/>
              </w:rPr>
            </w:pPr>
            <w:r>
              <w:rPr>
                <w:sz w:val="16"/>
              </w:rPr>
              <w:t>6.06</w:t>
            </w:r>
          </w:p>
        </w:tc>
      </w:tr>
      <w:tr>
        <w:trPr>
          <w:trHeight w:val="539" w:hRule="exact"/>
        </w:trPr>
        <w:tc>
          <w:tcPr>
            <w:tcW w:w="952" w:type="dxa"/>
            <w:tcBorders>
              <w:top w:val="nil"/>
              <w:left w:val="nil"/>
              <w:right w:val="nil"/>
            </w:tcBorders>
          </w:tcPr>
          <w:p>
            <w:pPr>
              <w:pStyle w:val="TableParagraph"/>
              <w:spacing w:before="113"/>
              <w:ind w:right="185"/>
              <w:jc w:val="right"/>
              <w:rPr>
                <w:sz w:val="16"/>
              </w:rPr>
            </w:pPr>
            <w:r>
              <w:rPr>
                <w:sz w:val="16"/>
              </w:rPr>
              <w:t>Average</w:t>
            </w:r>
          </w:p>
        </w:tc>
        <w:tc>
          <w:tcPr>
            <w:tcW w:w="1335" w:type="dxa"/>
            <w:tcBorders>
              <w:top w:val="nil"/>
              <w:left w:val="nil"/>
              <w:right w:val="nil"/>
            </w:tcBorders>
          </w:tcPr>
          <w:p>
            <w:pPr/>
          </w:p>
        </w:tc>
        <w:tc>
          <w:tcPr>
            <w:tcW w:w="1106" w:type="dxa"/>
            <w:tcBorders>
              <w:top w:val="nil"/>
              <w:left w:val="nil"/>
              <w:right w:val="nil"/>
            </w:tcBorders>
          </w:tcPr>
          <w:p>
            <w:pPr/>
          </w:p>
        </w:tc>
        <w:tc>
          <w:tcPr>
            <w:tcW w:w="1015" w:type="dxa"/>
            <w:tcBorders>
              <w:top w:val="nil"/>
              <w:left w:val="nil"/>
              <w:right w:val="nil"/>
            </w:tcBorders>
          </w:tcPr>
          <w:p>
            <w:pPr>
              <w:pStyle w:val="TableParagraph"/>
              <w:spacing w:before="115"/>
              <w:ind w:right="406"/>
              <w:jc w:val="right"/>
              <w:rPr>
                <w:b/>
                <w:sz w:val="16"/>
              </w:rPr>
            </w:pPr>
            <w:r>
              <w:rPr>
                <w:b/>
                <w:sz w:val="16"/>
              </w:rPr>
              <w:t>11.8</w:t>
            </w:r>
          </w:p>
        </w:tc>
        <w:tc>
          <w:tcPr>
            <w:tcW w:w="1093" w:type="dxa"/>
            <w:tcBorders>
              <w:top w:val="nil"/>
              <w:left w:val="nil"/>
              <w:right w:val="nil"/>
            </w:tcBorders>
          </w:tcPr>
          <w:p>
            <w:pPr>
              <w:pStyle w:val="TableParagraph"/>
              <w:spacing w:before="115"/>
              <w:ind w:left="389" w:right="384"/>
              <w:jc w:val="center"/>
              <w:rPr>
                <w:b/>
                <w:sz w:val="16"/>
              </w:rPr>
            </w:pPr>
            <w:r>
              <w:rPr>
                <w:b/>
                <w:sz w:val="16"/>
              </w:rPr>
              <w:t>11.1</w:t>
            </w:r>
          </w:p>
        </w:tc>
        <w:tc>
          <w:tcPr>
            <w:tcW w:w="1109" w:type="dxa"/>
            <w:tcBorders>
              <w:top w:val="nil"/>
              <w:left w:val="nil"/>
              <w:right w:val="nil"/>
            </w:tcBorders>
          </w:tcPr>
          <w:p>
            <w:pPr>
              <w:pStyle w:val="TableParagraph"/>
              <w:spacing w:before="115"/>
              <w:ind w:left="383" w:right="383"/>
              <w:jc w:val="center"/>
              <w:rPr>
                <w:b/>
                <w:sz w:val="16"/>
              </w:rPr>
            </w:pPr>
            <w:r>
              <w:rPr>
                <w:b/>
                <w:sz w:val="16"/>
              </w:rPr>
              <w:t>91.3</w:t>
            </w:r>
          </w:p>
        </w:tc>
        <w:tc>
          <w:tcPr>
            <w:tcW w:w="1093" w:type="dxa"/>
            <w:tcBorders>
              <w:top w:val="nil"/>
              <w:left w:val="nil"/>
              <w:right w:val="nil"/>
            </w:tcBorders>
          </w:tcPr>
          <w:p>
            <w:pPr>
              <w:pStyle w:val="TableParagraph"/>
              <w:spacing w:before="115"/>
              <w:ind w:left="402"/>
              <w:rPr>
                <w:b/>
                <w:sz w:val="16"/>
              </w:rPr>
            </w:pPr>
            <w:r>
              <w:rPr>
                <w:b/>
                <w:sz w:val="16"/>
              </w:rPr>
              <w:t>5.36</w:t>
            </w:r>
          </w:p>
        </w:tc>
        <w:tc>
          <w:tcPr>
            <w:tcW w:w="1065" w:type="dxa"/>
            <w:tcBorders>
              <w:top w:val="nil"/>
              <w:left w:val="nil"/>
              <w:right w:val="nil"/>
            </w:tcBorders>
          </w:tcPr>
          <w:p>
            <w:pPr>
              <w:pStyle w:val="TableParagraph"/>
              <w:spacing w:before="115"/>
              <w:ind w:right="372"/>
              <w:jc w:val="right"/>
              <w:rPr>
                <w:b/>
                <w:sz w:val="16"/>
              </w:rPr>
            </w:pPr>
            <w:r>
              <w:rPr>
                <w:b/>
                <w:sz w:val="16"/>
              </w:rPr>
              <w:t>0.29</w:t>
            </w:r>
          </w:p>
        </w:tc>
        <w:tc>
          <w:tcPr>
            <w:tcW w:w="993" w:type="dxa"/>
            <w:tcBorders>
              <w:top w:val="nil"/>
              <w:left w:val="nil"/>
              <w:right w:val="nil"/>
            </w:tcBorders>
          </w:tcPr>
          <w:p>
            <w:pPr>
              <w:pStyle w:val="TableParagraph"/>
              <w:spacing w:before="115"/>
              <w:ind w:left="354" w:right="318"/>
              <w:jc w:val="center"/>
              <w:rPr>
                <w:b/>
                <w:sz w:val="16"/>
              </w:rPr>
            </w:pPr>
            <w:r>
              <w:rPr>
                <w:b/>
                <w:sz w:val="16"/>
              </w:rPr>
              <w:t>3.59</w:t>
            </w:r>
          </w:p>
        </w:tc>
      </w:tr>
    </w:tbl>
    <w:p>
      <w:pPr>
        <w:pStyle w:val="BodyText"/>
        <w:rPr>
          <w:b/>
          <w:sz w:val="20"/>
        </w:rPr>
      </w:pPr>
    </w:p>
    <w:p>
      <w:pPr>
        <w:pStyle w:val="BodyText"/>
        <w:rPr>
          <w:b/>
          <w:sz w:val="19"/>
        </w:rPr>
      </w:pPr>
      <w:r>
        <w:rPr/>
        <w:drawing>
          <wp:anchor distT="0" distB="0" distL="0" distR="0" allowOverlap="1" layoutInCell="1" locked="0" behindDoc="0" simplePos="0" relativeHeight="1360">
            <wp:simplePos x="0" y="0"/>
            <wp:positionH relativeFrom="page">
              <wp:posOffset>1098803</wp:posOffset>
            </wp:positionH>
            <wp:positionV relativeFrom="paragraph">
              <wp:posOffset>164020</wp:posOffset>
            </wp:positionV>
            <wp:extent cx="5955874" cy="2020252"/>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45" cstate="print"/>
                    <a:stretch>
                      <a:fillRect/>
                    </a:stretch>
                  </pic:blipFill>
                  <pic:spPr>
                    <a:xfrm>
                      <a:off x="0" y="0"/>
                      <a:ext cx="5955874" cy="2020252"/>
                    </a:xfrm>
                    <a:prstGeom prst="rect">
                      <a:avLst/>
                    </a:prstGeom>
                  </pic:spPr>
                </pic:pic>
              </a:graphicData>
            </a:graphic>
          </wp:anchor>
        </w:drawing>
      </w:r>
    </w:p>
    <w:p>
      <w:pPr>
        <w:pStyle w:val="BodyText"/>
        <w:spacing w:before="8"/>
        <w:rPr>
          <w:b/>
          <w:sz w:val="20"/>
        </w:rPr>
      </w:pPr>
    </w:p>
    <w:p>
      <w:pPr>
        <w:spacing w:line="276" w:lineRule="auto" w:before="81"/>
        <w:ind w:left="933" w:right="604" w:firstLine="0"/>
        <w:jc w:val="left"/>
        <w:rPr>
          <w:sz w:val="16"/>
        </w:rPr>
      </w:pPr>
      <w:r>
        <w:rPr>
          <w:sz w:val="16"/>
        </w:rPr>
        <w:t>Figure 1. Electrophoresis in agarose gel at 2% of 39 faba bean populations, using primer ISSR 848. M: molecular weights marker; T: non-related species, W: water.</w:t>
      </w:r>
    </w:p>
    <w:p>
      <w:pPr>
        <w:spacing w:after="0" w:line="276" w:lineRule="auto"/>
        <w:jc w:val="left"/>
        <w:rPr>
          <w:sz w:val="16"/>
        </w:rPr>
        <w:sectPr>
          <w:pgSz w:w="12240" w:h="15840"/>
          <w:pgMar w:header="0" w:footer="1494" w:top="1500" w:bottom="1700" w:left="146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spacing w:line="276" w:lineRule="auto" w:before="0"/>
        <w:ind w:left="790" w:right="1687" w:firstLine="0"/>
        <w:jc w:val="left"/>
        <w:rPr>
          <w:sz w:val="16"/>
        </w:rPr>
      </w:pPr>
      <w:r>
        <w:rPr/>
        <w:drawing>
          <wp:anchor distT="0" distB="0" distL="0" distR="0" allowOverlap="1" layoutInCell="1" locked="0" behindDoc="0" simplePos="0" relativeHeight="1384">
            <wp:simplePos x="0" y="0"/>
            <wp:positionH relativeFrom="page">
              <wp:posOffset>1098803</wp:posOffset>
            </wp:positionH>
            <wp:positionV relativeFrom="paragraph">
              <wp:posOffset>-5134879</wp:posOffset>
            </wp:positionV>
            <wp:extent cx="6673595" cy="4722876"/>
            <wp:effectExtent l="0" t="0" r="0" b="0"/>
            <wp:wrapNone/>
            <wp:docPr id="9" name="image6.png" descr=""/>
            <wp:cNvGraphicFramePr>
              <a:graphicFrameLocks noChangeAspect="1"/>
            </wp:cNvGraphicFramePr>
            <a:graphic>
              <a:graphicData uri="http://schemas.openxmlformats.org/drawingml/2006/picture">
                <pic:pic>
                  <pic:nvPicPr>
                    <pic:cNvPr id="10" name="image6.png"/>
                    <pic:cNvPicPr/>
                  </pic:nvPicPr>
                  <pic:blipFill>
                    <a:blip r:embed="rId46" cstate="print"/>
                    <a:stretch>
                      <a:fillRect/>
                    </a:stretch>
                  </pic:blipFill>
                  <pic:spPr>
                    <a:xfrm>
                      <a:off x="0" y="0"/>
                      <a:ext cx="6673595" cy="4722876"/>
                    </a:xfrm>
                    <a:prstGeom prst="rect">
                      <a:avLst/>
                    </a:prstGeom>
                  </pic:spPr>
                </pic:pic>
              </a:graphicData>
            </a:graphic>
          </wp:anchor>
        </w:drawing>
      </w:r>
      <w:r>
        <w:rPr>
          <w:sz w:val="16"/>
        </w:rPr>
        <w:t>Figure 2. Dendrogram from the UPGMA grouping analysis, using Dice coefficient and ISSR molecular markers in 39 faba bean populations; the number of nodes indicates the percentage obtained with 1000 bootstrapping.</w:t>
      </w:r>
    </w:p>
    <w:p>
      <w:pPr>
        <w:spacing w:after="0" w:line="276" w:lineRule="auto"/>
        <w:jc w:val="left"/>
        <w:rPr>
          <w:sz w:val="16"/>
        </w:rPr>
        <w:sectPr>
          <w:pgSz w:w="12240" w:h="15840"/>
          <w:pgMar w:header="0" w:footer="1494" w:top="1500" w:bottom="1740" w:left="1620" w:right="0"/>
        </w:sect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ind w:left="130"/>
        <w:rPr>
          <w:sz w:val="20"/>
        </w:rPr>
      </w:pPr>
      <w:r>
        <w:rPr>
          <w:sz w:val="20"/>
        </w:rPr>
        <w:drawing>
          <wp:inline distT="0" distB="0" distL="0" distR="0">
            <wp:extent cx="5956672" cy="3934110"/>
            <wp:effectExtent l="0" t="0" r="0" b="0"/>
            <wp:docPr id="11" name="image7.png" descr=""/>
            <wp:cNvGraphicFramePr>
              <a:graphicFrameLocks noChangeAspect="1"/>
            </wp:cNvGraphicFramePr>
            <a:graphic>
              <a:graphicData uri="http://schemas.openxmlformats.org/drawingml/2006/picture">
                <pic:pic>
                  <pic:nvPicPr>
                    <pic:cNvPr id="12" name="image7.png"/>
                    <pic:cNvPicPr/>
                  </pic:nvPicPr>
                  <pic:blipFill>
                    <a:blip r:embed="rId48" cstate="print"/>
                    <a:stretch>
                      <a:fillRect/>
                    </a:stretch>
                  </pic:blipFill>
                  <pic:spPr>
                    <a:xfrm>
                      <a:off x="0" y="0"/>
                      <a:ext cx="5956672" cy="393411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2"/>
        </w:rPr>
      </w:pPr>
    </w:p>
    <w:p>
      <w:pPr>
        <w:spacing w:line="276" w:lineRule="auto" w:before="0"/>
        <w:ind w:left="102" w:right="0" w:firstLine="0"/>
        <w:jc w:val="left"/>
        <w:rPr>
          <w:sz w:val="20"/>
        </w:rPr>
      </w:pPr>
      <w:r>
        <w:rPr>
          <w:sz w:val="20"/>
        </w:rPr>
        <w:t>Figure 3. PCA results of the two first discriminating axes for the 39 faba bean accessions produced by 12 ISSR markers.</w:t>
      </w:r>
    </w:p>
    <w:p>
      <w:pPr>
        <w:spacing w:after="0" w:line="276" w:lineRule="auto"/>
        <w:jc w:val="left"/>
        <w:rPr>
          <w:sz w:val="20"/>
        </w:rPr>
        <w:sectPr>
          <w:footerReference w:type="default" r:id="rId47"/>
          <w:pgSz w:w="12240" w:h="15840"/>
          <w:pgMar w:footer="1671" w:header="0" w:top="1500" w:bottom="1860" w:left="1600" w:right="1000"/>
        </w:sectPr>
      </w:pPr>
    </w:p>
    <w:p>
      <w:pPr>
        <w:pStyle w:val="BodyText"/>
        <w:spacing w:before="4"/>
        <w:rPr>
          <w:sz w:val="17"/>
        </w:rPr>
      </w:pPr>
    </w:p>
    <w:p>
      <w:pPr>
        <w:spacing w:after="0"/>
        <w:rPr>
          <w:sz w:val="17"/>
        </w:rPr>
        <w:sectPr>
          <w:footerReference w:type="default" r:id="rId49"/>
          <w:pgSz w:w="15840" w:h="12240" w:orient="landscape"/>
          <w:pgMar w:footer="0" w:header="0" w:top="1140" w:bottom="280" w:left="2260" w:right="2260"/>
        </w:sectPr>
      </w:pPr>
    </w:p>
    <w:p>
      <w:pPr>
        <w:pStyle w:val="BodyText"/>
        <w:ind w:left="303"/>
        <w:rPr>
          <w:sz w:val="20"/>
        </w:rPr>
      </w:pPr>
      <w:r>
        <w:rPr>
          <w:sz w:val="20"/>
        </w:rPr>
        <w:drawing>
          <wp:inline distT="0" distB="0" distL="0" distR="0">
            <wp:extent cx="5327847" cy="7355205"/>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51" cstate="print"/>
                    <a:stretch>
                      <a:fillRect/>
                    </a:stretch>
                  </pic:blipFill>
                  <pic:spPr>
                    <a:xfrm>
                      <a:off x="0" y="0"/>
                      <a:ext cx="5327847" cy="7355205"/>
                    </a:xfrm>
                    <a:prstGeom prst="rect">
                      <a:avLst/>
                    </a:prstGeom>
                  </pic:spPr>
                </pic:pic>
              </a:graphicData>
            </a:graphic>
          </wp:inline>
        </w:drawing>
      </w:r>
      <w:r>
        <w:rPr>
          <w:sz w:val="20"/>
        </w:rPr>
      </w:r>
    </w:p>
    <w:p>
      <w:pPr>
        <w:spacing w:after="0"/>
        <w:rPr>
          <w:sz w:val="20"/>
        </w:rPr>
        <w:sectPr>
          <w:footerReference w:type="default" r:id="rId50"/>
          <w:pgSz w:w="12240" w:h="15840"/>
          <w:pgMar w:footer="1604" w:header="0" w:top="1420" w:bottom="1800" w:left="1720" w:right="1300"/>
        </w:sectPr>
      </w:pPr>
    </w:p>
    <w:p>
      <w:pPr>
        <w:pStyle w:val="Heading2"/>
      </w:pPr>
      <w:r>
        <w:rPr/>
        <w:t>Artículo II:</w:t>
      </w:r>
    </w:p>
    <w:p>
      <w:pPr>
        <w:pStyle w:val="BodyText"/>
        <w:rPr>
          <w:b/>
        </w:rPr>
      </w:pPr>
    </w:p>
    <w:p>
      <w:pPr>
        <w:spacing w:line="482" w:lineRule="auto" w:before="197"/>
        <w:ind w:left="102" w:right="114" w:firstLine="0"/>
        <w:jc w:val="both"/>
        <w:rPr>
          <w:b/>
          <w:sz w:val="24"/>
        </w:rPr>
      </w:pPr>
      <w:r>
        <w:rPr>
          <w:b/>
          <w:sz w:val="24"/>
        </w:rPr>
        <w:t>Variabilidad fenotípica en colectas de haba provenientes del Valle Toluca-Atlacomulco, México</w:t>
      </w:r>
    </w:p>
    <w:p>
      <w:pPr>
        <w:spacing w:before="206"/>
        <w:ind w:left="102" w:right="0" w:firstLine="0"/>
        <w:jc w:val="both"/>
        <w:rPr>
          <w:b/>
          <w:sz w:val="24"/>
        </w:rPr>
      </w:pPr>
      <w:r>
        <w:rPr>
          <w:b/>
          <w:color w:val="212121"/>
          <w:sz w:val="24"/>
        </w:rPr>
        <w:t>Phenotypic variability in faba bean accessions from Toluca-Atlacomulco Valley, Mexico</w:t>
      </w:r>
    </w:p>
    <w:p>
      <w:pPr>
        <w:pStyle w:val="BodyText"/>
        <w:rPr>
          <w:b/>
        </w:rPr>
      </w:pPr>
    </w:p>
    <w:p>
      <w:pPr>
        <w:pStyle w:val="BodyText"/>
        <w:spacing w:line="468" w:lineRule="auto" w:before="179"/>
        <w:ind w:left="102" w:right="115"/>
        <w:jc w:val="both"/>
        <w:rPr>
          <w:sz w:val="16"/>
        </w:rPr>
      </w:pPr>
      <w:r>
        <w:rPr/>
        <w:t>María Elena Salazar-Laureles</w:t>
      </w:r>
      <w:r>
        <w:rPr>
          <w:position w:val="9"/>
          <w:sz w:val="16"/>
        </w:rPr>
        <w:t>1</w:t>
      </w:r>
      <w:r>
        <w:rPr/>
        <w:t>, Delfina de Jesús Pérez-López</w:t>
      </w:r>
      <w:r>
        <w:rPr>
          <w:position w:val="9"/>
          <w:sz w:val="16"/>
        </w:rPr>
        <w:t>1*</w:t>
      </w:r>
      <w:r>
        <w:rPr/>
        <w:t>,Andrés González-Huerta</w:t>
      </w:r>
      <w:r>
        <w:rPr>
          <w:position w:val="9"/>
          <w:sz w:val="16"/>
        </w:rPr>
        <w:t>1</w:t>
      </w:r>
      <w:r>
        <w:rPr/>
        <w:t>,Luis Miguel  Vázquez-García, y Carlos Aguilar-Ortigosa</w:t>
      </w:r>
      <w:r>
        <w:rPr>
          <w:position w:val="9"/>
          <w:sz w:val="16"/>
        </w:rPr>
        <w:t>2</w:t>
      </w:r>
    </w:p>
    <w:p>
      <w:pPr>
        <w:pStyle w:val="BodyText"/>
        <w:spacing w:line="360" w:lineRule="auto" w:before="190"/>
        <w:ind w:left="102" w:right="121"/>
        <w:jc w:val="both"/>
      </w:pPr>
      <w:r>
        <w:rPr>
          <w:position w:val="9"/>
          <w:sz w:val="16"/>
        </w:rPr>
        <w:t>1</w:t>
      </w:r>
      <w:r>
        <w:rPr/>
        <w:t>Centro de Investigación y Estudios Avanzados en Fitomejoramiento, Facultad de Ciencias Agrícolas, Universidad Autónoma del Estado de México.El Cerrillo Piedras Blancas, Municipio de Toluca, México.Teléfono: (+52) 722 2965518. Ext. 148.</w:t>
      </w:r>
    </w:p>
    <w:p>
      <w:pPr>
        <w:pStyle w:val="BodyText"/>
        <w:spacing w:before="190"/>
        <w:ind w:left="102"/>
        <w:jc w:val="both"/>
      </w:pPr>
      <w:r>
        <w:rPr>
          <w:position w:val="9"/>
          <w:sz w:val="16"/>
        </w:rPr>
        <w:t>2</w:t>
      </w:r>
      <w:r>
        <w:rPr/>
        <w:t>Centro Universitario UAEM Tenancingo,  Universidad Autónoma del Estado de México. Km</w:t>
      </w:r>
    </w:p>
    <w:p>
      <w:pPr>
        <w:pStyle w:val="BodyText"/>
        <w:spacing w:before="137"/>
        <w:ind w:left="102"/>
        <w:jc w:val="both"/>
      </w:pPr>
      <w:r>
        <w:rPr/>
        <w:t>1.5 Carretera Tenancingo-Villa Guerrero, México. C.P. 52414.</w:t>
      </w:r>
    </w:p>
    <w:p>
      <w:pPr>
        <w:pStyle w:val="BodyText"/>
        <w:spacing w:before="1"/>
        <w:rPr>
          <w:sz w:val="28"/>
        </w:rPr>
      </w:pPr>
    </w:p>
    <w:p>
      <w:pPr>
        <w:pStyle w:val="BodyText"/>
        <w:spacing w:line="362" w:lineRule="auto"/>
        <w:ind w:left="102" w:right="117"/>
        <w:jc w:val="both"/>
      </w:pPr>
      <w:r>
        <w:rPr>
          <w:position w:val="9"/>
          <w:sz w:val="16"/>
        </w:rPr>
        <w:t>3</w:t>
      </w:r>
      <w:r>
        <w:rPr/>
        <w:t>Facultad de Ciencias, Universidad Autónoma del Estado de México. El Cerrillo Piedras Blancas, Municipio de Toluca, México.</w:t>
      </w:r>
    </w:p>
    <w:p>
      <w:pPr>
        <w:spacing w:before="200"/>
        <w:ind w:left="102" w:right="0" w:firstLine="0"/>
        <w:jc w:val="both"/>
        <w:rPr>
          <w:b/>
          <w:sz w:val="24"/>
        </w:rPr>
      </w:pPr>
      <w:r>
        <w:rPr>
          <w:color w:val="212121"/>
          <w:sz w:val="24"/>
        </w:rPr>
        <w:t>Runnig title</w:t>
      </w:r>
      <w:r>
        <w:rPr>
          <w:b/>
          <w:color w:val="212121"/>
          <w:sz w:val="24"/>
        </w:rPr>
        <w:t>: Phenotypic variability in bean</w:t>
      </w:r>
    </w:p>
    <w:p>
      <w:pPr>
        <w:pStyle w:val="BodyText"/>
        <w:rPr>
          <w:b/>
        </w:rPr>
      </w:pPr>
    </w:p>
    <w:p>
      <w:pPr>
        <w:pStyle w:val="BodyText"/>
        <w:spacing w:before="201"/>
        <w:ind w:left="102" w:right="117"/>
        <w:jc w:val="center"/>
      </w:pPr>
      <w:r>
        <w:rPr/>
        <w:t>(Con 7 Tablas y 2 Figuras)</w:t>
      </w:r>
    </w:p>
    <w:p>
      <w:pPr>
        <w:pStyle w:val="BodyText"/>
      </w:pPr>
    </w:p>
    <w:p>
      <w:pPr>
        <w:pStyle w:val="BodyText"/>
        <w:spacing w:line="482" w:lineRule="auto" w:before="197"/>
        <w:ind w:left="102" w:right="115"/>
        <w:jc w:val="both"/>
      </w:pPr>
      <w:r>
        <w:rPr>
          <w:color w:val="212121"/>
        </w:rPr>
        <w:t>Corresponding author: Dra. Delfina de Jesús Pérez López. </w:t>
      </w:r>
      <w:r>
        <w:rPr/>
        <w:t>Fax and Phone: (+52) 722 2965518. Ext. 148. E-mail: </w:t>
      </w:r>
      <w:hyperlink r:id="rId35">
        <w:r>
          <w:rPr>
            <w:u w:val="single"/>
          </w:rPr>
          <w:t>djperezl@uaemex.mx</w:t>
        </w:r>
      </w:hyperlink>
    </w:p>
    <w:p>
      <w:pPr>
        <w:pStyle w:val="BodyText"/>
        <w:spacing w:before="11"/>
        <w:rPr>
          <w:sz w:val="11"/>
        </w:rPr>
      </w:pPr>
    </w:p>
    <w:p>
      <w:pPr>
        <w:pStyle w:val="BodyText"/>
        <w:spacing w:before="69"/>
        <w:ind w:left="102" w:right="101"/>
      </w:pPr>
      <w:r>
        <w:rPr/>
        <w:t>Operating System and Word Processor: Windows XP - Microsoft Word 2003</w:t>
      </w:r>
    </w:p>
    <w:p>
      <w:pPr>
        <w:spacing w:after="0"/>
        <w:sectPr>
          <w:footerReference w:type="default" r:id="rId52"/>
          <w:pgSz w:w="12240" w:h="15840"/>
          <w:pgMar w:footer="1923" w:header="0" w:top="1360" w:bottom="2120" w:left="1600" w:right="1300"/>
          <w:pgNumType w:start="50"/>
        </w:sectPr>
      </w:pPr>
    </w:p>
    <w:p>
      <w:pPr>
        <w:pStyle w:val="BodyText"/>
        <w:spacing w:line="480" w:lineRule="auto" w:before="50"/>
        <w:ind w:left="102" w:right="116"/>
        <w:jc w:val="both"/>
      </w:pPr>
      <w:r>
        <w:rPr>
          <w:b/>
        </w:rPr>
        <w:t>Abstract. </w:t>
      </w:r>
      <w:r>
        <w:rPr/>
        <w:t>This research was carried out during spring-summer 2013 in San Mateo Atenco, State of Mexico, Mexico, in order to estimate the components of variance and inheritability in 39 faba bean cultivars and to identify the outstanding genetic material from quantitative and qualitative characters. An experimental design of full blocks at random with three repetitions was utilized. The qualitative characters were described according to the Technical Guide for Varietal Description in Faba Bean by the National Service of Seed Inspection and  Certification (Mexico). The results showed statistical significance (P ≤ 0.01) between cultivars for each quantitative character. Inheritability in a broad sense varied from 30.7 to 99%. The highest seed performance was registered in collections identified as T8 (4.16 t ha-1), T5 (3.90  t ha-1) and T 27 (3.80t ha-1). Principal component analysis explained 65.2% of the total original variation and in this it was observed that performance positively and significantly correlated with the number of pods, pod weight and seed weight. In the conglomerate analysis four groups were formed. The analysis of conglomerates allowed identifying four groups, of which group 3 comprised the populations with the best agronomic descriptors</w:t>
      </w:r>
      <w:r>
        <w:rPr>
          <w:spacing w:val="-11"/>
        </w:rPr>
        <w:t> </w:t>
      </w:r>
      <w:r>
        <w:rPr/>
        <w:t>assessed.</w:t>
      </w:r>
    </w:p>
    <w:p>
      <w:pPr>
        <w:pStyle w:val="BodyText"/>
      </w:pPr>
    </w:p>
    <w:p>
      <w:pPr>
        <w:pStyle w:val="BodyText"/>
        <w:spacing w:before="10"/>
      </w:pPr>
    </w:p>
    <w:p>
      <w:pPr>
        <w:pStyle w:val="BodyText"/>
        <w:spacing w:line="480" w:lineRule="auto"/>
        <w:ind w:left="102" w:right="118"/>
        <w:jc w:val="both"/>
      </w:pPr>
      <w:r>
        <w:rPr>
          <w:b/>
        </w:rPr>
        <w:t>Key words: </w:t>
      </w:r>
      <w:r>
        <w:rPr/>
        <w:t>Morphological and agronomical character analysis, multivariate analysis, Central Mexico highlands, </w:t>
      </w:r>
      <w:r>
        <w:rPr>
          <w:i/>
        </w:rPr>
        <w:t>Vicia faba </w:t>
      </w:r>
      <w:r>
        <w:rPr/>
        <w:t>L.</w:t>
      </w:r>
    </w:p>
    <w:p>
      <w:pPr>
        <w:spacing w:after="0" w:line="480" w:lineRule="auto"/>
        <w:jc w:val="both"/>
        <w:sectPr>
          <w:pgSz w:w="12240" w:h="15840"/>
          <w:pgMar w:header="0" w:footer="1923" w:top="1360" w:bottom="2240" w:left="1600" w:right="1300"/>
        </w:sectPr>
      </w:pPr>
    </w:p>
    <w:p>
      <w:pPr>
        <w:pStyle w:val="BodyText"/>
        <w:spacing w:line="480" w:lineRule="auto" w:before="50"/>
        <w:ind w:left="102" w:right="114"/>
        <w:jc w:val="both"/>
      </w:pPr>
      <w:r>
        <w:rPr>
          <w:b/>
        </w:rPr>
        <w:t>Resumen. </w:t>
      </w:r>
      <w:r>
        <w:rPr/>
        <w:t>Este estudio se realizó en el ciclo primavera verano del 2013 en San Mateo Atenco, estado de México, México, con el objetivo de estimar los componentes de varianza y la heredabilidad en 39 cultivares de haba e identificar material genético sobresaliente a partir de caracteres cuantitativos y cualitativos. Se utilizó un diseño experimental de  bloques  completos al azar con tres repeticiones. Los caracteres cualitativos se describieron de acuerdo con la Guía Técnica para la Descripción Varietal en Haba del Servicio Nacional de Inspección y Certificación de Semillas (SNICS). Los resultados mostraron significancia estadística (P ≤ 0.01) entre cultivares para cada carácter cuantitativo. </w:t>
      </w:r>
      <w:r>
        <w:rPr>
          <w:spacing w:val="-3"/>
        </w:rPr>
        <w:t>La </w:t>
      </w:r>
      <w:r>
        <w:rPr/>
        <w:t>heredabilidad en sentido amplio varío de 30.7 a 99%. El mayor rendimiento de semilla se registró en las colectas identificadas como T8 (4.16 t ha</w:t>
      </w:r>
      <w:r>
        <w:rPr>
          <w:position w:val="9"/>
          <w:sz w:val="16"/>
        </w:rPr>
        <w:t>-1</w:t>
      </w:r>
      <w:r>
        <w:rPr/>
        <w:t>), T5 (3.90 t ha</w:t>
      </w:r>
      <w:r>
        <w:rPr>
          <w:position w:val="9"/>
          <w:sz w:val="16"/>
        </w:rPr>
        <w:t>-1</w:t>
      </w:r>
      <w:r>
        <w:rPr/>
        <w:t>) y T 27 (3.80t ha</w:t>
      </w:r>
      <w:r>
        <w:rPr>
          <w:position w:val="9"/>
          <w:sz w:val="16"/>
        </w:rPr>
        <w:t>-1</w:t>
      </w:r>
      <w:r>
        <w:rPr/>
        <w:t>). El análisis de componentes principales explicó el 65.2 % de la variación total original y en éste se observó que el rendimiento se correlacionó positiva y significativamente con número de vainas, peso de vainas y peso de semilla. En el análisis de conglomerados se formaron cuatro</w:t>
      </w:r>
      <w:r>
        <w:rPr>
          <w:spacing w:val="-15"/>
        </w:rPr>
        <w:t> </w:t>
      </w:r>
      <w:r>
        <w:rPr/>
        <w:t>grupos.</w:t>
      </w:r>
    </w:p>
    <w:p>
      <w:pPr>
        <w:pStyle w:val="BodyText"/>
        <w:spacing w:line="482" w:lineRule="auto" w:before="207"/>
        <w:ind w:left="102" w:right="118"/>
        <w:jc w:val="both"/>
      </w:pPr>
      <w:r>
        <w:rPr>
          <w:b/>
        </w:rPr>
        <w:t>Palabras clave: </w:t>
      </w:r>
      <w:r>
        <w:rPr/>
        <w:t>Análisis de caracteres morfológicos y agronómicos, Análisis multivariados, Valles Altos del Centro de México, </w:t>
      </w:r>
      <w:r>
        <w:rPr>
          <w:i/>
        </w:rPr>
        <w:t>Vicia faba </w:t>
      </w:r>
      <w:r>
        <w:rPr/>
        <w:t>L.</w:t>
      </w:r>
    </w:p>
    <w:p>
      <w:pPr>
        <w:spacing w:after="0" w:line="482" w:lineRule="auto"/>
        <w:jc w:val="both"/>
        <w:sectPr>
          <w:footerReference w:type="default" r:id="rId53"/>
          <w:pgSz w:w="12240" w:h="15840"/>
          <w:pgMar w:footer="1755" w:header="0" w:top="1360" w:bottom="1940" w:left="1600" w:right="1300"/>
        </w:sectPr>
      </w:pPr>
    </w:p>
    <w:p>
      <w:pPr>
        <w:pStyle w:val="Heading2"/>
        <w:ind w:right="101"/>
        <w:jc w:val="left"/>
      </w:pPr>
      <w:r>
        <w:rPr/>
        <w:t>INTRODUCCIÓN</w:t>
      </w:r>
    </w:p>
    <w:p>
      <w:pPr>
        <w:pStyle w:val="BodyText"/>
        <w:rPr>
          <w:b/>
        </w:rPr>
      </w:pPr>
    </w:p>
    <w:p>
      <w:pPr>
        <w:pStyle w:val="BodyText"/>
        <w:spacing w:line="480" w:lineRule="auto" w:before="192"/>
        <w:ind w:left="102" w:right="117" w:firstLine="707"/>
        <w:jc w:val="both"/>
      </w:pPr>
      <w:r>
        <w:rPr/>
        <w:t>El estudio de la variabilidad basada en los rasgos morfológicos y agronómicos es una herramienta fundamental en los esquemas de mejoramiento genético y en la conservación eficiente de germoplasma (Pearce et al., 2000, Cordeiro et al., 2003). El haba es una especie parcialmente alógama, lo que hace más caro y difícil el mantenimiento de la identidad  genética de los cultivares (Duc et al., 2010;Pearce et al., 2000), por ello los materiales criollos o nativos que a través del tiempo han fijado genes de interés, representan una importante fuente de germoplasma (Yahia et al.,</w:t>
      </w:r>
      <w:r>
        <w:rPr>
          <w:spacing w:val="-8"/>
        </w:rPr>
        <w:t> </w:t>
      </w:r>
      <w:r>
        <w:rPr/>
        <w:t>2012).</w:t>
      </w:r>
    </w:p>
    <w:p>
      <w:pPr>
        <w:pStyle w:val="BodyText"/>
        <w:spacing w:line="480" w:lineRule="auto" w:before="207"/>
        <w:ind w:left="102" w:right="112" w:firstLine="707"/>
        <w:jc w:val="both"/>
      </w:pPr>
      <w:r>
        <w:rPr/>
        <w:t>Desde hace dos décadas se han hecho estudios intensivos sobre la variabilidad fenotípica que existe en caracteres de interés agronómico: en el Mediterráneo, Suso et al. (1993) y Terzopoulos et al</w:t>
      </w:r>
      <w:r>
        <w:rPr>
          <w:i/>
        </w:rPr>
        <w:t>. </w:t>
      </w:r>
      <w:r>
        <w:rPr/>
        <w:t>(2003); en Alemania y Francia se ha encontrado amplia variabilidad en floración, precocidad, hábito de crecimiento, arquitectura del tallo, longitud de entrenudos, número de ramas, tipo de crecimiento y rigidez del tallo (Arbaoui et al., 2008); en Siria se ha reportado amplia diversidad en la pigmentación del tallo, tamaño y forma de los foliolos, color de la mancha de melanina en el ala y el estandarte, ángulo, forma, superficie, color y distribución de las vainas, y en diversos colores en la semilla, en la testa y en el </w:t>
      </w:r>
      <w:r>
        <w:rPr>
          <w:i/>
        </w:rPr>
        <w:t>hilium</w:t>
      </w:r>
      <w:r>
        <w:rPr/>
        <w:t>(Robertson y El-Sherbeeny, 1991); en Etiopía las habas son diferentes principalmente  en el tamaño de las hojas y en la posición y color de las vainas. En China,  Li-juan et al.  (1993) encontraron que los cultivares se diferenciaron básicamente en el tamaño de la vaina, en el número de semillas por vaina y en el color de la semilla. La sanidad, el tamaño y el color de las semillas son características muy importantes para los agricultores mexicanos y ellos</w:t>
      </w:r>
      <w:r>
        <w:rPr>
          <w:spacing w:val="-21"/>
        </w:rPr>
        <w:t> </w:t>
      </w:r>
      <w:r>
        <w:rPr/>
        <w:t>los</w:t>
      </w:r>
    </w:p>
    <w:p>
      <w:pPr>
        <w:spacing w:after="0" w:line="480" w:lineRule="auto"/>
        <w:jc w:val="both"/>
        <w:sectPr>
          <w:footerReference w:type="default" r:id="rId54"/>
          <w:pgSz w:w="12240" w:h="15840"/>
          <w:pgMar w:footer="2005" w:header="0" w:top="1360" w:bottom="2200" w:left="1600" w:right="1300"/>
        </w:sectPr>
      </w:pPr>
    </w:p>
    <w:p>
      <w:pPr>
        <w:pStyle w:val="BodyText"/>
        <w:spacing w:line="482" w:lineRule="auto" w:before="50"/>
        <w:ind w:left="102" w:right="101"/>
      </w:pPr>
      <w:r>
        <w:rPr/>
        <w:t>emplean para la identificación de cultivares sobresalientes (Díaz et al</w:t>
      </w:r>
      <w:r>
        <w:rPr>
          <w:i/>
        </w:rPr>
        <w:t>., </w:t>
      </w:r>
      <w:r>
        <w:rPr/>
        <w:t>2008; Rojas et al</w:t>
      </w:r>
      <w:r>
        <w:rPr>
          <w:i/>
        </w:rPr>
        <w:t>., </w:t>
      </w:r>
      <w:r>
        <w:rPr/>
        <w:t>2012).</w:t>
      </w:r>
    </w:p>
    <w:p>
      <w:pPr>
        <w:pStyle w:val="BodyText"/>
        <w:spacing w:line="480" w:lineRule="auto" w:before="204"/>
        <w:ind w:left="102" w:right="114" w:firstLine="707"/>
        <w:jc w:val="both"/>
      </w:pPr>
      <w:r>
        <w:rPr/>
        <w:t>Duc et al. (2010) reportaron cerca de 38 000 accesiones de haba agrupadas en 37 colecciones, la mayoría provenientes de Asia, África y Europa. En América, y particularmente en México, no se cuenta con un banco de genes que resguarde la diversidad genética del germoplasma existente. El mejoramiento genético y la generación de tecnología en esta leguminosa es incipiente; los agricultores de esta región del Centro de México son los poseedores de las poblaciones nativas que ellos han seleccionado empíricamente y también lo son del paquete tecnológico que usan en su explotación (Orozco et al., 2013; Rojas et al.,  2012; Díaz et al., 2008;Pérez et al.,</w:t>
      </w:r>
      <w:r>
        <w:rPr>
          <w:spacing w:val="-7"/>
        </w:rPr>
        <w:t> </w:t>
      </w:r>
      <w:r>
        <w:rPr/>
        <w:t>2007).</w:t>
      </w:r>
    </w:p>
    <w:p>
      <w:pPr>
        <w:pStyle w:val="BodyText"/>
        <w:spacing w:line="480" w:lineRule="auto" w:before="207"/>
        <w:ind w:left="102" w:right="114" w:firstLine="707"/>
        <w:jc w:val="both"/>
      </w:pPr>
      <w:r>
        <w:rPr/>
        <w:t>En el contexto anterior, el objetivo principal del presente estudio fue describir 27 caracteres agronómicos en 39 cultivares de haba colectadas en el Valle Toluca-Atlacomulco, México, con base en la Guía Técnica para la Descripción Varietal de Haba del Servicio Nacional de Inspección y Certificación de Semillas (SNICS, 2001) para identificar materiales sobresalientes que permitan su recomendación en siembra comercial, para iniciar nuevos programas de fitomejoramiento o para generar tecnología.</w:t>
      </w:r>
    </w:p>
    <w:p>
      <w:pPr>
        <w:spacing w:after="0" w:line="480" w:lineRule="auto"/>
        <w:jc w:val="both"/>
        <w:sectPr>
          <w:footerReference w:type="default" r:id="rId55"/>
          <w:pgSz w:w="12240" w:h="15840"/>
          <w:pgMar w:footer="1755" w:header="0" w:top="1360" w:bottom="1940" w:left="1600" w:right="1300"/>
        </w:sectPr>
      </w:pPr>
    </w:p>
    <w:p>
      <w:pPr>
        <w:pStyle w:val="BodyText"/>
        <w:rPr>
          <w:sz w:val="20"/>
        </w:rPr>
      </w:pPr>
    </w:p>
    <w:p>
      <w:pPr>
        <w:pStyle w:val="BodyText"/>
        <w:rPr>
          <w:sz w:val="20"/>
        </w:rPr>
      </w:pPr>
    </w:p>
    <w:p>
      <w:pPr>
        <w:pStyle w:val="Heading2"/>
        <w:spacing w:before="209"/>
        <w:ind w:right="101"/>
        <w:jc w:val="left"/>
      </w:pPr>
      <w:r>
        <w:rPr/>
        <w:t>MATERIALES Y MÉTODOS</w:t>
      </w:r>
    </w:p>
    <w:p>
      <w:pPr>
        <w:pStyle w:val="BodyText"/>
        <w:rPr>
          <w:b/>
        </w:rPr>
      </w:pPr>
    </w:p>
    <w:p>
      <w:pPr>
        <w:spacing w:before="199"/>
        <w:ind w:left="102" w:right="101" w:firstLine="0"/>
        <w:jc w:val="left"/>
        <w:rPr>
          <w:b/>
          <w:sz w:val="24"/>
        </w:rPr>
      </w:pPr>
      <w:r>
        <w:rPr>
          <w:b/>
          <w:sz w:val="24"/>
        </w:rPr>
        <w:t>Descripción del área de estudio</w:t>
      </w:r>
    </w:p>
    <w:p>
      <w:pPr>
        <w:pStyle w:val="BodyText"/>
        <w:rPr>
          <w:b/>
        </w:rPr>
      </w:pPr>
    </w:p>
    <w:p>
      <w:pPr>
        <w:pStyle w:val="BodyText"/>
        <w:spacing w:line="480" w:lineRule="auto" w:before="194"/>
        <w:ind w:left="102" w:right="111" w:firstLine="707"/>
        <w:jc w:val="both"/>
      </w:pPr>
      <w:r>
        <w:rPr/>
        <w:t>Este estudio se realizó en el ciclo primavera verano del 2013 en el Barrio de  Guadalupe, Municipio de San Mateo Atenco, Estado de México, México, ubicado a 99</w:t>
      </w:r>
      <w:r>
        <w:rPr>
          <w:rFonts w:ascii="Cambria Math" w:hAnsi="Cambria Math"/>
        </w:rPr>
        <w:t>⁰ </w:t>
      </w:r>
      <w:r>
        <w:rPr/>
        <w:t>31´ 10´´ LN y 99</w:t>
      </w:r>
      <w:r>
        <w:rPr>
          <w:rFonts w:ascii="Cambria Math" w:hAnsi="Cambria Math"/>
        </w:rPr>
        <w:t>⁰ </w:t>
      </w:r>
      <w:r>
        <w:rPr/>
        <w:t>34´ 05´´ de LO, a 2570 msnm. Los suelos predominantes son de origen aluvial  </w:t>
      </w:r>
      <w:r>
        <w:rPr>
          <w:position w:val="2"/>
        </w:rPr>
        <w:t>y el 87 % de su superficie son del tipo feozem. El clima común es de C (w</w:t>
      </w:r>
      <w:r>
        <w:rPr>
          <w:sz w:val="16"/>
        </w:rPr>
        <w:t>2</w:t>
      </w:r>
      <w:r>
        <w:rPr>
          <w:position w:val="2"/>
        </w:rPr>
        <w:t>) (w) b (i´´)g es </w:t>
      </w:r>
      <w:r>
        <w:rPr/>
        <w:t>decir, templado subhúmedo, con verano largo y lluvia invernal. Su temperatura media varía de 10 a  12</w:t>
      </w:r>
      <w:r>
        <w:rPr>
          <w:rFonts w:ascii="Cambria Math" w:hAnsi="Cambria Math"/>
        </w:rPr>
        <w:t>⁰ </w:t>
      </w:r>
      <w:r>
        <w:rPr/>
        <w:t>C y la precipitación de 700 a 900 mm (García,</w:t>
      </w:r>
      <w:r>
        <w:rPr>
          <w:spacing w:val="-4"/>
        </w:rPr>
        <w:t> </w:t>
      </w:r>
      <w:r>
        <w:rPr/>
        <w:t>1988).</w:t>
      </w:r>
    </w:p>
    <w:p>
      <w:pPr>
        <w:pStyle w:val="BodyText"/>
        <w:spacing w:before="9"/>
        <w:rPr>
          <w:sz w:val="18"/>
        </w:rPr>
      </w:pPr>
    </w:p>
    <w:p>
      <w:pPr>
        <w:pStyle w:val="Heading2"/>
        <w:spacing w:before="0"/>
        <w:ind w:right="101"/>
        <w:jc w:val="left"/>
      </w:pPr>
      <w:r>
        <w:rPr/>
        <w:t>Material genético</w:t>
      </w:r>
    </w:p>
    <w:p>
      <w:pPr>
        <w:pStyle w:val="BodyText"/>
        <w:rPr>
          <w:b/>
        </w:rPr>
      </w:pPr>
    </w:p>
    <w:p>
      <w:pPr>
        <w:pStyle w:val="BodyText"/>
        <w:spacing w:line="480" w:lineRule="auto" w:before="194"/>
        <w:ind w:left="102" w:right="114" w:firstLine="707"/>
        <w:jc w:val="both"/>
      </w:pPr>
      <w:r>
        <w:rPr/>
        <w:t>Se consideraron 39 cultivares de haba: 35 de éstas colectadas en los Municipios Mexiquenses de Acambay, Jocotitlán, Calimaya, Mexicaltzingo, Santa Cruz Atizapán, Santiago Tiangusitenco, Almoloya del Rio, Toluca, Zinacantepec, Metepec, Lerma y San Felipe del Progreso, y cuatro variedades formadas por el Instituto de Investigación y Capacitación Agropecuaria, Acuícola y Forestal del Estado de México (ICAMEX). En la  Tabla 1 se muestra el código de identificación, el lugar de colecta, las características de las semillas, la altitud y las coordenadas geográficas donde fueron colectadas las 39</w:t>
      </w:r>
      <w:r>
        <w:rPr>
          <w:spacing w:val="-21"/>
        </w:rPr>
        <w:t> </w:t>
      </w:r>
      <w:r>
        <w:rPr/>
        <w:t>accesiones.</w:t>
      </w:r>
    </w:p>
    <w:p>
      <w:pPr>
        <w:pStyle w:val="Heading2"/>
        <w:spacing w:before="215"/>
        <w:ind w:right="101"/>
        <w:jc w:val="left"/>
      </w:pPr>
      <w:r>
        <w:rPr/>
        <w:t>Diseño experimental  y tamaño de la parcela</w:t>
      </w:r>
    </w:p>
    <w:p>
      <w:pPr>
        <w:pStyle w:val="BodyText"/>
        <w:rPr>
          <w:b/>
        </w:rPr>
      </w:pPr>
    </w:p>
    <w:p>
      <w:pPr>
        <w:pStyle w:val="BodyText"/>
        <w:spacing w:line="482" w:lineRule="auto" w:before="192"/>
        <w:ind w:left="102" w:right="117" w:firstLine="707"/>
        <w:jc w:val="both"/>
      </w:pPr>
      <w:r>
        <w:rPr/>
        <w:t>Los 39 cultivares se establecieron en campo en un diseño experimental de bloques completos  al azar con  tres repeticiones.  La parcela constó  de  tres  surcos  de 4 x 0.80 m y el</w:t>
      </w:r>
    </w:p>
    <w:p>
      <w:pPr>
        <w:spacing w:after="0" w:line="482" w:lineRule="auto"/>
        <w:jc w:val="both"/>
        <w:sectPr>
          <w:footerReference w:type="default" r:id="rId56"/>
          <w:pgSz w:w="12240" w:h="15840"/>
          <w:pgMar w:footer="1522" w:header="0" w:top="1500" w:bottom="1720" w:left="1600" w:right="1300"/>
        </w:sectPr>
      </w:pPr>
    </w:p>
    <w:p>
      <w:pPr>
        <w:pStyle w:val="BodyText"/>
        <w:spacing w:before="57"/>
        <w:ind w:left="102" w:right="101"/>
      </w:pPr>
      <w:r>
        <w:rPr/>
        <w:t>surco central  fue la parcela útil (3.20 m</w:t>
      </w:r>
      <w:r>
        <w:rPr>
          <w:position w:val="9"/>
          <w:sz w:val="16"/>
        </w:rPr>
        <w:t>2</w:t>
      </w:r>
      <w:r>
        <w:rPr/>
        <w:t>).</w:t>
      </w:r>
    </w:p>
    <w:p>
      <w:pPr>
        <w:pStyle w:val="BodyText"/>
        <w:rPr>
          <w:sz w:val="26"/>
        </w:rPr>
      </w:pPr>
    </w:p>
    <w:p>
      <w:pPr>
        <w:pStyle w:val="Heading2"/>
        <w:spacing w:before="181"/>
        <w:ind w:right="101"/>
        <w:jc w:val="left"/>
      </w:pPr>
      <w:r>
        <w:rPr/>
        <w:t>Manejo agronómico</w:t>
      </w:r>
    </w:p>
    <w:p>
      <w:pPr>
        <w:pStyle w:val="BodyText"/>
        <w:rPr>
          <w:b/>
        </w:rPr>
      </w:pPr>
    </w:p>
    <w:p>
      <w:pPr>
        <w:pStyle w:val="BodyText"/>
        <w:spacing w:line="477" w:lineRule="auto" w:before="192"/>
        <w:ind w:left="102" w:right="114" w:firstLine="707"/>
        <w:jc w:val="both"/>
      </w:pPr>
      <w:r>
        <w:rPr/>
        <w:t>La preparación del terreno fue mecánica. La siembra se realizó el 20 de abril del 2013. La fertilización orgánica consistió en aplicar 2.5 t ha</w:t>
      </w:r>
      <w:r>
        <w:rPr>
          <w:position w:val="9"/>
          <w:sz w:val="16"/>
        </w:rPr>
        <w:t>-1 </w:t>
      </w:r>
      <w:r>
        <w:rPr/>
        <w:t>de estiércol de bovino. Se suministraron dos riegos de auxilio después de la siembra (7 de mayo y 7 de junio); se hicieron dos escardas (17 de mayo y 8 de junio) y el control de malezas fue manual. La cosecha se realizó después que el material genético alcanzó la madurez fisiológica.</w:t>
      </w:r>
    </w:p>
    <w:p>
      <w:pPr>
        <w:pStyle w:val="BodyText"/>
        <w:rPr>
          <w:sz w:val="19"/>
        </w:rPr>
      </w:pPr>
    </w:p>
    <w:p>
      <w:pPr>
        <w:pStyle w:val="Heading2"/>
        <w:spacing w:before="1"/>
        <w:ind w:right="101"/>
        <w:jc w:val="left"/>
      </w:pPr>
      <w:r>
        <w:rPr/>
        <w:t>Variables registradas</w:t>
      </w:r>
    </w:p>
    <w:p>
      <w:pPr>
        <w:pStyle w:val="BodyText"/>
        <w:rPr>
          <w:b/>
        </w:rPr>
      </w:pPr>
    </w:p>
    <w:p>
      <w:pPr>
        <w:pStyle w:val="BodyText"/>
        <w:spacing w:line="480" w:lineRule="auto" w:before="192"/>
        <w:ind w:left="102" w:right="116" w:firstLine="707"/>
        <w:jc w:val="both"/>
      </w:pPr>
      <w:r>
        <w:rPr/>
        <w:t>Se eligieron 10 plantas como unidad de muestreo en cada una de las unidades experimentales útiles y se registraron 27 variables: 16 cualitativas y 11 cuantitativas. Las variables cuantitativas fueron número de tallos (NT), número de nudos (NN), numero de foliolos (NFo), porcentaje de floración (PF), número de flores por nudo (NFN), número de vainas por planta (NVP), peso de vaina (PVP, g), número de semillas por vaina (NSV), peso de 100 semillas (P100S, g). Se registró el peso de semilla por parcela experimental (PSP) y con éste se estimó el rendimiento de grano por hectárea (RHA). Las variables cualitativas registradas con la Guía Técnica del SNICS (2001) fueron:  Hábito de Crecimiento (HC),  Altura de Planta (AP), Coloración de Antocianinas del Follaje (CAF), Color del Follaje (CF), Longitud de la Flor (LF), Extensión de la Coloración de las Antocianinas en la Flor (ECAF), Presencia de la Mancha de Melanina en el Ala (PMMA), Color de la Mancha de Melanina en el   Ala   (CMMA),  Mancha   de   Melanina   en   el   Estandarte  (MME),  Coloración   de</w:t>
      </w:r>
      <w:r>
        <w:rPr>
          <w:spacing w:val="49"/>
        </w:rPr>
        <w:t> </w:t>
      </w:r>
      <w:r>
        <w:rPr/>
        <w:t>las</w:t>
      </w:r>
    </w:p>
    <w:p>
      <w:pPr>
        <w:spacing w:after="0" w:line="480" w:lineRule="auto"/>
        <w:jc w:val="both"/>
        <w:sectPr>
          <w:footerReference w:type="default" r:id="rId57"/>
          <w:pgSz w:w="12240" w:h="15840"/>
          <w:pgMar w:footer="2156" w:header="0" w:top="1340" w:bottom="2340" w:left="1600" w:right="1300"/>
        </w:sectPr>
      </w:pPr>
    </w:p>
    <w:p>
      <w:pPr>
        <w:pStyle w:val="BodyText"/>
        <w:spacing w:line="482" w:lineRule="auto" w:before="50"/>
        <w:ind w:left="102" w:right="118"/>
        <w:jc w:val="both"/>
      </w:pPr>
      <w:r>
        <w:rPr/>
        <w:t>Antocianinas en el Estandarte (CAE), Porte de la Vaina (PV), Grado de Curvatura de la Vaina (GCV),  Intensidad de Coloración Verde de la Vaina (ICVV), Forma de </w:t>
      </w:r>
      <w:r>
        <w:rPr>
          <w:spacing w:val="3"/>
        </w:rPr>
        <w:t>la </w:t>
      </w:r>
      <w:r>
        <w:rPr/>
        <w:t>Semilla (FS),   Color de la Semilla (CS) y Presencia de</w:t>
      </w:r>
      <w:r>
        <w:rPr>
          <w:spacing w:val="-10"/>
        </w:rPr>
        <w:t> </w:t>
      </w:r>
      <w:r>
        <w:rPr/>
        <w:t>Hilium(PH).</w:t>
      </w:r>
    </w:p>
    <w:p>
      <w:pPr>
        <w:pStyle w:val="Heading2"/>
        <w:spacing w:before="211"/>
      </w:pPr>
      <w:r>
        <w:rPr/>
        <w:t>Análisis estadístico</w:t>
      </w:r>
    </w:p>
    <w:p>
      <w:pPr>
        <w:pStyle w:val="BodyText"/>
        <w:rPr>
          <w:b/>
        </w:rPr>
      </w:pPr>
    </w:p>
    <w:p>
      <w:pPr>
        <w:pStyle w:val="BodyText"/>
        <w:spacing w:line="480" w:lineRule="auto" w:before="192"/>
        <w:ind w:left="102" w:right="110" w:firstLine="707"/>
        <w:jc w:val="both"/>
      </w:pPr>
      <w:r>
        <w:rPr/>
        <w:t>Se hizo un análisis de varianza y sus cuadrados medios fueron empleados para calcular los componentes de varianza y la heredabilidad en sentido amplio (H</w:t>
      </w:r>
      <w:r>
        <w:rPr>
          <w:position w:val="9"/>
          <w:sz w:val="16"/>
        </w:rPr>
        <w:t>2</w:t>
      </w:r>
      <w:r>
        <w:rPr/>
        <w:t>), este último  considerado como un estimador de la variabilidad genética existente entre cultivares (Pérez et al., 2007). También se hizo una comparación de medias entre cultivares con la prueba de Tukey (α=0.01). Las medias aritméticas de cada cultivar para las 11 variables cuantitativas fueron utilizados para obtener una matriz de datos: los cultivares se asignaron a las hileras y los valores de cada variable a las columnas. Con esta matriz se obtuvieron los análisis de componentes principales (ACP; Sánchez, 1995) y de conglomerados (Método de la media aritmética no ponderada, UPGMA Method, por sus siglas en inglés). Ambos análisis se realizaron con el Sistema para Análisis Estadístico (Statistical Analysis System, SAS, 1988);  la gráfica del </w:t>
      </w:r>
      <w:r>
        <w:rPr>
          <w:i/>
        </w:rPr>
        <w:t>biplot </w:t>
      </w:r>
      <w:r>
        <w:rPr/>
        <w:t>se hizo con Microsoft Excel 2010, usando las puntuaciones de los dos primeros componentes principales (Pérez et al.,</w:t>
      </w:r>
      <w:r>
        <w:rPr>
          <w:spacing w:val="-7"/>
        </w:rPr>
        <w:t> </w:t>
      </w:r>
      <w:r>
        <w:rPr/>
        <w:t>2007).</w:t>
      </w:r>
    </w:p>
    <w:p>
      <w:pPr>
        <w:spacing w:after="0" w:line="480" w:lineRule="auto"/>
        <w:jc w:val="both"/>
        <w:sectPr>
          <w:footerReference w:type="default" r:id="rId58"/>
          <w:pgSz w:w="12240" w:h="15840"/>
          <w:pgMar w:footer="1755" w:header="0" w:top="1360" w:bottom="1940" w:left="1600" w:right="1300"/>
        </w:sectPr>
      </w:pPr>
    </w:p>
    <w:p>
      <w:pPr>
        <w:pStyle w:val="Heading2"/>
        <w:ind w:right="101"/>
        <w:jc w:val="left"/>
      </w:pPr>
      <w:r>
        <w:rPr/>
        <w:t>RESULTADOS Y DISCUSIÓN</w:t>
      </w:r>
    </w:p>
    <w:p>
      <w:pPr>
        <w:pStyle w:val="BodyText"/>
        <w:rPr>
          <w:b/>
        </w:rPr>
      </w:pPr>
    </w:p>
    <w:p>
      <w:pPr>
        <w:spacing w:before="199"/>
        <w:ind w:left="102" w:right="101" w:firstLine="0"/>
        <w:jc w:val="left"/>
        <w:rPr>
          <w:b/>
          <w:sz w:val="24"/>
        </w:rPr>
      </w:pPr>
      <w:r>
        <w:rPr>
          <w:b/>
          <w:sz w:val="24"/>
        </w:rPr>
        <w:t>Análisis de varianza</w:t>
      </w:r>
    </w:p>
    <w:p>
      <w:pPr>
        <w:pStyle w:val="BodyText"/>
        <w:rPr>
          <w:b/>
        </w:rPr>
      </w:pPr>
    </w:p>
    <w:p>
      <w:pPr>
        <w:pStyle w:val="BodyText"/>
        <w:spacing w:line="480" w:lineRule="auto" w:before="192"/>
        <w:ind w:left="102" w:right="114" w:firstLine="707"/>
        <w:jc w:val="both"/>
      </w:pPr>
      <w:r>
        <w:rPr/>
        <w:t>En el presente estudio (Tabla 2) se observó que los efectos de los cultivares fueron altamente significativos (P ≤ 0.01) en número de nudos (NN), porcentaje de floración (PF), número de flores por planta (NFP), número de vainas por planta (NVP), peso de vaina por planta (PVP), número de semillas por vaina (NSV), peso de 100 semillas (P100S), peso de semilla por parcela (PSP) y rendimiento por hectárea (RHA). Estos resultados son similares a los reportados por Yahia et al. (2012) y permiten deducir que para estas variables es posible la identificación de material genético sobresaliente. Los valores medios (Tabla 3) indican variabilidad para la mayoría de  los caracteres evaluados, misma que puede ser explicada por  la adaptación diferencial de los genotipos en el ambiente evaluado, tal como lo comentan Duc et al.,</w:t>
      </w:r>
      <w:r>
        <w:rPr>
          <w:spacing w:val="-4"/>
        </w:rPr>
        <w:t> </w:t>
      </w:r>
      <w:r>
        <w:rPr/>
        <w:t>(2010).</w:t>
      </w:r>
    </w:p>
    <w:p>
      <w:pPr>
        <w:pStyle w:val="BodyText"/>
        <w:spacing w:before="10"/>
        <w:rPr>
          <w:sz w:val="18"/>
        </w:rPr>
      </w:pPr>
    </w:p>
    <w:p>
      <w:pPr>
        <w:pStyle w:val="Heading2"/>
        <w:spacing w:before="0"/>
        <w:ind w:right="101"/>
        <w:jc w:val="left"/>
      </w:pPr>
      <w:r>
        <w:rPr/>
        <w:t>Componentes de varianza y heredabilidad</w:t>
      </w:r>
    </w:p>
    <w:p>
      <w:pPr>
        <w:pStyle w:val="BodyText"/>
        <w:rPr>
          <w:b/>
        </w:rPr>
      </w:pPr>
    </w:p>
    <w:p>
      <w:pPr>
        <w:pStyle w:val="BodyText"/>
        <w:spacing w:line="472" w:lineRule="auto" w:before="192"/>
        <w:ind w:left="102" w:right="113" w:firstLine="707"/>
        <w:jc w:val="both"/>
      </w:pPr>
      <w:r>
        <w:rPr/>
        <w:t>Los componentes de varianza (CV) se evalúan en términos de respuesta a la selección  y el empleo del método de momentos, calculado con sus funciones lineales, permite estimar la variabilidad genética (H</w:t>
      </w:r>
      <w:r>
        <w:rPr>
          <w:position w:val="9"/>
          <w:sz w:val="16"/>
        </w:rPr>
        <w:t>2</w:t>
      </w:r>
      <w:r>
        <w:rPr/>
        <w:t>) que existe entre cultivares cuando se emplean los cuadrados medios del análisis de varianza (Shimelis y Shringani, 2010). En el presente estudio se observó  que  en la mayoría de los caracteres cuantitativos la H</w:t>
      </w:r>
      <w:r>
        <w:rPr>
          <w:position w:val="9"/>
          <w:sz w:val="16"/>
        </w:rPr>
        <w:t>2 </w:t>
      </w:r>
      <w:r>
        <w:rPr/>
        <w:t>varío de 30.7 a 99.80 % (Tabla 4). En caracteres cuantitativos, como el rendimiento de semilla, es deseable que los valores de H</w:t>
      </w:r>
      <w:r>
        <w:rPr>
          <w:position w:val="9"/>
          <w:sz w:val="16"/>
        </w:rPr>
        <w:t>2 </w:t>
      </w:r>
      <w:r>
        <w:rPr/>
        <w:t>sean superiores al 50 % (Filippeti y Ricciardi, 1988; Khare y Singh, 1991; Bakheit, 1992)</w:t>
      </w:r>
      <w:r>
        <w:rPr>
          <w:spacing w:val="-15"/>
        </w:rPr>
        <w:t> </w:t>
      </w:r>
      <w:r>
        <w:rPr/>
        <w:t>para</w:t>
      </w:r>
    </w:p>
    <w:p>
      <w:pPr>
        <w:spacing w:after="0" w:line="472" w:lineRule="auto"/>
        <w:jc w:val="both"/>
        <w:sectPr>
          <w:footerReference w:type="default" r:id="rId59"/>
          <w:pgSz w:w="12240" w:h="15840"/>
          <w:pgMar w:footer="2005" w:header="0" w:top="1360" w:bottom="2200" w:left="1600" w:right="1300"/>
          <w:pgNumType w:start="58"/>
        </w:sectPr>
      </w:pPr>
    </w:p>
    <w:p>
      <w:pPr>
        <w:pStyle w:val="BodyText"/>
        <w:spacing w:line="480" w:lineRule="auto" w:before="50"/>
        <w:ind w:left="102" w:right="117"/>
        <w:jc w:val="both"/>
      </w:pPr>
      <w:r>
        <w:rPr/>
        <w:t>contribuir a una mayor respuesta a la selección o para optimizar la asociación genotipo x ambiente. Sin embargo, estos resultados contrastan con los obtenidos por  Alan  y Geren (2007) quienes reportaron heredabilidades menores al 50 % en altura de planta (29%), número de tallos (17.6 %), vainas por planta (3%), semillas por vaina (47%) y peso de 100 semillas (30%).</w:t>
      </w:r>
    </w:p>
    <w:p>
      <w:pPr>
        <w:pStyle w:val="Heading2"/>
        <w:spacing w:before="214"/>
      </w:pPr>
      <w:r>
        <w:rPr/>
        <w:t>Análisis de componentes principales</w:t>
      </w:r>
    </w:p>
    <w:p>
      <w:pPr>
        <w:pStyle w:val="BodyText"/>
        <w:rPr>
          <w:b/>
        </w:rPr>
      </w:pPr>
    </w:p>
    <w:p>
      <w:pPr>
        <w:pStyle w:val="BodyText"/>
        <w:spacing w:line="477" w:lineRule="auto" w:before="192"/>
        <w:ind w:left="102" w:right="116" w:firstLine="707"/>
        <w:jc w:val="both"/>
      </w:pPr>
      <w:r>
        <w:rPr/>
        <w:t>En el biplot que se construyó con los cultivares y las variables se observó que los componentes principales 1 (41.6%) y 2 (23.6 %) explicaron el 65.2 % de la variación total original (Figura 1). Sánchez (1995) y Perez et al. (2009) mencionaron que este porcentaje es deseable para interpretar confiablemente las correlaciones que existen entre ambos. La dispersión de los 39 cultivares en los cuatro cuadrantes del biplot sugiere que hay variabilidad genética que está disponible para iniciar un nuevo programa de  mejoramiento.  La  variabilidad fenotípica que se detectó en las 39 colectas de haba fue mayor en NN, PF, NFP, NVP, PVP, P100S, PSP y RHA. La colecta 8 (T8), proveniente de Tixmadejo, Municipio de Acambay,</w:t>
      </w:r>
      <w:r>
        <w:rPr>
          <w:spacing w:val="22"/>
        </w:rPr>
        <w:t> </w:t>
      </w:r>
      <w:r>
        <w:rPr/>
        <w:t>mostró</w:t>
      </w:r>
      <w:r>
        <w:rPr>
          <w:spacing w:val="19"/>
        </w:rPr>
        <w:t> </w:t>
      </w:r>
      <w:r>
        <w:rPr/>
        <w:t>un</w:t>
      </w:r>
      <w:r>
        <w:rPr>
          <w:spacing w:val="20"/>
        </w:rPr>
        <w:t> </w:t>
      </w:r>
      <w:r>
        <w:rPr/>
        <w:t>rendimiento</w:t>
      </w:r>
      <w:r>
        <w:rPr>
          <w:spacing w:val="20"/>
        </w:rPr>
        <w:t> </w:t>
      </w:r>
      <w:r>
        <w:rPr/>
        <w:t>de</w:t>
      </w:r>
      <w:r>
        <w:rPr>
          <w:spacing w:val="19"/>
        </w:rPr>
        <w:t> </w:t>
      </w:r>
      <w:r>
        <w:rPr/>
        <w:t>4.16</w:t>
      </w:r>
      <w:r>
        <w:rPr>
          <w:spacing w:val="20"/>
        </w:rPr>
        <w:t> </w:t>
      </w:r>
      <w:r>
        <w:rPr/>
        <w:t>t</w:t>
      </w:r>
      <w:r>
        <w:rPr>
          <w:spacing w:val="20"/>
        </w:rPr>
        <w:t> </w:t>
      </w:r>
      <w:r>
        <w:rPr/>
        <w:t>ha</w:t>
      </w:r>
      <w:r>
        <w:rPr>
          <w:position w:val="9"/>
          <w:sz w:val="16"/>
        </w:rPr>
        <w:t>-1</w:t>
      </w:r>
      <w:r>
        <w:rPr>
          <w:spacing w:val="22"/>
          <w:position w:val="9"/>
          <w:sz w:val="16"/>
        </w:rPr>
        <w:t> </w:t>
      </w:r>
      <w:r>
        <w:rPr/>
        <w:t>valor</w:t>
      </w:r>
      <w:r>
        <w:rPr>
          <w:spacing w:val="20"/>
        </w:rPr>
        <w:t> </w:t>
      </w:r>
      <w:r>
        <w:rPr/>
        <w:t>mayor</w:t>
      </w:r>
      <w:r>
        <w:rPr>
          <w:spacing w:val="21"/>
        </w:rPr>
        <w:t> </w:t>
      </w:r>
      <w:r>
        <w:rPr/>
        <w:t>al</w:t>
      </w:r>
      <w:r>
        <w:rPr>
          <w:spacing w:val="20"/>
        </w:rPr>
        <w:t> </w:t>
      </w:r>
      <w:r>
        <w:rPr/>
        <w:t>promedio</w:t>
      </w:r>
      <w:r>
        <w:rPr>
          <w:spacing w:val="23"/>
        </w:rPr>
        <w:t> </w:t>
      </w:r>
      <w:r>
        <w:rPr/>
        <w:t>nacional</w:t>
      </w:r>
      <w:r>
        <w:rPr>
          <w:spacing w:val="20"/>
        </w:rPr>
        <w:t> </w:t>
      </w:r>
      <w:r>
        <w:rPr/>
        <w:t>que</w:t>
      </w:r>
      <w:r>
        <w:rPr>
          <w:spacing w:val="19"/>
        </w:rPr>
        <w:t> </w:t>
      </w:r>
      <w:r>
        <w:rPr/>
        <w:t>es</w:t>
      </w:r>
      <w:r>
        <w:rPr>
          <w:spacing w:val="22"/>
        </w:rPr>
        <w:t> </w:t>
      </w:r>
      <w:r>
        <w:rPr/>
        <w:t>de</w:t>
      </w:r>
    </w:p>
    <w:p>
      <w:pPr>
        <w:pStyle w:val="BodyText"/>
        <w:spacing w:line="270" w:lineRule="exact"/>
        <w:ind w:left="102"/>
        <w:jc w:val="both"/>
      </w:pPr>
      <w:r>
        <w:rPr/>
        <w:t>0.99  t  ha</w:t>
      </w:r>
      <w:r>
        <w:rPr>
          <w:position w:val="9"/>
          <w:sz w:val="16"/>
        </w:rPr>
        <w:t>-1</w:t>
      </w:r>
      <w:r>
        <w:rPr/>
        <w:t>.  T8  también  mostró  superioridad  en  número  de  nudos  (11.76),  porcentaje de</w:t>
      </w:r>
    </w:p>
    <w:p>
      <w:pPr>
        <w:pStyle w:val="BodyText"/>
      </w:pPr>
    </w:p>
    <w:p>
      <w:pPr>
        <w:pStyle w:val="BodyText"/>
        <w:spacing w:line="480" w:lineRule="auto"/>
        <w:ind w:left="102" w:right="117"/>
        <w:jc w:val="both"/>
      </w:pPr>
      <w:r>
        <w:rPr/>
        <w:t>floración (90%) y peso de vaina por planta (152.83 g), seguido P5 (Pueblo Nuevo) de Acambay y P27 (Santa Cruz Cuahutenco) de Zinacantepec (Tabla3). Estos resultados son similares a los observados por Neal y Mcvetty (1983) quienes concluyeron que de 68.5 a  76.4</w:t>
      </w:r>
    </w:p>
    <w:p>
      <w:pPr>
        <w:pStyle w:val="BodyText"/>
        <w:spacing w:line="482" w:lineRule="auto" w:before="11"/>
        <w:ind w:left="102" w:right="120"/>
        <w:jc w:val="both"/>
      </w:pPr>
      <w:r>
        <w:rPr/>
        <w:t>% de la variabilidad en el rendimiento de semilla se debe al número de vainas producidas por planta   (Singh et al.,  1987; </w:t>
      </w:r>
      <w:r>
        <w:rPr>
          <w:color w:val="212121"/>
        </w:rPr>
        <w:t>De  Costa et al., 1997</w:t>
      </w:r>
      <w:r>
        <w:rPr/>
        <w:t>; Chaieb  et al., 2011), a semillas  por  vaina</w:t>
      </w:r>
    </w:p>
    <w:p>
      <w:pPr>
        <w:spacing w:after="0" w:line="482" w:lineRule="auto"/>
        <w:jc w:val="both"/>
        <w:sectPr>
          <w:pgSz w:w="12240" w:h="15840"/>
          <w:pgMar w:header="0" w:footer="2005" w:top="1360" w:bottom="2200" w:left="1600" w:right="1300"/>
        </w:sectPr>
      </w:pPr>
    </w:p>
    <w:p>
      <w:pPr>
        <w:pStyle w:val="BodyText"/>
        <w:spacing w:line="480" w:lineRule="auto" w:before="50"/>
        <w:ind w:left="102" w:right="112"/>
        <w:jc w:val="right"/>
      </w:pPr>
      <w:r>
        <w:rPr/>
        <w:t>(Alan y Geren, 2007), al peso de 100 semillas</w:t>
      </w:r>
      <w:r>
        <w:rPr>
          <w:color w:val="212121"/>
        </w:rPr>
        <w:t>(Baginsky et al., 2013) </w:t>
      </w:r>
      <w:r>
        <w:rPr/>
        <w:t>y al tamaño de la semilla (Al-Refaee et al., 2004). En este contexto se sugiere construir un índice de selección que considere estos caracteres para </w:t>
      </w:r>
      <w:r>
        <w:rPr>
          <w:color w:val="212121"/>
        </w:rPr>
        <w:t>formar </w:t>
      </w:r>
      <w:r>
        <w:rPr/>
        <w:t>nuevos cultivares con mayor</w:t>
      </w:r>
      <w:r>
        <w:rPr>
          <w:spacing w:val="56"/>
        </w:rPr>
        <w:t> </w:t>
      </w:r>
      <w:r>
        <w:rPr/>
        <w:t>rendimiento. Mohammed </w:t>
      </w:r>
      <w:r>
        <w:rPr>
          <w:i/>
        </w:rPr>
        <w:t>et al</w:t>
      </w:r>
      <w:r>
        <w:rPr/>
        <w:t>. (2013) concluyeron que el número de vainas y la eficiencia de la hoja también pueden usarse como criterio de selección indirecta para aumentar la productividad en esta leguminosa.</w:t>
      </w:r>
    </w:p>
    <w:p>
      <w:pPr>
        <w:pStyle w:val="BodyText"/>
        <w:spacing w:line="480" w:lineRule="auto" w:before="207"/>
        <w:ind w:left="102" w:right="116" w:firstLine="707"/>
        <w:jc w:val="both"/>
      </w:pPr>
      <w:r>
        <w:rPr/>
        <w:t>Aunque el número de vainas por planta ha sido considerado por muchos autores como la principal fuente de variación en el rendimiento del cultivo de haba (en condiciones muy favorables se llega a producir un exceso de vainas y también de abortos), el número de  semillas por metro cuadrado (dependiendo del número de vainas) es el factor que más afecta al rendimiento.</w:t>
      </w:r>
    </w:p>
    <w:p>
      <w:pPr>
        <w:pStyle w:val="Heading2"/>
        <w:spacing w:before="214"/>
        <w:ind w:right="101"/>
        <w:jc w:val="left"/>
      </w:pPr>
      <w:r>
        <w:rPr/>
        <w:t>Análisis de conglomerados</w:t>
      </w:r>
    </w:p>
    <w:p>
      <w:pPr>
        <w:pStyle w:val="BodyText"/>
        <w:rPr>
          <w:b/>
        </w:rPr>
      </w:pPr>
    </w:p>
    <w:p>
      <w:pPr>
        <w:pStyle w:val="BodyText"/>
        <w:spacing w:line="480" w:lineRule="auto" w:before="194"/>
        <w:ind w:left="102" w:right="114" w:firstLine="707"/>
        <w:jc w:val="both"/>
      </w:pPr>
      <w:r>
        <w:rPr/>
        <w:t>En el dendograma de la Figura 2, al cortar a una distancia promedio entre conglomerados de 0.8, se identificaron cuatro grupos: en el grupo IV sólo se identificó al cultivar 24, proveniente de Santiago Tianguistenco, que registró valores significativos en NN, NFo, NFP y el P100S que fue el más alto con respecto a todas las poblaciones, por lo que registró un RHA de 3.53; estos resultados son similares a los encontrados por (Alan y Geren, (2007) y </w:t>
      </w:r>
      <w:r>
        <w:rPr>
          <w:color w:val="212121"/>
        </w:rPr>
        <w:t>(Baginsky et al., (2013) </w:t>
      </w:r>
      <w:r>
        <w:rPr/>
        <w:t>quienes comentan que estos caracteres influyen de manera importante en el rendimiento; en el grupo II fueron comunes los cultivares identificados como T7 y T29 de Los Reyes, Jocotitlán y la variedad San Isidro de Metepec, respectivamente,</w:t>
      </w:r>
    </w:p>
    <w:p>
      <w:pPr>
        <w:spacing w:after="0" w:line="480" w:lineRule="auto"/>
        <w:jc w:val="both"/>
        <w:sectPr>
          <w:footerReference w:type="default" r:id="rId60"/>
          <w:pgSz w:w="12240" w:h="15840"/>
          <w:pgMar w:footer="1957" w:header="0" w:top="1360" w:bottom="2140" w:left="1600" w:right="1300"/>
          <w:pgNumType w:start="60"/>
        </w:sectPr>
      </w:pPr>
    </w:p>
    <w:p>
      <w:pPr>
        <w:pStyle w:val="BodyText"/>
        <w:spacing w:line="480" w:lineRule="auto" w:before="50"/>
        <w:ind w:left="102" w:right="114"/>
        <w:jc w:val="both"/>
      </w:pPr>
      <w:r>
        <w:rPr/>
        <w:t>ambos materiales mostraron características deseables en cuanto a NT, NFo, PVP, y un rendimiento experimental por arriba de las tres toneladas; el grupo I quedó conformado por T1,</w:t>
      </w:r>
      <w:r>
        <w:rPr>
          <w:spacing w:val="17"/>
        </w:rPr>
        <w:t> </w:t>
      </w:r>
      <w:r>
        <w:rPr/>
        <w:t>T32,</w:t>
      </w:r>
      <w:r>
        <w:rPr>
          <w:spacing w:val="17"/>
        </w:rPr>
        <w:t> </w:t>
      </w:r>
      <w:r>
        <w:rPr/>
        <w:t>T9,</w:t>
      </w:r>
      <w:r>
        <w:rPr>
          <w:spacing w:val="17"/>
        </w:rPr>
        <w:t> </w:t>
      </w:r>
      <w:r>
        <w:rPr/>
        <w:t>T36,</w:t>
      </w:r>
      <w:r>
        <w:rPr>
          <w:spacing w:val="17"/>
        </w:rPr>
        <w:t> </w:t>
      </w:r>
      <w:r>
        <w:rPr/>
        <w:t>T5,</w:t>
      </w:r>
      <w:r>
        <w:rPr>
          <w:spacing w:val="17"/>
        </w:rPr>
        <w:t> </w:t>
      </w:r>
      <w:r>
        <w:rPr/>
        <w:t>T8,</w:t>
      </w:r>
      <w:r>
        <w:rPr>
          <w:spacing w:val="17"/>
        </w:rPr>
        <w:t> </w:t>
      </w:r>
      <w:r>
        <w:rPr/>
        <w:t>T2,</w:t>
      </w:r>
      <w:r>
        <w:rPr>
          <w:spacing w:val="17"/>
        </w:rPr>
        <w:t> </w:t>
      </w:r>
      <w:r>
        <w:rPr/>
        <w:t>T27,</w:t>
      </w:r>
      <w:r>
        <w:rPr>
          <w:spacing w:val="17"/>
        </w:rPr>
        <w:t> </w:t>
      </w:r>
      <w:r>
        <w:rPr/>
        <w:t>T4,</w:t>
      </w:r>
      <w:r>
        <w:rPr>
          <w:spacing w:val="20"/>
        </w:rPr>
        <w:t> </w:t>
      </w:r>
      <w:r>
        <w:rPr/>
        <w:t>T30,</w:t>
      </w:r>
      <w:r>
        <w:rPr>
          <w:spacing w:val="17"/>
        </w:rPr>
        <w:t> </w:t>
      </w:r>
      <w:r>
        <w:rPr/>
        <w:t>T3,</w:t>
      </w:r>
      <w:r>
        <w:rPr>
          <w:spacing w:val="15"/>
        </w:rPr>
        <w:t> </w:t>
      </w:r>
      <w:r>
        <w:rPr/>
        <w:t>T26,</w:t>
      </w:r>
      <w:r>
        <w:rPr>
          <w:spacing w:val="17"/>
        </w:rPr>
        <w:t> </w:t>
      </w:r>
      <w:r>
        <w:rPr/>
        <w:t>T31,T17,</w:t>
      </w:r>
      <w:r>
        <w:rPr>
          <w:spacing w:val="17"/>
        </w:rPr>
        <w:t> </w:t>
      </w:r>
      <w:r>
        <w:rPr/>
        <w:t>T20</w:t>
      </w:r>
      <w:r>
        <w:rPr>
          <w:spacing w:val="20"/>
        </w:rPr>
        <w:t> </w:t>
      </w:r>
      <w:r>
        <w:rPr/>
        <w:t>y</w:t>
      </w:r>
      <w:r>
        <w:rPr>
          <w:spacing w:val="10"/>
        </w:rPr>
        <w:t> </w:t>
      </w:r>
      <w:r>
        <w:rPr/>
        <w:t>T25,</w:t>
      </w:r>
      <w:r>
        <w:rPr>
          <w:spacing w:val="20"/>
        </w:rPr>
        <w:t> </w:t>
      </w:r>
      <w:r>
        <w:rPr/>
        <w:t>las</w:t>
      </w:r>
      <w:r>
        <w:rPr>
          <w:spacing w:val="17"/>
        </w:rPr>
        <w:t> </w:t>
      </w:r>
      <w:r>
        <w:rPr/>
        <w:t>primeras</w:t>
      </w:r>
      <w:r>
        <w:rPr>
          <w:spacing w:val="18"/>
        </w:rPr>
        <w:t> </w:t>
      </w:r>
      <w:r>
        <w:rPr>
          <w:spacing w:val="-3"/>
        </w:rPr>
        <w:t>13</w:t>
      </w:r>
    </w:p>
    <w:p>
      <w:pPr>
        <w:pStyle w:val="BodyText"/>
        <w:spacing w:line="480" w:lineRule="auto" w:before="10"/>
        <w:ind w:left="102" w:right="112"/>
        <w:jc w:val="both"/>
      </w:pPr>
      <w:r>
        <w:rPr/>
        <w:t>pertenecen a la parte norte y centro del Valle Toluca-Atlacomulco, las tres últimas a la zona sur este; en términos de los caracteres agronómicos evaluados es el grupo más importante porque aglomera a las mejores poblaciones.En contraste, en el grupo III se clasificaron el resto de los cultivares con los valores medios más bajos. Tales resultados coinciden con Duc et al., (2010), quienes comentan que la respuesta de los genotipos es diferencial, </w:t>
      </w:r>
      <w:r>
        <w:rPr>
          <w:spacing w:val="-3"/>
        </w:rPr>
        <w:t>ya </w:t>
      </w:r>
      <w:r>
        <w:rPr/>
        <w:t>que la  adaptación al ambiente y su interacción con éste es determinante en una expresión fenotípica deseable.</w:t>
      </w:r>
    </w:p>
    <w:p>
      <w:pPr>
        <w:pStyle w:val="Heading2"/>
        <w:spacing w:before="214"/>
      </w:pPr>
      <w:r>
        <w:rPr/>
        <w:t>Caracteres cualitativos</w:t>
      </w:r>
    </w:p>
    <w:p>
      <w:pPr>
        <w:pStyle w:val="BodyText"/>
        <w:rPr>
          <w:b/>
        </w:rPr>
      </w:pPr>
    </w:p>
    <w:p>
      <w:pPr>
        <w:pStyle w:val="BodyText"/>
        <w:spacing w:line="480" w:lineRule="auto" w:before="192"/>
        <w:ind w:left="102" w:right="115" w:firstLine="707"/>
        <w:jc w:val="both"/>
      </w:pPr>
      <w:r>
        <w:rPr/>
        <w:t>La identificación de variabilidad genética entre y dentro de cultivares permite seleccionar variedades con características agronómicas deseables y contribuye al aumento parcial de la producción y de la calidad de la semilla de haba. La descripción varietal permite una discriminación fácil y rápida entre fenotipos (Franco e Hidalgo, 2003)generalmente son consideradas características altamente heredables, fácilmente detectadas a simple vista y con poca o nula variación a través de los ambientes. Además, pueden incluir un número limitado de caracteres adicionales que son deseables según el consenso de los usuarios de un cultivo en particular (Pérez et al., 2007). En el presente trabajo no se observaron diferencias fenotípicas en las 39 poblaciones en hábito de crecimiento (HC) determinado (D) y color verde grisáceo, excepto T29 (San Isidro) que fue verde y T35 que fue verde azulado; 12 cultivares</w:t>
      </w:r>
      <w:r>
        <w:rPr>
          <w:spacing w:val="-14"/>
        </w:rPr>
        <w:t> </w:t>
      </w:r>
      <w:r>
        <w:rPr/>
        <w:t>presentaron</w:t>
      </w:r>
    </w:p>
    <w:p>
      <w:pPr>
        <w:spacing w:after="0" w:line="480" w:lineRule="auto"/>
        <w:jc w:val="both"/>
        <w:sectPr>
          <w:pgSz w:w="12240" w:h="15840"/>
          <w:pgMar w:header="0" w:footer="1957" w:top="1360" w:bottom="2200" w:left="1600" w:right="1300"/>
        </w:sectPr>
      </w:pPr>
    </w:p>
    <w:p>
      <w:pPr>
        <w:pStyle w:val="BodyText"/>
        <w:spacing w:line="480" w:lineRule="auto" w:before="50"/>
        <w:ind w:left="102" w:right="118"/>
        <w:jc w:val="both"/>
      </w:pPr>
      <w:r>
        <w:rPr/>
        <w:t>coloración de antocianinas en el follaje.; la extensión de la coloración de las antocianinas fue grande sólo en T8, en 23 poblaciones fue mediana y en 15 pequeña; la presencia de mancha de melanina la registraron todas las poblaciones, el color de la mancha fue café, hubo presencia de mancha de melanina pero con ausencia de coloración (Tablas 5 y</w:t>
      </w:r>
      <w:r>
        <w:rPr>
          <w:spacing w:val="-10"/>
        </w:rPr>
        <w:t> </w:t>
      </w:r>
      <w:r>
        <w:rPr/>
        <w:t>6).</w:t>
      </w:r>
    </w:p>
    <w:p>
      <w:pPr>
        <w:pStyle w:val="BodyText"/>
        <w:spacing w:line="480" w:lineRule="auto" w:before="207"/>
        <w:ind w:left="102" w:right="114" w:firstLine="707"/>
        <w:jc w:val="both"/>
      </w:pPr>
      <w:r>
        <w:rPr/>
        <w:t>El porte de la vaina fue semierecto en 26 poblaciones, erecto en ocho y horizontal en cinco, ésta es importante para los productores </w:t>
      </w:r>
      <w:r>
        <w:rPr>
          <w:spacing w:val="-3"/>
        </w:rPr>
        <w:t>ya </w:t>
      </w:r>
      <w:r>
        <w:rPr/>
        <w:t>que un ángulo erecto de la vaina favorece la madurez fisiológica, la cosecha mecanizada y la resistencia y/o tolerancia a la sequía (Gresta  et al., 2009); no hubo grado de curvatura en 24 poblaciones, dos fueron de curvatura media y 13 débil; la intensidad del color verde de la vaina fue media en 20 poblaciones, débil en 13 y fuerte en seis. La forma de la semilla fue ovada en 21 poblaciones, oblonga en 15, elíptica en dos y solo en T29 fue rectangular; el color de la semilla fue café claro en todas las poblaciones excepto en T30 que fue jaspeado; todos los materiales presentaron </w:t>
      </w:r>
      <w:r>
        <w:rPr>
          <w:i/>
        </w:rPr>
        <w:t>hilium</w:t>
      </w:r>
      <w:r>
        <w:rPr/>
        <w:t>(Tabla7). Los caracteres morfológicos de tipo cualitativo, como hábito de crecimiento, altura de planta, color del follaje y presencia de flores, entre otros, son los que permiten la identificación visual de  los genotipos en campo; así una mayor o menor uniformidad y adaptación de los genotipos influirá en su uso final por parte de los productores (Madriz y Luciani,</w:t>
      </w:r>
      <w:r>
        <w:rPr>
          <w:spacing w:val="-10"/>
        </w:rPr>
        <w:t> </w:t>
      </w:r>
      <w:r>
        <w:rPr/>
        <w:t>2002).</w:t>
      </w:r>
    </w:p>
    <w:p>
      <w:pPr>
        <w:spacing w:after="0" w:line="480" w:lineRule="auto"/>
        <w:jc w:val="both"/>
        <w:sectPr>
          <w:pgSz w:w="12240" w:h="15840"/>
          <w:pgMar w:header="0" w:footer="1957" w:top="1360" w:bottom="2140" w:left="1600" w:right="1300"/>
        </w:sectPr>
      </w:pPr>
    </w:p>
    <w:p>
      <w:pPr>
        <w:pStyle w:val="Heading2"/>
        <w:ind w:right="101"/>
        <w:jc w:val="left"/>
      </w:pPr>
      <w:r>
        <w:rPr/>
        <w:t>CONCLUSIONES</w:t>
      </w:r>
    </w:p>
    <w:p>
      <w:pPr>
        <w:pStyle w:val="BodyText"/>
        <w:rPr>
          <w:b/>
        </w:rPr>
      </w:pPr>
    </w:p>
    <w:p>
      <w:pPr>
        <w:pStyle w:val="BodyText"/>
        <w:spacing w:line="475" w:lineRule="auto" w:before="192"/>
        <w:ind w:left="102" w:right="114" w:firstLine="707"/>
        <w:jc w:val="both"/>
      </w:pPr>
      <w:r>
        <w:rPr/>
        <w:t>Los análisis de componentes principales y de conglomerados permitieron identificar a los cultivares 8,5 y 27 como superiores en rendimiento de semilla. También se  observó  amplia variabilidad fenotípica en NN, PF, NFP, NVP, PVP, P100S, PSP (Valores de </w:t>
      </w:r>
      <w:r>
        <w:rPr>
          <w:spacing w:val="2"/>
        </w:rPr>
        <w:t>H</w:t>
      </w:r>
      <w:r>
        <w:rPr>
          <w:spacing w:val="2"/>
          <w:position w:val="9"/>
          <w:sz w:val="16"/>
        </w:rPr>
        <w:t>2  </w:t>
      </w:r>
      <w:r>
        <w:rPr/>
        <w:t>de 75 a 99.8</w:t>
      </w:r>
      <w:r>
        <w:rPr>
          <w:spacing w:val="-2"/>
        </w:rPr>
        <w:t> </w:t>
      </w:r>
      <w:r>
        <w:rPr/>
        <w:t>%).</w:t>
      </w:r>
    </w:p>
    <w:p>
      <w:pPr>
        <w:spacing w:after="0" w:line="475" w:lineRule="auto"/>
        <w:jc w:val="both"/>
        <w:sectPr>
          <w:pgSz w:w="12240" w:h="15840"/>
          <w:pgMar w:header="0" w:footer="1957" w:top="1360" w:bottom="2200" w:left="1600" w:right="1300"/>
        </w:sectPr>
      </w:pPr>
    </w:p>
    <w:p>
      <w:pPr>
        <w:pStyle w:val="BodyText"/>
        <w:rPr>
          <w:sz w:val="20"/>
        </w:rPr>
      </w:pPr>
    </w:p>
    <w:p>
      <w:pPr>
        <w:pStyle w:val="BodyText"/>
        <w:rPr>
          <w:sz w:val="20"/>
        </w:rPr>
      </w:pPr>
    </w:p>
    <w:p>
      <w:pPr>
        <w:pStyle w:val="Heading2"/>
        <w:spacing w:before="209"/>
        <w:ind w:right="101"/>
        <w:jc w:val="left"/>
      </w:pPr>
      <w:r>
        <w:rPr/>
        <w:t>REFERENCIAS</w:t>
      </w:r>
    </w:p>
    <w:p>
      <w:pPr>
        <w:pStyle w:val="BodyText"/>
        <w:rPr>
          <w:b/>
        </w:rPr>
      </w:pPr>
    </w:p>
    <w:p>
      <w:pPr>
        <w:pStyle w:val="BodyText"/>
        <w:spacing w:line="482" w:lineRule="auto" w:before="192"/>
        <w:ind w:left="810" w:right="118" w:hanging="708"/>
        <w:jc w:val="both"/>
      </w:pPr>
      <w:r>
        <w:rPr/>
        <w:t>Alan, O., y Geren H.2007. Evaluation of heritability and correlation for seed yield and yield components in faba bean (</w:t>
      </w:r>
      <w:r>
        <w:rPr>
          <w:i/>
        </w:rPr>
        <w:t>Viciafaba</w:t>
      </w:r>
      <w:r>
        <w:rPr/>
        <w:t>L.). Journal of Agronomy 6 (3): 484-487.</w:t>
      </w:r>
    </w:p>
    <w:p>
      <w:pPr>
        <w:pStyle w:val="BodyText"/>
        <w:spacing w:line="482" w:lineRule="auto" w:before="206"/>
        <w:ind w:left="810" w:right="112" w:hanging="708"/>
        <w:jc w:val="both"/>
      </w:pPr>
      <w:r>
        <w:rPr/>
        <w:t>Al-Reface, M., Turk, M., and Tawaha A. 2004. Effect of seed size and plant population density of yield and yield components of local faba bean (</w:t>
      </w:r>
      <w:r>
        <w:rPr>
          <w:i/>
        </w:rPr>
        <w:t>Viciafaba</w:t>
      </w:r>
      <w:r>
        <w:rPr/>
        <w:t>L. Mayor). International Journal of Agriculture and Biology</w:t>
      </w:r>
      <w:r>
        <w:rPr>
          <w:spacing w:val="-8"/>
        </w:rPr>
        <w:t> </w:t>
      </w:r>
      <w:r>
        <w:rPr/>
        <w:t>2:294-299.</w:t>
      </w:r>
    </w:p>
    <w:p>
      <w:pPr>
        <w:pStyle w:val="BodyText"/>
        <w:spacing w:line="482" w:lineRule="auto" w:before="204"/>
        <w:ind w:left="102" w:right="113"/>
        <w:jc w:val="right"/>
      </w:pPr>
      <w:r>
        <w:rPr/>
        <w:t>Arbaoui, M., Link, W., Satovi,Z.,Torres, A. M. 2008. Quantitative trait loci of frost tolerance and physiologically related trait in faba bean (</w:t>
      </w:r>
      <w:r>
        <w:rPr>
          <w:i/>
        </w:rPr>
        <w:t>Viciafaba </w:t>
      </w:r>
      <w:r>
        <w:rPr/>
        <w:t>L.) Euphytica. 164(1): 93-104.</w:t>
      </w:r>
    </w:p>
    <w:p>
      <w:pPr>
        <w:pStyle w:val="BodyText"/>
        <w:spacing w:line="482" w:lineRule="auto" w:before="204"/>
        <w:ind w:left="810" w:right="113" w:hanging="708"/>
        <w:jc w:val="both"/>
      </w:pPr>
      <w:r>
        <w:rPr/>
        <w:t>Baginsky, C., Silva P., Auza J., and E. Acevedo. 2013. Evaluation for fresh consumption of new broad bean genotypes with a determinate growth habit in central Chile. Chilean Journal of Agricutural Research 73 (3):225-232.</w:t>
      </w:r>
    </w:p>
    <w:p>
      <w:pPr>
        <w:pStyle w:val="BodyText"/>
        <w:spacing w:line="482" w:lineRule="auto" w:before="206"/>
        <w:ind w:left="810" w:right="124" w:hanging="708"/>
        <w:jc w:val="both"/>
      </w:pPr>
      <w:r>
        <w:rPr/>
        <w:t>Bakheit, B. R. 1992. Shambat 104. A new faba bean cultivar for the Gezira, Sudan. FABIS Newsletter 30:20-22.</w:t>
      </w:r>
    </w:p>
    <w:p>
      <w:pPr>
        <w:pStyle w:val="BodyText"/>
        <w:spacing w:line="482" w:lineRule="auto" w:before="204"/>
        <w:ind w:left="810" w:right="121" w:hanging="708"/>
        <w:jc w:val="both"/>
      </w:pPr>
      <w:r>
        <w:rPr/>
        <w:t>Cordeiro, G.M., Pan, Y.B., Henry, R.J. 2003.Sugarcane microsatellites for the assessment of genetic diversity in sugarcane germplasm. Plant Science 165 </w:t>
      </w:r>
      <w:r>
        <w:rPr>
          <w:b/>
        </w:rPr>
        <w:t>(1)</w:t>
      </w:r>
      <w:r>
        <w:rPr/>
        <w:t>:181-189.</w:t>
      </w:r>
    </w:p>
    <w:p>
      <w:pPr>
        <w:pStyle w:val="BodyText"/>
        <w:spacing w:line="482" w:lineRule="auto" w:before="204"/>
        <w:ind w:left="810" w:right="116" w:hanging="708"/>
        <w:jc w:val="both"/>
      </w:pPr>
      <w:r>
        <w:rPr/>
        <w:t>Chaieb, N., Mohamed B., Mars M. 2011. Growth and yield parameters variability among faba bean (</w:t>
      </w:r>
      <w:r>
        <w:rPr>
          <w:i/>
        </w:rPr>
        <w:t>Vicia faba </w:t>
      </w:r>
      <w:r>
        <w:rPr/>
        <w:t>L.) genotypes. Journal of Natural Products Plant Resources1 (2): 81- 90.</w:t>
      </w:r>
    </w:p>
    <w:p>
      <w:pPr>
        <w:spacing w:after="0" w:line="482" w:lineRule="auto"/>
        <w:jc w:val="both"/>
        <w:sectPr>
          <w:footerReference w:type="default" r:id="rId61"/>
          <w:pgSz w:w="12240" w:h="15840"/>
          <w:pgMar w:footer="1755" w:header="0" w:top="1500" w:bottom="1940" w:left="1600" w:right="1300"/>
          <w:pgNumType w:start="64"/>
        </w:sectPr>
      </w:pPr>
    </w:p>
    <w:p>
      <w:pPr>
        <w:pStyle w:val="BodyText"/>
        <w:rPr>
          <w:sz w:val="20"/>
        </w:rPr>
      </w:pPr>
    </w:p>
    <w:p>
      <w:pPr>
        <w:pStyle w:val="BodyText"/>
        <w:rPr>
          <w:sz w:val="20"/>
        </w:rPr>
      </w:pPr>
    </w:p>
    <w:p>
      <w:pPr>
        <w:pStyle w:val="BodyText"/>
        <w:spacing w:line="480" w:lineRule="auto" w:before="202"/>
        <w:ind w:left="810" w:right="116" w:hanging="708"/>
        <w:jc w:val="both"/>
      </w:pPr>
      <w:r>
        <w:rPr/>
        <w:t>De Costa, W. A. J. M., Dennet M. D., Ratnaweera U., and Nyalemegbe K. 1997. Efects of different water regimes on field –grown determinate and indeterminate faba  bean (</w:t>
      </w:r>
      <w:r>
        <w:rPr>
          <w:i/>
        </w:rPr>
        <w:t>Vicia faba </w:t>
      </w:r>
      <w:r>
        <w:rPr/>
        <w:t>L.). II. Yield, yield components and harvest index. Field Crops Research 52:169-178.</w:t>
      </w:r>
    </w:p>
    <w:p>
      <w:pPr>
        <w:pStyle w:val="BodyText"/>
        <w:spacing w:line="482" w:lineRule="auto" w:before="207"/>
        <w:ind w:left="810" w:right="114" w:hanging="708"/>
        <w:jc w:val="both"/>
      </w:pPr>
      <w:r>
        <w:rPr/>
        <w:t>Díaz, B. M., B. E. Herrera C., J. Ramírez J., M. Aliphat F., A. Delgado A. 2008.  Conocimiento campesino en la selección de variedades de haba (</w:t>
      </w:r>
      <w:r>
        <w:rPr>
          <w:i/>
        </w:rPr>
        <w:t>Vicia faba </w:t>
      </w:r>
      <w:r>
        <w:rPr/>
        <w:t>L.) en la sierra norte de puebla, México. Interciencia 33 (8): 610-</w:t>
      </w:r>
      <w:r>
        <w:rPr>
          <w:spacing w:val="-8"/>
        </w:rPr>
        <w:t> </w:t>
      </w:r>
      <w:r>
        <w:rPr/>
        <w:t>615.</w:t>
      </w:r>
    </w:p>
    <w:p>
      <w:pPr>
        <w:pStyle w:val="BodyText"/>
        <w:spacing w:before="206"/>
        <w:ind w:left="102"/>
      </w:pPr>
      <w:r>
        <w:rPr/>
        <w:t>Duc, G., Bao S.Y., Baum, M., Redden.B., Sadiki, M., Suso, M.J., Vishniakova, M., and   Zong</w:t>
      </w:r>
    </w:p>
    <w:p>
      <w:pPr>
        <w:pStyle w:val="BodyText"/>
      </w:pPr>
    </w:p>
    <w:p>
      <w:pPr>
        <w:pStyle w:val="BodyText"/>
        <w:spacing w:line="482" w:lineRule="auto"/>
        <w:ind w:left="810" w:right="101"/>
      </w:pPr>
      <w:r>
        <w:rPr/>
        <w:t>X.X. 2010. Diversity maintenance and use of </w:t>
      </w:r>
      <w:r>
        <w:rPr>
          <w:i/>
        </w:rPr>
        <w:t>Viciafaba </w:t>
      </w:r>
      <w:r>
        <w:rPr/>
        <w:t>L. genetic resources. Field Crops Research 115:270-278.</w:t>
      </w:r>
    </w:p>
    <w:p>
      <w:pPr>
        <w:pStyle w:val="BodyText"/>
        <w:spacing w:line="482" w:lineRule="auto" w:before="204"/>
        <w:ind w:left="810" w:right="119" w:hanging="708"/>
        <w:jc w:val="both"/>
      </w:pPr>
      <w:r>
        <w:rPr/>
        <w:t>Filippetti, A., and Ricciardi L.1988. Development of new determinate growth habit in </w:t>
      </w:r>
      <w:r>
        <w:rPr>
          <w:i/>
        </w:rPr>
        <w:t>Viciafaba </w:t>
      </w:r>
      <w:r>
        <w:rPr/>
        <w:t>L. Mayor. Analysis of cross between determinate mutant and autofertile line.Genet.Agr. 42: 299-316.</w:t>
      </w:r>
    </w:p>
    <w:p>
      <w:pPr>
        <w:pStyle w:val="BodyText"/>
        <w:spacing w:line="480" w:lineRule="auto" w:before="204"/>
        <w:ind w:left="810" w:right="115" w:hanging="708"/>
        <w:jc w:val="both"/>
      </w:pPr>
      <w:r>
        <w:rPr/>
        <w:t>Franco, L. T., e Hidalgo R. 2003. Análisis estadístico de caracterización morfológica de recursos filogenéticos. Boletín técnico No.8, Instituto Internacional de Recursos Filogenéticos (IPGRI), Cali, Colombia. 89 p.</w:t>
      </w:r>
    </w:p>
    <w:p>
      <w:pPr>
        <w:pStyle w:val="BodyText"/>
        <w:spacing w:line="480" w:lineRule="auto" w:before="210"/>
        <w:ind w:left="810" w:right="121" w:hanging="708"/>
        <w:jc w:val="both"/>
      </w:pPr>
      <w:r>
        <w:rPr/>
        <w:t>García, E. 1988. Modificaciones al sistema de clasificación climática de Köppen. Instituto Nacional de Geografía. Universidad Nacional Autónoma de México. México, D.F. 246 pp.</w:t>
      </w:r>
    </w:p>
    <w:p>
      <w:pPr>
        <w:spacing w:after="0" w:line="480" w:lineRule="auto"/>
        <w:jc w:val="both"/>
        <w:sectPr>
          <w:pgSz w:w="12240" w:h="15840"/>
          <w:pgMar w:header="0" w:footer="1755" w:top="1500" w:bottom="1940" w:left="1600" w:right="1300"/>
        </w:sectPr>
      </w:pPr>
    </w:p>
    <w:p>
      <w:pPr>
        <w:pStyle w:val="BodyText"/>
        <w:spacing w:line="482" w:lineRule="auto" w:before="50"/>
        <w:ind w:left="810" w:right="116" w:hanging="708"/>
        <w:jc w:val="both"/>
      </w:pPr>
      <w:r>
        <w:rPr/>
        <w:t>Gresta F., Avola G., Albertini E., Raggi L., Abbate V. 2009. A study of variability in the Sicilian faba bean landrace “Larga di Leonforte”.Genetic Resources and Crop Evolution. 57 (4): 523-531.</w:t>
      </w:r>
    </w:p>
    <w:p>
      <w:pPr>
        <w:pStyle w:val="BodyText"/>
        <w:spacing w:line="480" w:lineRule="auto" w:before="204"/>
        <w:ind w:left="102" w:right="115"/>
        <w:jc w:val="both"/>
      </w:pPr>
      <w:r>
        <w:rPr/>
        <w:t>Instituto de Información e Investigación Geográfica, Estadística y Catastral del Estado de México (IGECEM). 2011. Gobierno del Estado de México. Disponible en línea en:portal2.edomex.gob.mx/</w:t>
      </w:r>
      <w:r>
        <w:rPr>
          <w:b/>
        </w:rPr>
        <w:t>igecem</w:t>
      </w:r>
      <w:r>
        <w:rPr/>
        <w:t>/productosy.../index.htm.Fecha de </w:t>
      </w:r>
      <w:r>
        <w:rPr>
          <w:color w:val="535353"/>
        </w:rPr>
        <w:t>c</w:t>
      </w:r>
      <w:r>
        <w:rPr/>
        <w:t>onsulta: 19 agosto, 2013.</w:t>
      </w:r>
    </w:p>
    <w:p>
      <w:pPr>
        <w:pStyle w:val="BodyText"/>
        <w:spacing w:before="11"/>
        <w:rPr>
          <w:sz w:val="34"/>
        </w:rPr>
      </w:pPr>
    </w:p>
    <w:p>
      <w:pPr>
        <w:pStyle w:val="BodyText"/>
        <w:spacing w:line="482" w:lineRule="auto"/>
        <w:ind w:left="810" w:right="116" w:hanging="708"/>
        <w:jc w:val="both"/>
      </w:pPr>
      <w:r>
        <w:rPr/>
        <w:t>Khare, D., and C.B. Singh. 1991. Genetic behavior of yield and quality traits of </w:t>
      </w:r>
      <w:r>
        <w:rPr>
          <w:i/>
        </w:rPr>
        <w:t>Vicia faba </w:t>
      </w:r>
      <w:r>
        <w:rPr/>
        <w:t>L. New Phytopathologist 72: 1293.</w:t>
      </w:r>
    </w:p>
    <w:p>
      <w:pPr>
        <w:pStyle w:val="BodyText"/>
        <w:spacing w:line="480" w:lineRule="auto" w:before="204"/>
        <w:ind w:left="810" w:right="114" w:hanging="708"/>
        <w:jc w:val="both"/>
      </w:pPr>
      <w:r>
        <w:rPr/>
        <w:t>Li-juan, L., Zhao-hai, Y., Zhao-jie, Z., Ming-shi, X., Han-qing, Y. 1993. Study and utilization of faba bean germplasm resources. In: Saxena, M.C., Weigand, S., Li-juan, L. (Eds), Faba Bean in China: State-of-the Art Review. ICARDA Press, (Ch. 4), pp 51-63.</w:t>
      </w:r>
    </w:p>
    <w:p>
      <w:pPr>
        <w:pStyle w:val="BodyText"/>
        <w:spacing w:line="480" w:lineRule="auto" w:before="207"/>
        <w:ind w:left="810" w:right="120" w:hanging="708"/>
        <w:jc w:val="both"/>
      </w:pPr>
      <w:r>
        <w:rPr/>
        <w:t>Madriz, I.P.M., y Luciani, M.J.F. 2002. Caracterización morfológica de 20 genotipos de frijol mungo (</w:t>
      </w:r>
      <w:r>
        <w:rPr>
          <w:i/>
        </w:rPr>
        <w:t>Vigna radiata </w:t>
      </w:r>
      <w:r>
        <w:rPr/>
        <w:t>(L.) Wilczek). Revista de la Facultad de Agronomía de la Universidad Central de Venezuela. 28 (1): 27-39.</w:t>
      </w:r>
    </w:p>
    <w:p>
      <w:pPr>
        <w:pStyle w:val="BodyText"/>
        <w:spacing w:line="482" w:lineRule="auto" w:before="207"/>
        <w:ind w:left="810" w:right="116" w:hanging="708"/>
        <w:jc w:val="both"/>
      </w:pPr>
      <w:r>
        <w:rPr/>
        <w:t>Mohammed, O. A. A., A.A. Hamid A.A., and M. Bakheit G. 2013.Correlaction between seed yield components in Faba bean (</w:t>
      </w:r>
      <w:r>
        <w:rPr>
          <w:i/>
        </w:rPr>
        <w:t>Vicia faba </w:t>
      </w:r>
      <w:r>
        <w:rPr/>
        <w:t>L.). Advances in Environmental Biology 7 (1):82-85.</w:t>
      </w:r>
    </w:p>
    <w:p>
      <w:pPr>
        <w:pStyle w:val="BodyText"/>
        <w:spacing w:line="482" w:lineRule="auto" w:before="206"/>
        <w:ind w:left="810" w:right="113" w:hanging="708"/>
        <w:jc w:val="both"/>
      </w:pPr>
      <w:r>
        <w:rPr/>
        <w:t>Neal, J. R. and P. B. E. Mcvetty.1983.Yield structure of faba bean (</w:t>
      </w:r>
      <w:r>
        <w:rPr>
          <w:i/>
        </w:rPr>
        <w:t>Vicia faba </w:t>
      </w:r>
      <w:r>
        <w:rPr/>
        <w:t>L.) grown in Manitoba. Field Crops Research 8:349-360.</w:t>
      </w:r>
    </w:p>
    <w:p>
      <w:pPr>
        <w:spacing w:after="0" w:line="482" w:lineRule="auto"/>
        <w:jc w:val="both"/>
        <w:sectPr>
          <w:footerReference w:type="default" r:id="rId62"/>
          <w:pgSz w:w="12240" w:h="15840"/>
          <w:pgMar w:footer="1566" w:header="0" w:top="1360" w:bottom="1760" w:left="1600" w:right="1300"/>
          <w:pgNumType w:start="66"/>
        </w:sectPr>
      </w:pPr>
    </w:p>
    <w:p>
      <w:pPr>
        <w:pStyle w:val="BodyText"/>
        <w:spacing w:line="480" w:lineRule="auto" w:before="50"/>
        <w:ind w:left="810" w:right="113" w:hanging="708"/>
        <w:jc w:val="both"/>
      </w:pPr>
      <w:r>
        <w:rPr/>
        <w:t>Orozco, C. N., D. J. Pérez L., A. González H., O. Franco M., F. Gutiérrez R., M. Rubí A., A. Castañeda V., y A. Balbuena M. 2013. Identificación de poblaciones sobresalientes de haba colectadas en el Estado de México. Revista Mexicana de Ciencias Agrícolas 4(6): 921-932.</w:t>
      </w:r>
    </w:p>
    <w:p>
      <w:pPr>
        <w:pStyle w:val="BodyText"/>
        <w:spacing w:line="480" w:lineRule="auto" w:before="207"/>
        <w:ind w:left="810" w:right="112" w:hanging="708"/>
        <w:jc w:val="both"/>
      </w:pPr>
      <w:r>
        <w:rPr/>
        <w:t>Pearce S.R., Harrison G., </w:t>
      </w:r>
      <w:r>
        <w:rPr>
          <w:spacing w:val="-3"/>
        </w:rPr>
        <w:t>Li </w:t>
      </w:r>
      <w:r>
        <w:rPr/>
        <w:t>D., Heslop-Harrison J.S., Kumar A., Flavell A. 2000. The Ty1- copia group retrotransposon in </w:t>
      </w:r>
      <w:r>
        <w:rPr>
          <w:i/>
        </w:rPr>
        <w:t>Vicia </w:t>
      </w:r>
      <w:r>
        <w:rPr/>
        <w:t>species: copy number, sequence heterogeneity  and chromosome localization. Molecular Genetics and Genomics 250:</w:t>
      </w:r>
      <w:r>
        <w:rPr>
          <w:spacing w:val="-9"/>
        </w:rPr>
        <w:t> </w:t>
      </w:r>
      <w:r>
        <w:rPr/>
        <w:t>305-315.</w:t>
      </w:r>
    </w:p>
    <w:p>
      <w:pPr>
        <w:pStyle w:val="BodyText"/>
        <w:spacing w:line="480" w:lineRule="auto" w:before="207"/>
        <w:ind w:left="810" w:right="115" w:hanging="708"/>
        <w:jc w:val="both"/>
      </w:pPr>
      <w:r>
        <w:rPr/>
        <w:t>Pérez, L. D. J., L. M. Vásquez, G., J. Sahagún, C., A. Rivera, P. 2007. Variabilidad y caracterización de diez variedades de papa en tres localidades del estado de México. Revista Chapingo  Serie Horticultura 13(1):13-19.</w:t>
      </w:r>
    </w:p>
    <w:p>
      <w:pPr>
        <w:pStyle w:val="BodyText"/>
        <w:spacing w:line="480" w:lineRule="auto" w:before="209"/>
        <w:ind w:left="810" w:right="122" w:hanging="708"/>
        <w:jc w:val="both"/>
      </w:pPr>
      <w:r>
        <w:rPr/>
        <w:t>Pérez, D.J., A. González, J. Sahagún, L. M. Vázquez G., Antonio Rivera, O. Franco, and A. Domínguez. 2009. The identification of outstanding potato cultivars using multivariate methods. Ciencia e Investigación Agraria (Journal of Agriculture and Natural Resources) 36(3):391-400.</w:t>
      </w:r>
    </w:p>
    <w:p>
      <w:pPr>
        <w:pStyle w:val="BodyText"/>
        <w:spacing w:line="482" w:lineRule="auto" w:before="207"/>
        <w:ind w:left="810" w:right="120" w:hanging="708"/>
        <w:jc w:val="both"/>
      </w:pPr>
      <w:r>
        <w:rPr/>
        <w:t>Robertson, L.D., El-Sherbeen and, M. 1991. Distribution of discreetly scored descriptors in a pure line faba bean (</w:t>
      </w:r>
      <w:r>
        <w:rPr>
          <w:i/>
        </w:rPr>
        <w:t>Viciafaba </w:t>
      </w:r>
      <w:r>
        <w:rPr/>
        <w:t>L.) germplasm collection. Euphytica(57) 83-92.</w:t>
      </w:r>
    </w:p>
    <w:p>
      <w:pPr>
        <w:pStyle w:val="BodyText"/>
        <w:spacing w:line="482" w:lineRule="auto" w:before="204"/>
        <w:ind w:left="810" w:right="118" w:hanging="708"/>
        <w:jc w:val="both"/>
      </w:pPr>
      <w:r>
        <w:rPr/>
        <w:t>Rojas, T. J., R. Díaz R., F. Álvarez G., J. Ocampo M., y A. Escalante E. 2012. Tecnología de producción de haba y características socioeconómicas de productores en Puebla y Tlaxcala. Revista Mexicana de Ciencias Agrícolas 3 (1): 35-49.</w:t>
      </w:r>
    </w:p>
    <w:p>
      <w:pPr>
        <w:spacing w:after="0" w:line="482" w:lineRule="auto"/>
        <w:jc w:val="both"/>
        <w:sectPr>
          <w:pgSz w:w="12240" w:h="15840"/>
          <w:pgMar w:header="0" w:footer="1566" w:top="1360" w:bottom="1940" w:left="1600" w:right="1300"/>
        </w:sectPr>
      </w:pPr>
    </w:p>
    <w:p>
      <w:pPr>
        <w:pStyle w:val="BodyText"/>
        <w:spacing w:line="482" w:lineRule="auto" w:before="50"/>
        <w:ind w:left="810" w:right="113" w:hanging="708"/>
        <w:jc w:val="both"/>
      </w:pPr>
      <w:r>
        <w:rPr/>
        <w:t>Sánchez, G. J. J. 1995. El análisis biplot en clasificación. Revista Fitotecnia Mexicana 18:188- 203.</w:t>
      </w:r>
    </w:p>
    <w:p>
      <w:pPr>
        <w:pStyle w:val="BodyText"/>
        <w:spacing w:line="480" w:lineRule="auto" w:before="204"/>
        <w:ind w:left="810" w:right="117" w:hanging="708"/>
        <w:jc w:val="both"/>
      </w:pPr>
      <w:r>
        <w:rPr/>
        <w:t>Servicio Nacional de Inspección y Certificación de Semillas (SNICS). 2001. Guía Técnica para la Descripción Varietal de Haba (</w:t>
      </w:r>
      <w:r>
        <w:rPr>
          <w:i/>
        </w:rPr>
        <w:t>Vicia faba </w:t>
      </w:r>
      <w:r>
        <w:rPr/>
        <w:t>L.). 12 p. Disponible en línea en: </w:t>
      </w:r>
      <w:hyperlink r:id="rId64">
        <w:r>
          <w:rPr>
            <w:u w:val="single"/>
          </w:rPr>
          <w:t>www.sagarpa.gob.mx/snics/haba.3.doc.2002</w:t>
        </w:r>
        <w:r>
          <w:rPr/>
          <w:t>.</w:t>
        </w:r>
      </w:hyperlink>
      <w:r>
        <w:rPr/>
        <w:t>  Fecha de consulta:  10  de septiembre</w:t>
      </w:r>
      <w:r>
        <w:rPr>
          <w:spacing w:val="32"/>
        </w:rPr>
        <w:t> </w:t>
      </w:r>
      <w:r>
        <w:rPr/>
        <w:t>de</w:t>
      </w:r>
    </w:p>
    <w:p>
      <w:pPr>
        <w:pStyle w:val="BodyText"/>
        <w:spacing w:before="12"/>
        <w:ind w:left="810" w:right="101"/>
      </w:pPr>
      <w:r>
        <w:rPr/>
        <w:t>2011.</w:t>
      </w:r>
    </w:p>
    <w:p>
      <w:pPr>
        <w:pStyle w:val="BodyText"/>
      </w:pPr>
    </w:p>
    <w:p>
      <w:pPr>
        <w:pStyle w:val="BodyText"/>
        <w:spacing w:line="482" w:lineRule="auto" w:before="197"/>
        <w:ind w:left="810" w:right="119" w:hanging="708"/>
        <w:jc w:val="both"/>
      </w:pPr>
      <w:r>
        <w:rPr/>
        <w:t>Shimelis, H., and R. Shiringani. 2010. Variance components and heritabilities of yield and agronomic traits among cowpea genotypes. Euphytica 176:385-389.</w:t>
      </w:r>
    </w:p>
    <w:p>
      <w:pPr>
        <w:pStyle w:val="BodyText"/>
        <w:spacing w:before="206"/>
        <w:ind w:left="102" w:right="101"/>
      </w:pPr>
      <w:r>
        <w:rPr/>
        <w:t>Singh,   S.   P.,   N.  P.  Singh,   and   R.K.  Pandey.1987.   Irrigation   studies   in   faba   bean.</w:t>
      </w:r>
    </w:p>
    <w:p>
      <w:pPr>
        <w:pStyle w:val="BodyText"/>
        <w:spacing w:before="2"/>
      </w:pPr>
    </w:p>
    <w:p>
      <w:pPr>
        <w:pStyle w:val="BodyText"/>
        <w:ind w:left="810" w:right="101"/>
      </w:pPr>
      <w:r>
        <w:rPr/>
        <w:t>FabisNewsletter 18: 24-26.</w:t>
      </w:r>
    </w:p>
    <w:p>
      <w:pPr>
        <w:pStyle w:val="BodyText"/>
      </w:pPr>
    </w:p>
    <w:p>
      <w:pPr>
        <w:pStyle w:val="BodyText"/>
        <w:spacing w:before="197"/>
        <w:ind w:left="102" w:right="101"/>
      </w:pPr>
      <w:r>
        <w:rPr/>
        <w:t>Statistical Analysis System (SAS). 1988. SAS/STAT User´s Guide-Release 6.03 edition Cary,</w:t>
      </w:r>
    </w:p>
    <w:p>
      <w:pPr>
        <w:pStyle w:val="BodyText"/>
        <w:spacing w:before="2"/>
      </w:pPr>
    </w:p>
    <w:p>
      <w:pPr>
        <w:pStyle w:val="ListParagraph"/>
        <w:numPr>
          <w:ilvl w:val="0"/>
          <w:numId w:val="8"/>
        </w:numPr>
        <w:tabs>
          <w:tab w:pos="1104" w:val="left" w:leader="none"/>
        </w:tabs>
        <w:spacing w:line="240" w:lineRule="auto" w:before="0" w:after="0"/>
        <w:ind w:left="1103" w:right="0" w:hanging="293"/>
        <w:jc w:val="left"/>
        <w:rPr>
          <w:sz w:val="24"/>
        </w:rPr>
      </w:pPr>
      <w:r>
        <w:rPr>
          <w:sz w:val="24"/>
        </w:rPr>
        <w:t>C. SAS Institute Inc.1028</w:t>
      </w:r>
      <w:r>
        <w:rPr>
          <w:spacing w:val="-6"/>
          <w:sz w:val="24"/>
        </w:rPr>
        <w:t> </w:t>
      </w:r>
      <w:r>
        <w:rPr>
          <w:sz w:val="24"/>
        </w:rPr>
        <w:t>p.</w:t>
      </w:r>
    </w:p>
    <w:p>
      <w:pPr>
        <w:pStyle w:val="BodyText"/>
      </w:pPr>
    </w:p>
    <w:p>
      <w:pPr>
        <w:pStyle w:val="BodyText"/>
        <w:spacing w:line="482" w:lineRule="auto" w:before="197"/>
        <w:ind w:left="810" w:right="114" w:hanging="708"/>
        <w:jc w:val="both"/>
      </w:pPr>
      <w:r>
        <w:rPr/>
        <w:t>Suso, M. J., M. T. Moreno, and J. I. Cubero. 1993. New isozyme markers in </w:t>
      </w:r>
      <w:r>
        <w:rPr>
          <w:i/>
        </w:rPr>
        <w:t>Vicia faba</w:t>
      </w:r>
      <w:r>
        <w:rPr/>
        <w:t>: inheritance and linkage. Plant Breeding 40:105-111.</w:t>
      </w:r>
    </w:p>
    <w:p>
      <w:pPr>
        <w:pStyle w:val="BodyText"/>
        <w:spacing w:line="480" w:lineRule="auto" w:before="206"/>
        <w:ind w:left="810" w:right="113" w:hanging="708"/>
        <w:jc w:val="both"/>
      </w:pPr>
      <w:r>
        <w:rPr/>
        <w:t>Terzopoulos, P., Kaltsikes P., y Bebeli P. 2003.Collection, evaluation and classification of Greek populations of faba bean (</w:t>
      </w:r>
      <w:r>
        <w:rPr>
          <w:i/>
        </w:rPr>
        <w:t>Vicia faba </w:t>
      </w:r>
      <w:r>
        <w:rPr/>
        <w:t>L.).Genetic Resources and Crop Evolution 50:373-381.</w:t>
      </w:r>
    </w:p>
    <w:p>
      <w:pPr>
        <w:pStyle w:val="BodyText"/>
        <w:spacing w:line="480" w:lineRule="auto" w:before="207"/>
        <w:ind w:left="810" w:right="116" w:hanging="708"/>
        <w:jc w:val="both"/>
      </w:pPr>
      <w:r>
        <w:rPr/>
        <w:t>Yahia, Y., A. Guetat, W. Elfalleh, A. FeRchichi, H. Yahia, and M. Loumerem. 2012. Analysis of agromorphological diversity of southern Tunisia faba bean (</w:t>
      </w:r>
      <w:r>
        <w:rPr>
          <w:i/>
        </w:rPr>
        <w:t>Viciafaba</w:t>
      </w:r>
      <w:r>
        <w:rPr/>
        <w:t>L.)  germplasm. African Journal of Biotechnology 11 (56):</w:t>
      </w:r>
      <w:r>
        <w:rPr>
          <w:spacing w:val="-9"/>
        </w:rPr>
        <w:t> </w:t>
      </w:r>
      <w:r>
        <w:rPr/>
        <w:t>11913-11924.</w:t>
      </w:r>
    </w:p>
    <w:p>
      <w:pPr>
        <w:spacing w:after="0" w:line="480" w:lineRule="auto"/>
        <w:jc w:val="both"/>
        <w:sectPr>
          <w:footerReference w:type="default" r:id="rId63"/>
          <w:pgSz w:w="12240" w:h="15840"/>
          <w:pgMar w:footer="1556" w:header="0" w:top="1360" w:bottom="1740" w:left="1600" w:right="1300"/>
        </w:sectPr>
      </w:pPr>
    </w:p>
    <w:p>
      <w:pPr>
        <w:pStyle w:val="BodyText"/>
        <w:spacing w:line="276" w:lineRule="auto" w:before="52"/>
        <w:ind w:left="102" w:right="101"/>
      </w:pPr>
      <w:r>
        <w:rPr>
          <w:b/>
        </w:rPr>
        <w:t>Tabla 1</w:t>
      </w:r>
      <w:r>
        <w:rPr/>
        <w:t>. Código de identificación, características de las semillas, sitios de colecta, altitud y coordenadas geográficas de las 39 accesiones evaluadas.</w:t>
      </w:r>
    </w:p>
    <w:p>
      <w:pPr>
        <w:pStyle w:val="BodyText"/>
        <w:rPr>
          <w:sz w:val="20"/>
        </w:rPr>
      </w:pPr>
    </w:p>
    <w:p>
      <w:pPr>
        <w:pStyle w:val="BodyText"/>
        <w:rPr>
          <w:sz w:val="20"/>
        </w:rPr>
      </w:pPr>
    </w:p>
    <w:p>
      <w:pPr>
        <w:pStyle w:val="BodyText"/>
        <w:spacing w:before="2"/>
        <w:rPr>
          <w:sz w:val="13"/>
        </w:rPr>
      </w:pPr>
    </w:p>
    <w:tbl>
      <w:tblPr>
        <w:tblW w:w="0" w:type="auto"/>
        <w:jc w:val="left"/>
        <w:tblInd w:w="2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1887"/>
        <w:gridCol w:w="1623"/>
        <w:gridCol w:w="1352"/>
        <w:gridCol w:w="1751"/>
      </w:tblGrid>
      <w:tr>
        <w:trPr>
          <w:trHeight w:val="667" w:hRule="exact"/>
        </w:trPr>
        <w:tc>
          <w:tcPr>
            <w:tcW w:w="2142" w:type="dxa"/>
            <w:tcBorders>
              <w:left w:val="nil"/>
              <w:right w:val="nil"/>
            </w:tcBorders>
          </w:tcPr>
          <w:p>
            <w:pPr>
              <w:pStyle w:val="TableParagraph"/>
              <w:spacing w:before="4"/>
              <w:ind w:left="489" w:right="477" w:firstLine="146"/>
              <w:rPr>
                <w:b/>
                <w:sz w:val="20"/>
              </w:rPr>
            </w:pPr>
            <w:r>
              <w:rPr>
                <w:b/>
                <w:sz w:val="20"/>
              </w:rPr>
              <w:t>Código de identificación</w:t>
            </w:r>
          </w:p>
        </w:tc>
        <w:tc>
          <w:tcPr>
            <w:tcW w:w="1887" w:type="dxa"/>
            <w:tcBorders>
              <w:left w:val="nil"/>
              <w:right w:val="nil"/>
            </w:tcBorders>
          </w:tcPr>
          <w:p>
            <w:pPr>
              <w:pStyle w:val="TableParagraph"/>
              <w:spacing w:before="4"/>
              <w:ind w:left="318" w:right="125" w:hanging="171"/>
              <w:rPr>
                <w:b/>
                <w:sz w:val="20"/>
              </w:rPr>
            </w:pPr>
            <w:r>
              <w:rPr>
                <w:b/>
                <w:sz w:val="20"/>
              </w:rPr>
              <w:t>Tamaño y color de semilla en seco</w:t>
            </w:r>
          </w:p>
        </w:tc>
        <w:tc>
          <w:tcPr>
            <w:tcW w:w="1623" w:type="dxa"/>
            <w:tcBorders>
              <w:left w:val="nil"/>
              <w:right w:val="nil"/>
            </w:tcBorders>
          </w:tcPr>
          <w:p>
            <w:pPr>
              <w:pStyle w:val="TableParagraph"/>
              <w:spacing w:before="4"/>
              <w:ind w:left="493" w:right="396" w:hanging="70"/>
              <w:rPr>
                <w:b/>
                <w:sz w:val="20"/>
              </w:rPr>
            </w:pPr>
            <w:r>
              <w:rPr>
                <w:b/>
                <w:sz w:val="20"/>
              </w:rPr>
              <w:t>Lugar de Colecta</w:t>
            </w:r>
          </w:p>
        </w:tc>
        <w:tc>
          <w:tcPr>
            <w:tcW w:w="1352" w:type="dxa"/>
            <w:tcBorders>
              <w:left w:val="nil"/>
              <w:right w:val="nil"/>
            </w:tcBorders>
          </w:tcPr>
          <w:p>
            <w:pPr>
              <w:pStyle w:val="TableParagraph"/>
              <w:spacing w:before="4"/>
              <w:ind w:left="337" w:firstLine="24"/>
              <w:rPr>
                <w:b/>
                <w:sz w:val="20"/>
              </w:rPr>
            </w:pPr>
            <w:r>
              <w:rPr>
                <w:b/>
                <w:sz w:val="20"/>
              </w:rPr>
              <w:t>Altitud (msnm)</w:t>
            </w:r>
          </w:p>
        </w:tc>
        <w:tc>
          <w:tcPr>
            <w:tcW w:w="1751" w:type="dxa"/>
            <w:tcBorders>
              <w:left w:val="nil"/>
              <w:right w:val="nil"/>
            </w:tcBorders>
          </w:tcPr>
          <w:p>
            <w:pPr>
              <w:pStyle w:val="TableParagraph"/>
              <w:spacing w:before="4"/>
              <w:ind w:left="387" w:right="292" w:hanging="82"/>
              <w:rPr>
                <w:b/>
                <w:sz w:val="20"/>
              </w:rPr>
            </w:pPr>
            <w:r>
              <w:rPr>
                <w:b/>
                <w:sz w:val="20"/>
              </w:rPr>
              <w:t>Coordenadas geográficas</w:t>
            </w:r>
          </w:p>
        </w:tc>
      </w:tr>
      <w:tr>
        <w:trPr>
          <w:trHeight w:val="814" w:hRule="exact"/>
        </w:trPr>
        <w:tc>
          <w:tcPr>
            <w:tcW w:w="2142" w:type="dxa"/>
            <w:tcBorders>
              <w:left w:val="nil"/>
              <w:bottom w:val="nil"/>
              <w:right w:val="nil"/>
            </w:tcBorders>
          </w:tcPr>
          <w:p>
            <w:pPr>
              <w:pStyle w:val="TableParagraph"/>
              <w:spacing w:before="9"/>
              <w:rPr>
                <w:sz w:val="19"/>
              </w:rPr>
            </w:pPr>
          </w:p>
          <w:p>
            <w:pPr>
              <w:pStyle w:val="TableParagraph"/>
              <w:ind w:left="794" w:right="114" w:hanging="670"/>
              <w:rPr>
                <w:sz w:val="20"/>
              </w:rPr>
            </w:pPr>
            <w:r>
              <w:rPr>
                <w:sz w:val="20"/>
              </w:rPr>
              <w:t>T1, T2, T3, T4, T5, T6, T8, T9</w:t>
            </w:r>
          </w:p>
        </w:tc>
        <w:tc>
          <w:tcPr>
            <w:tcW w:w="1887" w:type="dxa"/>
            <w:tcBorders>
              <w:left w:val="nil"/>
              <w:bottom w:val="nil"/>
              <w:right w:val="nil"/>
            </w:tcBorders>
          </w:tcPr>
          <w:p>
            <w:pPr>
              <w:pStyle w:val="TableParagraph"/>
              <w:spacing w:before="9"/>
              <w:rPr>
                <w:sz w:val="19"/>
              </w:rPr>
            </w:pPr>
          </w:p>
          <w:p>
            <w:pPr>
              <w:pStyle w:val="TableParagraph"/>
              <w:ind w:left="618" w:right="343" w:hanging="250"/>
              <w:rPr>
                <w:sz w:val="20"/>
              </w:rPr>
            </w:pPr>
            <w:r>
              <w:rPr>
                <w:sz w:val="20"/>
              </w:rPr>
              <w:t>Pequeño, testa amarilla</w:t>
            </w:r>
          </w:p>
        </w:tc>
        <w:tc>
          <w:tcPr>
            <w:tcW w:w="1623" w:type="dxa"/>
            <w:tcBorders>
              <w:left w:val="nil"/>
              <w:bottom w:val="nil"/>
              <w:right w:val="nil"/>
            </w:tcBorders>
          </w:tcPr>
          <w:p>
            <w:pPr>
              <w:pStyle w:val="TableParagraph"/>
              <w:spacing w:before="9"/>
              <w:rPr>
                <w:sz w:val="19"/>
              </w:rPr>
            </w:pPr>
          </w:p>
          <w:p>
            <w:pPr>
              <w:pStyle w:val="TableParagraph"/>
              <w:ind w:right="421"/>
              <w:jc w:val="right"/>
              <w:rPr>
                <w:sz w:val="20"/>
              </w:rPr>
            </w:pPr>
            <w:r>
              <w:rPr>
                <w:w w:val="95"/>
                <w:sz w:val="20"/>
              </w:rPr>
              <w:t>Acambay</w:t>
            </w:r>
          </w:p>
        </w:tc>
        <w:tc>
          <w:tcPr>
            <w:tcW w:w="1352" w:type="dxa"/>
            <w:tcBorders>
              <w:left w:val="nil"/>
              <w:bottom w:val="nil"/>
              <w:right w:val="nil"/>
            </w:tcBorders>
          </w:tcPr>
          <w:p>
            <w:pPr>
              <w:pStyle w:val="TableParagraph"/>
              <w:spacing w:before="9"/>
              <w:rPr>
                <w:sz w:val="19"/>
              </w:rPr>
            </w:pPr>
          </w:p>
          <w:p>
            <w:pPr>
              <w:pStyle w:val="TableParagraph"/>
              <w:ind w:left="212" w:right="229"/>
              <w:jc w:val="center"/>
              <w:rPr>
                <w:sz w:val="20"/>
              </w:rPr>
            </w:pPr>
            <w:r>
              <w:rPr>
                <w:sz w:val="20"/>
              </w:rPr>
              <w:t>2440</w:t>
            </w:r>
          </w:p>
        </w:tc>
        <w:tc>
          <w:tcPr>
            <w:tcW w:w="1751" w:type="dxa"/>
            <w:tcBorders>
              <w:left w:val="nil"/>
              <w:bottom w:val="nil"/>
              <w:right w:val="nil"/>
            </w:tcBorders>
          </w:tcPr>
          <w:p>
            <w:pPr>
              <w:pStyle w:val="TableParagraph"/>
              <w:spacing w:before="9"/>
              <w:rPr>
                <w:sz w:val="19"/>
              </w:rPr>
            </w:pPr>
          </w:p>
          <w:p>
            <w:pPr>
              <w:pStyle w:val="TableParagraph"/>
              <w:ind w:left="284"/>
              <w:rPr>
                <w:sz w:val="20"/>
              </w:rPr>
            </w:pPr>
            <w:r>
              <w:rPr>
                <w:sz w:val="20"/>
              </w:rPr>
              <w:t>19° 57’ 16’’ N</w:t>
            </w:r>
          </w:p>
          <w:p>
            <w:pPr>
              <w:pStyle w:val="TableParagraph"/>
              <w:ind w:left="334"/>
              <w:rPr>
                <w:sz w:val="20"/>
              </w:rPr>
            </w:pPr>
            <w:r>
              <w:rPr>
                <w:sz w:val="20"/>
              </w:rPr>
              <w:t>99° 50’ 39’’O</w:t>
            </w:r>
          </w:p>
        </w:tc>
      </w:tr>
      <w:tr>
        <w:trPr>
          <w:trHeight w:val="690" w:hRule="exact"/>
        </w:trPr>
        <w:tc>
          <w:tcPr>
            <w:tcW w:w="2142" w:type="dxa"/>
            <w:tcBorders>
              <w:top w:val="nil"/>
              <w:left w:val="nil"/>
              <w:bottom w:val="nil"/>
              <w:right w:val="nil"/>
            </w:tcBorders>
          </w:tcPr>
          <w:p>
            <w:pPr>
              <w:pStyle w:val="TableParagraph"/>
              <w:spacing w:before="107"/>
              <w:ind w:left="247" w:right="252"/>
              <w:jc w:val="center"/>
              <w:rPr>
                <w:sz w:val="20"/>
              </w:rPr>
            </w:pPr>
            <w:r>
              <w:rPr>
                <w:sz w:val="20"/>
              </w:rPr>
              <w:t>T7</w:t>
            </w:r>
          </w:p>
        </w:tc>
        <w:tc>
          <w:tcPr>
            <w:tcW w:w="1887" w:type="dxa"/>
            <w:tcBorders>
              <w:top w:val="nil"/>
              <w:left w:val="nil"/>
              <w:bottom w:val="nil"/>
              <w:right w:val="nil"/>
            </w:tcBorders>
          </w:tcPr>
          <w:p>
            <w:pPr/>
          </w:p>
        </w:tc>
        <w:tc>
          <w:tcPr>
            <w:tcW w:w="1623" w:type="dxa"/>
            <w:tcBorders>
              <w:top w:val="nil"/>
              <w:left w:val="nil"/>
              <w:bottom w:val="nil"/>
              <w:right w:val="nil"/>
            </w:tcBorders>
          </w:tcPr>
          <w:p>
            <w:pPr>
              <w:pStyle w:val="TableParagraph"/>
              <w:spacing w:before="107"/>
              <w:ind w:right="417"/>
              <w:jc w:val="right"/>
              <w:rPr>
                <w:sz w:val="20"/>
              </w:rPr>
            </w:pPr>
            <w:r>
              <w:rPr>
                <w:w w:val="95"/>
                <w:sz w:val="20"/>
              </w:rPr>
              <w:t>Jocotitlán</w:t>
            </w:r>
          </w:p>
        </w:tc>
        <w:tc>
          <w:tcPr>
            <w:tcW w:w="1352" w:type="dxa"/>
            <w:tcBorders>
              <w:top w:val="nil"/>
              <w:left w:val="nil"/>
              <w:bottom w:val="nil"/>
              <w:right w:val="nil"/>
            </w:tcBorders>
          </w:tcPr>
          <w:p>
            <w:pPr>
              <w:pStyle w:val="TableParagraph"/>
              <w:spacing w:before="107"/>
              <w:ind w:left="212" w:right="231"/>
              <w:jc w:val="center"/>
              <w:rPr>
                <w:sz w:val="20"/>
              </w:rPr>
            </w:pPr>
            <w:r>
              <w:rPr>
                <w:sz w:val="20"/>
              </w:rPr>
              <w:t>2200-3400</w:t>
            </w:r>
          </w:p>
        </w:tc>
        <w:tc>
          <w:tcPr>
            <w:tcW w:w="1751" w:type="dxa"/>
            <w:tcBorders>
              <w:top w:val="nil"/>
              <w:left w:val="nil"/>
              <w:bottom w:val="nil"/>
              <w:right w:val="nil"/>
            </w:tcBorders>
          </w:tcPr>
          <w:p>
            <w:pPr>
              <w:pStyle w:val="TableParagraph"/>
              <w:spacing w:before="107"/>
              <w:ind w:left="284"/>
              <w:rPr>
                <w:sz w:val="20"/>
              </w:rPr>
            </w:pPr>
            <w:r>
              <w:rPr>
                <w:sz w:val="20"/>
              </w:rPr>
              <w:t>19° 42’ 26’’ N</w:t>
            </w:r>
          </w:p>
          <w:p>
            <w:pPr>
              <w:pStyle w:val="TableParagraph"/>
              <w:ind w:left="334"/>
              <w:rPr>
                <w:sz w:val="20"/>
              </w:rPr>
            </w:pPr>
            <w:r>
              <w:rPr>
                <w:sz w:val="20"/>
              </w:rPr>
              <w:t>99° 47’ 12’’O</w:t>
            </w:r>
          </w:p>
        </w:tc>
      </w:tr>
      <w:tr>
        <w:trPr>
          <w:trHeight w:val="921" w:hRule="exact"/>
        </w:trPr>
        <w:tc>
          <w:tcPr>
            <w:tcW w:w="2142" w:type="dxa"/>
            <w:tcBorders>
              <w:top w:val="nil"/>
              <w:left w:val="nil"/>
              <w:bottom w:val="nil"/>
              <w:right w:val="nil"/>
            </w:tcBorders>
          </w:tcPr>
          <w:p>
            <w:pPr>
              <w:pStyle w:val="TableParagraph"/>
              <w:spacing w:before="108"/>
              <w:ind w:left="247" w:right="254"/>
              <w:jc w:val="center"/>
              <w:rPr>
                <w:sz w:val="20"/>
              </w:rPr>
            </w:pPr>
            <w:r>
              <w:rPr>
                <w:sz w:val="20"/>
              </w:rPr>
              <w:t>T10, T11, T12, T13, T14, T15, T16, T17, T18, T19, T34</w:t>
            </w:r>
          </w:p>
        </w:tc>
        <w:tc>
          <w:tcPr>
            <w:tcW w:w="1887" w:type="dxa"/>
            <w:tcBorders>
              <w:top w:val="nil"/>
              <w:left w:val="nil"/>
              <w:bottom w:val="nil"/>
              <w:right w:val="nil"/>
            </w:tcBorders>
          </w:tcPr>
          <w:p>
            <w:pPr>
              <w:pStyle w:val="TableParagraph"/>
              <w:spacing w:before="108"/>
              <w:ind w:left="618" w:right="394" w:hanging="200"/>
              <w:rPr>
                <w:sz w:val="20"/>
              </w:rPr>
            </w:pPr>
            <w:r>
              <w:rPr>
                <w:sz w:val="20"/>
              </w:rPr>
              <w:t>Grande, testa amarilla</w:t>
            </w:r>
          </w:p>
        </w:tc>
        <w:tc>
          <w:tcPr>
            <w:tcW w:w="1623" w:type="dxa"/>
            <w:tcBorders>
              <w:top w:val="nil"/>
              <w:left w:val="nil"/>
              <w:bottom w:val="nil"/>
              <w:right w:val="nil"/>
            </w:tcBorders>
          </w:tcPr>
          <w:p>
            <w:pPr>
              <w:pStyle w:val="TableParagraph"/>
              <w:spacing w:before="108"/>
              <w:ind w:right="473"/>
              <w:jc w:val="right"/>
              <w:rPr>
                <w:sz w:val="20"/>
              </w:rPr>
            </w:pPr>
            <w:r>
              <w:rPr>
                <w:sz w:val="20"/>
              </w:rPr>
              <w:t>Calimaya</w:t>
            </w:r>
          </w:p>
        </w:tc>
        <w:tc>
          <w:tcPr>
            <w:tcW w:w="1352" w:type="dxa"/>
            <w:tcBorders>
              <w:top w:val="nil"/>
              <w:left w:val="nil"/>
              <w:bottom w:val="nil"/>
              <w:right w:val="nil"/>
            </w:tcBorders>
          </w:tcPr>
          <w:p>
            <w:pPr>
              <w:pStyle w:val="TableParagraph"/>
              <w:spacing w:before="108"/>
              <w:ind w:left="212" w:right="229"/>
              <w:jc w:val="center"/>
              <w:rPr>
                <w:sz w:val="20"/>
              </w:rPr>
            </w:pPr>
            <w:r>
              <w:rPr>
                <w:sz w:val="20"/>
              </w:rPr>
              <w:t>2690</w:t>
            </w:r>
          </w:p>
        </w:tc>
        <w:tc>
          <w:tcPr>
            <w:tcW w:w="1751" w:type="dxa"/>
            <w:tcBorders>
              <w:top w:val="nil"/>
              <w:left w:val="nil"/>
              <w:bottom w:val="nil"/>
              <w:right w:val="nil"/>
            </w:tcBorders>
          </w:tcPr>
          <w:p>
            <w:pPr>
              <w:pStyle w:val="TableParagraph"/>
              <w:spacing w:before="108"/>
              <w:ind w:left="173" w:right="297"/>
              <w:jc w:val="center"/>
              <w:rPr>
                <w:sz w:val="20"/>
              </w:rPr>
            </w:pPr>
            <w:r>
              <w:rPr>
                <w:sz w:val="20"/>
              </w:rPr>
              <w:t>19°10’ 25’’ N</w:t>
            </w:r>
          </w:p>
          <w:p>
            <w:pPr>
              <w:pStyle w:val="TableParagraph"/>
              <w:spacing w:before="1"/>
              <w:ind w:left="231" w:right="190"/>
              <w:jc w:val="center"/>
              <w:rPr>
                <w:sz w:val="20"/>
              </w:rPr>
            </w:pPr>
            <w:r>
              <w:rPr>
                <w:sz w:val="20"/>
              </w:rPr>
              <w:t>99°37’ 02’’O</w:t>
            </w:r>
          </w:p>
        </w:tc>
      </w:tr>
      <w:tr>
        <w:trPr>
          <w:trHeight w:val="1495" w:hRule="exact"/>
        </w:trPr>
        <w:tc>
          <w:tcPr>
            <w:tcW w:w="2142" w:type="dxa"/>
            <w:tcBorders>
              <w:top w:val="nil"/>
              <w:left w:val="nil"/>
              <w:bottom w:val="nil"/>
              <w:right w:val="nil"/>
            </w:tcBorders>
          </w:tcPr>
          <w:p>
            <w:pPr>
              <w:pStyle w:val="TableParagraph"/>
              <w:spacing w:line="722" w:lineRule="auto" w:before="107"/>
              <w:ind w:left="907" w:right="911"/>
              <w:jc w:val="center"/>
              <w:rPr>
                <w:sz w:val="20"/>
              </w:rPr>
            </w:pPr>
            <w:r>
              <w:rPr>
                <w:w w:val="95"/>
                <w:sz w:val="20"/>
              </w:rPr>
              <w:t>T20 T23</w:t>
            </w:r>
          </w:p>
        </w:tc>
        <w:tc>
          <w:tcPr>
            <w:tcW w:w="1887" w:type="dxa"/>
            <w:tcBorders>
              <w:top w:val="nil"/>
              <w:left w:val="nil"/>
              <w:bottom w:val="nil"/>
              <w:right w:val="nil"/>
            </w:tcBorders>
          </w:tcPr>
          <w:p>
            <w:pPr>
              <w:pStyle w:val="TableParagraph"/>
              <w:spacing w:before="107"/>
              <w:ind w:left="118" w:right="113"/>
              <w:jc w:val="center"/>
              <w:rPr>
                <w:sz w:val="20"/>
              </w:rPr>
            </w:pPr>
            <w:r>
              <w:rPr>
                <w:sz w:val="20"/>
              </w:rPr>
              <w:t>Grande, testa</w:t>
            </w:r>
            <w:r>
              <w:rPr>
                <w:w w:val="99"/>
                <w:sz w:val="20"/>
              </w:rPr>
              <w:t> </w:t>
            </w:r>
            <w:r>
              <w:rPr>
                <w:sz w:val="20"/>
              </w:rPr>
              <w:t>amarilla</w:t>
            </w:r>
          </w:p>
          <w:p>
            <w:pPr>
              <w:pStyle w:val="TableParagraph"/>
              <w:rPr>
                <w:sz w:val="20"/>
              </w:rPr>
            </w:pPr>
          </w:p>
          <w:p>
            <w:pPr>
              <w:pStyle w:val="TableParagraph"/>
              <w:spacing w:before="1"/>
              <w:ind w:left="118" w:right="113"/>
              <w:jc w:val="center"/>
              <w:rPr>
                <w:sz w:val="20"/>
              </w:rPr>
            </w:pPr>
            <w:r>
              <w:rPr>
                <w:sz w:val="20"/>
              </w:rPr>
              <w:t>Grande, testa</w:t>
            </w:r>
            <w:r>
              <w:rPr>
                <w:w w:val="99"/>
                <w:sz w:val="20"/>
              </w:rPr>
              <w:t> </w:t>
            </w:r>
            <w:r>
              <w:rPr>
                <w:sz w:val="20"/>
              </w:rPr>
              <w:t>amarilla</w:t>
            </w:r>
          </w:p>
        </w:tc>
        <w:tc>
          <w:tcPr>
            <w:tcW w:w="1623" w:type="dxa"/>
            <w:tcBorders>
              <w:top w:val="nil"/>
              <w:left w:val="nil"/>
              <w:bottom w:val="nil"/>
              <w:right w:val="nil"/>
            </w:tcBorders>
          </w:tcPr>
          <w:p>
            <w:pPr>
              <w:pStyle w:val="TableParagraph"/>
              <w:spacing w:before="107"/>
              <w:ind w:left="217" w:right="210"/>
              <w:jc w:val="center"/>
              <w:rPr>
                <w:sz w:val="20"/>
              </w:rPr>
            </w:pPr>
            <w:r>
              <w:rPr>
                <w:sz w:val="20"/>
              </w:rPr>
              <w:t>Mexicaltzingo</w:t>
            </w:r>
          </w:p>
          <w:p>
            <w:pPr>
              <w:pStyle w:val="TableParagraph"/>
              <w:rPr>
                <w:sz w:val="20"/>
              </w:rPr>
            </w:pPr>
          </w:p>
          <w:p>
            <w:pPr>
              <w:pStyle w:val="TableParagraph"/>
              <w:spacing w:before="1"/>
              <w:rPr>
                <w:sz w:val="20"/>
              </w:rPr>
            </w:pPr>
          </w:p>
          <w:p>
            <w:pPr>
              <w:pStyle w:val="TableParagraph"/>
              <w:ind w:left="217" w:right="207"/>
              <w:jc w:val="center"/>
              <w:rPr>
                <w:sz w:val="20"/>
              </w:rPr>
            </w:pPr>
            <w:r>
              <w:rPr>
                <w:sz w:val="20"/>
              </w:rPr>
              <w:t>Santa Cruz Atizapán</w:t>
            </w:r>
          </w:p>
        </w:tc>
        <w:tc>
          <w:tcPr>
            <w:tcW w:w="1352" w:type="dxa"/>
            <w:tcBorders>
              <w:top w:val="nil"/>
              <w:left w:val="nil"/>
              <w:bottom w:val="nil"/>
              <w:right w:val="nil"/>
            </w:tcBorders>
          </w:tcPr>
          <w:p>
            <w:pPr>
              <w:pStyle w:val="TableParagraph"/>
              <w:spacing w:before="107"/>
              <w:ind w:left="212" w:right="229"/>
              <w:jc w:val="center"/>
              <w:rPr>
                <w:sz w:val="20"/>
              </w:rPr>
            </w:pPr>
            <w:r>
              <w:rPr>
                <w:sz w:val="20"/>
              </w:rPr>
              <w:t>2600</w:t>
            </w:r>
          </w:p>
          <w:p>
            <w:pPr>
              <w:pStyle w:val="TableParagraph"/>
              <w:rPr>
                <w:sz w:val="20"/>
              </w:rPr>
            </w:pPr>
          </w:p>
          <w:p>
            <w:pPr>
              <w:pStyle w:val="TableParagraph"/>
              <w:spacing w:before="1"/>
              <w:rPr>
                <w:sz w:val="20"/>
              </w:rPr>
            </w:pPr>
          </w:p>
          <w:p>
            <w:pPr>
              <w:pStyle w:val="TableParagraph"/>
              <w:ind w:left="212" w:right="229"/>
              <w:jc w:val="center"/>
              <w:rPr>
                <w:sz w:val="20"/>
              </w:rPr>
            </w:pPr>
            <w:r>
              <w:rPr>
                <w:sz w:val="20"/>
              </w:rPr>
              <w:t>2600</w:t>
            </w:r>
          </w:p>
        </w:tc>
        <w:tc>
          <w:tcPr>
            <w:tcW w:w="1751" w:type="dxa"/>
            <w:tcBorders>
              <w:top w:val="nil"/>
              <w:left w:val="nil"/>
              <w:bottom w:val="nil"/>
              <w:right w:val="nil"/>
            </w:tcBorders>
          </w:tcPr>
          <w:p>
            <w:pPr>
              <w:pStyle w:val="TableParagraph"/>
              <w:spacing w:before="107"/>
              <w:ind w:left="284"/>
              <w:rPr>
                <w:sz w:val="20"/>
              </w:rPr>
            </w:pPr>
            <w:r>
              <w:rPr>
                <w:sz w:val="20"/>
              </w:rPr>
              <w:t>19° 13’ 15’’ N</w:t>
            </w:r>
          </w:p>
          <w:p>
            <w:pPr>
              <w:pStyle w:val="TableParagraph"/>
              <w:ind w:left="284"/>
              <w:rPr>
                <w:sz w:val="20"/>
              </w:rPr>
            </w:pPr>
            <w:r>
              <w:rPr>
                <w:sz w:val="20"/>
              </w:rPr>
              <w:t>99° 33’ 05’’ O</w:t>
            </w:r>
          </w:p>
          <w:p>
            <w:pPr>
              <w:pStyle w:val="TableParagraph"/>
              <w:rPr>
                <w:sz w:val="20"/>
              </w:rPr>
            </w:pPr>
          </w:p>
          <w:p>
            <w:pPr>
              <w:pStyle w:val="TableParagraph"/>
              <w:spacing w:before="1"/>
              <w:ind w:left="284"/>
              <w:rPr>
                <w:sz w:val="20"/>
              </w:rPr>
            </w:pPr>
            <w:r>
              <w:rPr>
                <w:sz w:val="20"/>
              </w:rPr>
              <w:t>19° 09’ 27’’ N</w:t>
            </w:r>
          </w:p>
          <w:p>
            <w:pPr>
              <w:pStyle w:val="TableParagraph"/>
              <w:ind w:left="284"/>
              <w:rPr>
                <w:sz w:val="20"/>
              </w:rPr>
            </w:pPr>
            <w:r>
              <w:rPr>
                <w:sz w:val="20"/>
              </w:rPr>
              <w:t>99° 29’ 19’’ N</w:t>
            </w:r>
          </w:p>
        </w:tc>
      </w:tr>
      <w:tr>
        <w:trPr>
          <w:trHeight w:val="919" w:hRule="exact"/>
        </w:trPr>
        <w:tc>
          <w:tcPr>
            <w:tcW w:w="2142" w:type="dxa"/>
            <w:tcBorders>
              <w:top w:val="nil"/>
              <w:left w:val="nil"/>
              <w:bottom w:val="nil"/>
              <w:right w:val="nil"/>
            </w:tcBorders>
          </w:tcPr>
          <w:p>
            <w:pPr>
              <w:pStyle w:val="TableParagraph"/>
              <w:spacing w:before="4"/>
              <w:rPr>
                <w:sz w:val="19"/>
              </w:rPr>
            </w:pPr>
          </w:p>
          <w:p>
            <w:pPr>
              <w:pStyle w:val="TableParagraph"/>
              <w:ind w:left="907" w:right="236" w:hanging="660"/>
              <w:rPr>
                <w:sz w:val="20"/>
              </w:rPr>
            </w:pPr>
            <w:r>
              <w:rPr>
                <w:sz w:val="20"/>
              </w:rPr>
              <w:t>T21, T22, T24, T25, T37</w:t>
            </w:r>
          </w:p>
        </w:tc>
        <w:tc>
          <w:tcPr>
            <w:tcW w:w="1887" w:type="dxa"/>
            <w:tcBorders>
              <w:top w:val="nil"/>
              <w:left w:val="nil"/>
              <w:bottom w:val="nil"/>
              <w:right w:val="nil"/>
            </w:tcBorders>
          </w:tcPr>
          <w:p>
            <w:pPr>
              <w:pStyle w:val="TableParagraph"/>
              <w:spacing w:before="4"/>
              <w:rPr>
                <w:sz w:val="19"/>
              </w:rPr>
            </w:pPr>
          </w:p>
          <w:p>
            <w:pPr>
              <w:pStyle w:val="TableParagraph"/>
              <w:ind w:left="618" w:right="394" w:hanging="200"/>
              <w:rPr>
                <w:sz w:val="20"/>
              </w:rPr>
            </w:pPr>
            <w:r>
              <w:rPr>
                <w:sz w:val="20"/>
              </w:rPr>
              <w:t>Grande, testa amarilla</w:t>
            </w:r>
          </w:p>
        </w:tc>
        <w:tc>
          <w:tcPr>
            <w:tcW w:w="1623" w:type="dxa"/>
            <w:tcBorders>
              <w:top w:val="nil"/>
              <w:left w:val="nil"/>
              <w:bottom w:val="nil"/>
              <w:right w:val="nil"/>
            </w:tcBorders>
          </w:tcPr>
          <w:p>
            <w:pPr>
              <w:pStyle w:val="TableParagraph"/>
              <w:spacing w:before="4"/>
              <w:rPr>
                <w:sz w:val="19"/>
              </w:rPr>
            </w:pPr>
          </w:p>
          <w:p>
            <w:pPr>
              <w:pStyle w:val="TableParagraph"/>
              <w:ind w:left="248" w:right="215" w:firstLine="218"/>
              <w:rPr>
                <w:sz w:val="20"/>
              </w:rPr>
            </w:pPr>
            <w:r>
              <w:rPr>
                <w:sz w:val="20"/>
              </w:rPr>
              <w:t>Santiago </w:t>
            </w:r>
            <w:r>
              <w:rPr>
                <w:w w:val="95"/>
                <w:sz w:val="20"/>
              </w:rPr>
              <w:t>Tianguistenco</w:t>
            </w:r>
          </w:p>
        </w:tc>
        <w:tc>
          <w:tcPr>
            <w:tcW w:w="1352" w:type="dxa"/>
            <w:tcBorders>
              <w:top w:val="nil"/>
              <w:left w:val="nil"/>
              <w:bottom w:val="nil"/>
              <w:right w:val="nil"/>
            </w:tcBorders>
          </w:tcPr>
          <w:p>
            <w:pPr>
              <w:pStyle w:val="TableParagraph"/>
              <w:spacing w:before="4"/>
              <w:rPr>
                <w:sz w:val="19"/>
              </w:rPr>
            </w:pPr>
          </w:p>
          <w:p>
            <w:pPr>
              <w:pStyle w:val="TableParagraph"/>
              <w:ind w:left="212" w:right="229"/>
              <w:jc w:val="center"/>
              <w:rPr>
                <w:sz w:val="20"/>
              </w:rPr>
            </w:pPr>
            <w:r>
              <w:rPr>
                <w:sz w:val="20"/>
              </w:rPr>
              <w:t>2622</w:t>
            </w:r>
          </w:p>
        </w:tc>
        <w:tc>
          <w:tcPr>
            <w:tcW w:w="1751" w:type="dxa"/>
            <w:tcBorders>
              <w:top w:val="nil"/>
              <w:left w:val="nil"/>
              <w:bottom w:val="nil"/>
              <w:right w:val="nil"/>
            </w:tcBorders>
          </w:tcPr>
          <w:p>
            <w:pPr>
              <w:pStyle w:val="TableParagraph"/>
              <w:spacing w:before="4"/>
              <w:rPr>
                <w:sz w:val="19"/>
              </w:rPr>
            </w:pPr>
          </w:p>
          <w:p>
            <w:pPr>
              <w:pStyle w:val="TableParagraph"/>
              <w:ind w:left="284"/>
              <w:rPr>
                <w:sz w:val="20"/>
              </w:rPr>
            </w:pPr>
            <w:r>
              <w:rPr>
                <w:sz w:val="20"/>
              </w:rPr>
              <w:t>19° 10’ 08’’ N</w:t>
            </w:r>
          </w:p>
          <w:p>
            <w:pPr>
              <w:pStyle w:val="TableParagraph"/>
              <w:ind w:left="334"/>
              <w:rPr>
                <w:sz w:val="20"/>
              </w:rPr>
            </w:pPr>
            <w:r>
              <w:rPr>
                <w:sz w:val="20"/>
              </w:rPr>
              <w:t>99° 28’ 01’’O</w:t>
            </w:r>
          </w:p>
        </w:tc>
      </w:tr>
      <w:tr>
        <w:trPr>
          <w:trHeight w:val="827" w:hRule="exact"/>
        </w:trPr>
        <w:tc>
          <w:tcPr>
            <w:tcW w:w="2142" w:type="dxa"/>
            <w:tcBorders>
              <w:top w:val="nil"/>
              <w:left w:val="nil"/>
              <w:bottom w:val="nil"/>
              <w:right w:val="nil"/>
            </w:tcBorders>
          </w:tcPr>
          <w:p>
            <w:pPr>
              <w:pStyle w:val="TableParagraph"/>
              <w:spacing w:before="4"/>
              <w:rPr>
                <w:sz w:val="19"/>
              </w:rPr>
            </w:pPr>
          </w:p>
          <w:p>
            <w:pPr>
              <w:pStyle w:val="TableParagraph"/>
              <w:ind w:left="247" w:right="248"/>
              <w:jc w:val="center"/>
              <w:rPr>
                <w:sz w:val="20"/>
              </w:rPr>
            </w:pPr>
            <w:r>
              <w:rPr>
                <w:sz w:val="20"/>
              </w:rPr>
              <w:t>T26, T33, T35</w:t>
            </w:r>
          </w:p>
        </w:tc>
        <w:tc>
          <w:tcPr>
            <w:tcW w:w="1887" w:type="dxa"/>
            <w:tcBorders>
              <w:top w:val="nil"/>
              <w:left w:val="nil"/>
              <w:bottom w:val="nil"/>
              <w:right w:val="nil"/>
            </w:tcBorders>
          </w:tcPr>
          <w:p>
            <w:pPr>
              <w:pStyle w:val="TableParagraph"/>
              <w:spacing w:before="4"/>
              <w:rPr>
                <w:sz w:val="19"/>
              </w:rPr>
            </w:pPr>
          </w:p>
          <w:p>
            <w:pPr>
              <w:pStyle w:val="TableParagraph"/>
              <w:ind w:left="131" w:firstLine="225"/>
              <w:rPr>
                <w:sz w:val="20"/>
              </w:rPr>
            </w:pPr>
            <w:r>
              <w:rPr>
                <w:sz w:val="20"/>
              </w:rPr>
              <w:t>Mediano, testa amarilla a café claro</w:t>
            </w:r>
          </w:p>
        </w:tc>
        <w:tc>
          <w:tcPr>
            <w:tcW w:w="1623" w:type="dxa"/>
            <w:tcBorders>
              <w:top w:val="nil"/>
              <w:left w:val="nil"/>
              <w:bottom w:val="nil"/>
              <w:right w:val="nil"/>
            </w:tcBorders>
          </w:tcPr>
          <w:p>
            <w:pPr>
              <w:pStyle w:val="TableParagraph"/>
              <w:spacing w:before="4"/>
              <w:rPr>
                <w:sz w:val="19"/>
              </w:rPr>
            </w:pPr>
          </w:p>
          <w:p>
            <w:pPr>
              <w:pStyle w:val="TableParagraph"/>
              <w:ind w:right="526"/>
              <w:jc w:val="right"/>
              <w:rPr>
                <w:sz w:val="20"/>
              </w:rPr>
            </w:pPr>
            <w:r>
              <w:rPr>
                <w:w w:val="95"/>
                <w:sz w:val="20"/>
              </w:rPr>
              <w:t>Toluca</w:t>
            </w:r>
          </w:p>
        </w:tc>
        <w:tc>
          <w:tcPr>
            <w:tcW w:w="1352" w:type="dxa"/>
            <w:tcBorders>
              <w:top w:val="nil"/>
              <w:left w:val="nil"/>
              <w:bottom w:val="nil"/>
              <w:right w:val="nil"/>
            </w:tcBorders>
          </w:tcPr>
          <w:p>
            <w:pPr>
              <w:pStyle w:val="TableParagraph"/>
              <w:spacing w:before="4"/>
              <w:rPr>
                <w:sz w:val="19"/>
              </w:rPr>
            </w:pPr>
          </w:p>
          <w:p>
            <w:pPr>
              <w:pStyle w:val="TableParagraph"/>
              <w:ind w:left="212" w:right="229"/>
              <w:jc w:val="center"/>
              <w:rPr>
                <w:sz w:val="20"/>
              </w:rPr>
            </w:pPr>
            <w:r>
              <w:rPr>
                <w:sz w:val="20"/>
              </w:rPr>
              <w:t>2680</w:t>
            </w:r>
          </w:p>
        </w:tc>
        <w:tc>
          <w:tcPr>
            <w:tcW w:w="1751" w:type="dxa"/>
            <w:tcBorders>
              <w:top w:val="nil"/>
              <w:left w:val="nil"/>
              <w:bottom w:val="nil"/>
              <w:right w:val="nil"/>
            </w:tcBorders>
          </w:tcPr>
          <w:p>
            <w:pPr>
              <w:pStyle w:val="TableParagraph"/>
              <w:spacing w:before="4"/>
              <w:rPr>
                <w:sz w:val="19"/>
              </w:rPr>
            </w:pPr>
          </w:p>
          <w:p>
            <w:pPr>
              <w:pStyle w:val="TableParagraph"/>
              <w:ind w:left="284"/>
              <w:rPr>
                <w:sz w:val="20"/>
              </w:rPr>
            </w:pPr>
            <w:r>
              <w:rPr>
                <w:sz w:val="20"/>
              </w:rPr>
              <w:t>19° 17’ 32’’ N</w:t>
            </w:r>
          </w:p>
          <w:p>
            <w:pPr>
              <w:pStyle w:val="TableParagraph"/>
              <w:spacing w:before="1"/>
              <w:ind w:left="334"/>
              <w:rPr>
                <w:sz w:val="20"/>
              </w:rPr>
            </w:pPr>
            <w:r>
              <w:rPr>
                <w:sz w:val="20"/>
              </w:rPr>
              <w:t>99° 39’ 14’’O</w:t>
            </w:r>
          </w:p>
        </w:tc>
      </w:tr>
      <w:tr>
        <w:trPr>
          <w:trHeight w:val="1374" w:hRule="exact"/>
        </w:trPr>
        <w:tc>
          <w:tcPr>
            <w:tcW w:w="2142" w:type="dxa"/>
            <w:tcBorders>
              <w:top w:val="nil"/>
              <w:left w:val="nil"/>
              <w:bottom w:val="nil"/>
              <w:right w:val="nil"/>
            </w:tcBorders>
          </w:tcPr>
          <w:p>
            <w:pPr>
              <w:pStyle w:val="TableParagraph"/>
              <w:spacing w:before="130"/>
              <w:ind w:left="247" w:right="250"/>
              <w:jc w:val="center"/>
              <w:rPr>
                <w:sz w:val="20"/>
              </w:rPr>
            </w:pPr>
            <w:r>
              <w:rPr>
                <w:sz w:val="20"/>
              </w:rPr>
              <w:t>T27</w:t>
            </w:r>
          </w:p>
          <w:p>
            <w:pPr>
              <w:pStyle w:val="TableParagraph"/>
              <w:rPr>
                <w:sz w:val="20"/>
              </w:rPr>
            </w:pPr>
          </w:p>
          <w:p>
            <w:pPr>
              <w:pStyle w:val="TableParagraph"/>
              <w:spacing w:before="1"/>
              <w:rPr>
                <w:sz w:val="20"/>
              </w:rPr>
            </w:pPr>
          </w:p>
          <w:p>
            <w:pPr>
              <w:pStyle w:val="TableParagraph"/>
              <w:ind w:left="247" w:right="250"/>
              <w:jc w:val="center"/>
              <w:rPr>
                <w:sz w:val="20"/>
              </w:rPr>
            </w:pPr>
            <w:r>
              <w:rPr>
                <w:sz w:val="20"/>
              </w:rPr>
              <w:t>T28</w:t>
            </w:r>
          </w:p>
        </w:tc>
        <w:tc>
          <w:tcPr>
            <w:tcW w:w="1887" w:type="dxa"/>
            <w:tcBorders>
              <w:top w:val="nil"/>
              <w:left w:val="nil"/>
              <w:bottom w:val="nil"/>
              <w:right w:val="nil"/>
            </w:tcBorders>
          </w:tcPr>
          <w:p>
            <w:pPr>
              <w:pStyle w:val="TableParagraph"/>
              <w:spacing w:before="130"/>
              <w:ind w:left="131" w:right="131" w:firstLine="3"/>
              <w:jc w:val="center"/>
              <w:rPr>
                <w:sz w:val="20"/>
              </w:rPr>
            </w:pPr>
            <w:r>
              <w:rPr>
                <w:sz w:val="20"/>
              </w:rPr>
              <w:t>Mediano, testa amarilla a café</w:t>
            </w:r>
            <w:r>
              <w:rPr>
                <w:spacing w:val="-9"/>
                <w:sz w:val="20"/>
              </w:rPr>
              <w:t> </w:t>
            </w:r>
            <w:r>
              <w:rPr>
                <w:sz w:val="20"/>
              </w:rPr>
              <w:t>claro Grande, testa amarilla</w:t>
            </w:r>
          </w:p>
        </w:tc>
        <w:tc>
          <w:tcPr>
            <w:tcW w:w="1623" w:type="dxa"/>
            <w:tcBorders>
              <w:top w:val="nil"/>
              <w:left w:val="nil"/>
              <w:bottom w:val="nil"/>
              <w:right w:val="nil"/>
            </w:tcBorders>
          </w:tcPr>
          <w:p>
            <w:pPr>
              <w:pStyle w:val="TableParagraph"/>
              <w:spacing w:before="130"/>
              <w:ind w:left="133" w:right="215"/>
              <w:rPr>
                <w:sz w:val="20"/>
              </w:rPr>
            </w:pPr>
            <w:r>
              <w:rPr>
                <w:sz w:val="20"/>
              </w:rPr>
              <w:t>Zinacantepec</w:t>
            </w:r>
          </w:p>
          <w:p>
            <w:pPr>
              <w:pStyle w:val="TableParagraph"/>
              <w:rPr>
                <w:sz w:val="20"/>
              </w:rPr>
            </w:pPr>
          </w:p>
          <w:p>
            <w:pPr>
              <w:pStyle w:val="TableParagraph"/>
              <w:spacing w:before="1"/>
              <w:rPr>
                <w:sz w:val="20"/>
              </w:rPr>
            </w:pPr>
          </w:p>
          <w:p>
            <w:pPr>
              <w:pStyle w:val="TableParagraph"/>
              <w:ind w:left="670" w:right="215" w:hanging="401"/>
              <w:rPr>
                <w:sz w:val="20"/>
              </w:rPr>
            </w:pPr>
            <w:r>
              <w:rPr>
                <w:sz w:val="20"/>
              </w:rPr>
              <w:t>Almoloya del Rio</w:t>
            </w:r>
          </w:p>
        </w:tc>
        <w:tc>
          <w:tcPr>
            <w:tcW w:w="1352" w:type="dxa"/>
            <w:tcBorders>
              <w:top w:val="nil"/>
              <w:left w:val="nil"/>
              <w:bottom w:val="nil"/>
              <w:right w:val="nil"/>
            </w:tcBorders>
          </w:tcPr>
          <w:p>
            <w:pPr>
              <w:pStyle w:val="TableParagraph"/>
              <w:spacing w:before="130"/>
              <w:ind w:left="212" w:right="229"/>
              <w:jc w:val="center"/>
              <w:rPr>
                <w:sz w:val="20"/>
              </w:rPr>
            </w:pPr>
            <w:r>
              <w:rPr>
                <w:sz w:val="20"/>
              </w:rPr>
              <w:t>1160</w:t>
            </w:r>
          </w:p>
          <w:p>
            <w:pPr>
              <w:pStyle w:val="TableParagraph"/>
              <w:rPr>
                <w:sz w:val="20"/>
              </w:rPr>
            </w:pPr>
          </w:p>
          <w:p>
            <w:pPr>
              <w:pStyle w:val="TableParagraph"/>
              <w:spacing w:before="1"/>
              <w:rPr>
                <w:sz w:val="20"/>
              </w:rPr>
            </w:pPr>
          </w:p>
          <w:p>
            <w:pPr>
              <w:pStyle w:val="TableParagraph"/>
              <w:ind w:left="212" w:right="229"/>
              <w:jc w:val="center"/>
              <w:rPr>
                <w:sz w:val="20"/>
              </w:rPr>
            </w:pPr>
            <w:r>
              <w:rPr>
                <w:sz w:val="20"/>
              </w:rPr>
              <w:t>2610</w:t>
            </w:r>
          </w:p>
        </w:tc>
        <w:tc>
          <w:tcPr>
            <w:tcW w:w="1751" w:type="dxa"/>
            <w:tcBorders>
              <w:top w:val="nil"/>
              <w:left w:val="nil"/>
              <w:bottom w:val="nil"/>
              <w:right w:val="nil"/>
            </w:tcBorders>
          </w:tcPr>
          <w:p>
            <w:pPr>
              <w:pStyle w:val="TableParagraph"/>
              <w:spacing w:before="130"/>
              <w:ind w:left="310"/>
              <w:rPr>
                <w:sz w:val="20"/>
              </w:rPr>
            </w:pPr>
            <w:r>
              <w:rPr>
                <w:sz w:val="20"/>
              </w:rPr>
              <w:t>19°17’ 00’’ N</w:t>
            </w:r>
          </w:p>
          <w:p>
            <w:pPr>
              <w:pStyle w:val="TableParagraph"/>
              <w:ind w:left="334"/>
              <w:rPr>
                <w:sz w:val="20"/>
              </w:rPr>
            </w:pPr>
            <w:r>
              <w:rPr>
                <w:sz w:val="20"/>
              </w:rPr>
              <w:t>99° 44’ 00’’O</w:t>
            </w:r>
          </w:p>
          <w:p>
            <w:pPr>
              <w:pStyle w:val="TableParagraph"/>
              <w:rPr>
                <w:sz w:val="20"/>
              </w:rPr>
            </w:pPr>
          </w:p>
          <w:p>
            <w:pPr>
              <w:pStyle w:val="TableParagraph"/>
              <w:spacing w:line="229" w:lineRule="exact" w:before="1"/>
              <w:ind w:left="310"/>
              <w:rPr>
                <w:sz w:val="20"/>
              </w:rPr>
            </w:pPr>
            <w:r>
              <w:rPr>
                <w:sz w:val="20"/>
              </w:rPr>
              <w:t>19°10’ 00’’ N</w:t>
            </w:r>
          </w:p>
          <w:p>
            <w:pPr>
              <w:pStyle w:val="TableParagraph"/>
              <w:spacing w:line="229" w:lineRule="exact"/>
              <w:ind w:left="334"/>
              <w:rPr>
                <w:sz w:val="20"/>
              </w:rPr>
            </w:pPr>
            <w:r>
              <w:rPr>
                <w:sz w:val="20"/>
              </w:rPr>
              <w:t>99° 29’ 00’’O</w:t>
            </w:r>
          </w:p>
        </w:tc>
      </w:tr>
      <w:tr>
        <w:trPr>
          <w:trHeight w:val="1123" w:hRule="exact"/>
        </w:trPr>
        <w:tc>
          <w:tcPr>
            <w:tcW w:w="2142" w:type="dxa"/>
            <w:tcBorders>
              <w:top w:val="nil"/>
              <w:left w:val="nil"/>
              <w:bottom w:val="nil"/>
              <w:right w:val="nil"/>
            </w:tcBorders>
          </w:tcPr>
          <w:p>
            <w:pPr>
              <w:pStyle w:val="TableParagraph"/>
              <w:spacing w:before="81"/>
              <w:ind w:left="695" w:right="299" w:hanging="389"/>
              <w:rPr>
                <w:sz w:val="20"/>
              </w:rPr>
            </w:pPr>
            <w:r>
              <w:rPr>
                <w:sz w:val="20"/>
              </w:rPr>
              <w:t>T29*, T30**, T31, T32, T39</w:t>
            </w:r>
          </w:p>
        </w:tc>
        <w:tc>
          <w:tcPr>
            <w:tcW w:w="1887" w:type="dxa"/>
            <w:tcBorders>
              <w:top w:val="nil"/>
              <w:left w:val="nil"/>
              <w:bottom w:val="nil"/>
              <w:right w:val="nil"/>
            </w:tcBorders>
          </w:tcPr>
          <w:p>
            <w:pPr>
              <w:pStyle w:val="TableParagraph"/>
              <w:spacing w:before="81"/>
              <w:ind w:left="118" w:right="113"/>
              <w:jc w:val="center"/>
              <w:rPr>
                <w:sz w:val="20"/>
              </w:rPr>
            </w:pPr>
            <w:r>
              <w:rPr>
                <w:sz w:val="20"/>
              </w:rPr>
              <w:t>Pequeño a mediano, testa ligeramente café a café* y jaspeada**</w:t>
            </w:r>
          </w:p>
        </w:tc>
        <w:tc>
          <w:tcPr>
            <w:tcW w:w="1623" w:type="dxa"/>
            <w:tcBorders>
              <w:top w:val="nil"/>
              <w:left w:val="nil"/>
              <w:bottom w:val="nil"/>
              <w:right w:val="nil"/>
            </w:tcBorders>
          </w:tcPr>
          <w:p>
            <w:pPr>
              <w:pStyle w:val="TableParagraph"/>
              <w:spacing w:before="81"/>
              <w:ind w:right="461"/>
              <w:jc w:val="right"/>
              <w:rPr>
                <w:sz w:val="20"/>
              </w:rPr>
            </w:pPr>
            <w:r>
              <w:rPr>
                <w:w w:val="95"/>
                <w:sz w:val="20"/>
              </w:rPr>
              <w:t>Metepec</w:t>
            </w:r>
          </w:p>
        </w:tc>
        <w:tc>
          <w:tcPr>
            <w:tcW w:w="1352" w:type="dxa"/>
            <w:tcBorders>
              <w:top w:val="nil"/>
              <w:left w:val="nil"/>
              <w:bottom w:val="nil"/>
              <w:right w:val="nil"/>
            </w:tcBorders>
          </w:tcPr>
          <w:p>
            <w:pPr>
              <w:pStyle w:val="TableParagraph"/>
              <w:spacing w:before="81"/>
              <w:ind w:left="212" w:right="229"/>
              <w:jc w:val="center"/>
              <w:rPr>
                <w:sz w:val="20"/>
              </w:rPr>
            </w:pPr>
            <w:r>
              <w:rPr>
                <w:sz w:val="20"/>
              </w:rPr>
              <w:t>2635</w:t>
            </w:r>
          </w:p>
        </w:tc>
        <w:tc>
          <w:tcPr>
            <w:tcW w:w="1751" w:type="dxa"/>
            <w:tcBorders>
              <w:top w:val="nil"/>
              <w:left w:val="nil"/>
              <w:bottom w:val="nil"/>
              <w:right w:val="nil"/>
            </w:tcBorders>
          </w:tcPr>
          <w:p>
            <w:pPr>
              <w:pStyle w:val="TableParagraph"/>
              <w:spacing w:before="81"/>
              <w:ind w:left="284"/>
              <w:rPr>
                <w:sz w:val="20"/>
              </w:rPr>
            </w:pPr>
            <w:r>
              <w:rPr>
                <w:sz w:val="20"/>
              </w:rPr>
              <w:t>19° 15’ 04’’ N</w:t>
            </w:r>
          </w:p>
          <w:p>
            <w:pPr>
              <w:pStyle w:val="TableParagraph"/>
              <w:ind w:left="334"/>
              <w:rPr>
                <w:sz w:val="20"/>
              </w:rPr>
            </w:pPr>
            <w:r>
              <w:rPr>
                <w:sz w:val="20"/>
              </w:rPr>
              <w:t>99° 36’ 17’’O</w:t>
            </w:r>
          </w:p>
        </w:tc>
      </w:tr>
      <w:tr>
        <w:trPr>
          <w:trHeight w:val="672" w:hRule="exact"/>
        </w:trPr>
        <w:tc>
          <w:tcPr>
            <w:tcW w:w="2142" w:type="dxa"/>
            <w:tcBorders>
              <w:top w:val="nil"/>
              <w:left w:val="nil"/>
              <w:bottom w:val="nil"/>
              <w:right w:val="nil"/>
            </w:tcBorders>
          </w:tcPr>
          <w:p>
            <w:pPr>
              <w:pStyle w:val="TableParagraph"/>
              <w:spacing w:before="107"/>
              <w:ind w:left="247" w:right="250"/>
              <w:jc w:val="center"/>
              <w:rPr>
                <w:sz w:val="20"/>
              </w:rPr>
            </w:pPr>
            <w:r>
              <w:rPr>
                <w:sz w:val="20"/>
              </w:rPr>
              <w:t>T36</w:t>
            </w:r>
          </w:p>
        </w:tc>
        <w:tc>
          <w:tcPr>
            <w:tcW w:w="1887" w:type="dxa"/>
            <w:tcBorders>
              <w:top w:val="nil"/>
              <w:left w:val="nil"/>
              <w:bottom w:val="nil"/>
              <w:right w:val="nil"/>
            </w:tcBorders>
          </w:tcPr>
          <w:p>
            <w:pPr>
              <w:pStyle w:val="TableParagraph"/>
              <w:spacing w:before="107"/>
              <w:ind w:left="131" w:firstLine="225"/>
              <w:rPr>
                <w:sz w:val="20"/>
              </w:rPr>
            </w:pPr>
            <w:r>
              <w:rPr>
                <w:sz w:val="20"/>
              </w:rPr>
              <w:t>Mediano, testa amarilla a café claro</w:t>
            </w:r>
          </w:p>
        </w:tc>
        <w:tc>
          <w:tcPr>
            <w:tcW w:w="1623" w:type="dxa"/>
            <w:tcBorders>
              <w:top w:val="nil"/>
              <w:left w:val="nil"/>
              <w:bottom w:val="nil"/>
              <w:right w:val="nil"/>
            </w:tcBorders>
          </w:tcPr>
          <w:p>
            <w:pPr>
              <w:pStyle w:val="TableParagraph"/>
              <w:spacing w:before="107"/>
              <w:ind w:left="216" w:right="210"/>
              <w:jc w:val="center"/>
              <w:rPr>
                <w:sz w:val="20"/>
              </w:rPr>
            </w:pPr>
            <w:r>
              <w:rPr>
                <w:sz w:val="20"/>
              </w:rPr>
              <w:t>Lerma</w:t>
            </w:r>
          </w:p>
        </w:tc>
        <w:tc>
          <w:tcPr>
            <w:tcW w:w="1352" w:type="dxa"/>
            <w:tcBorders>
              <w:top w:val="nil"/>
              <w:left w:val="nil"/>
              <w:bottom w:val="nil"/>
              <w:right w:val="nil"/>
            </w:tcBorders>
          </w:tcPr>
          <w:p>
            <w:pPr>
              <w:pStyle w:val="TableParagraph"/>
              <w:spacing w:before="107"/>
              <w:ind w:left="212" w:right="229"/>
              <w:jc w:val="center"/>
              <w:rPr>
                <w:sz w:val="20"/>
              </w:rPr>
            </w:pPr>
            <w:r>
              <w:rPr>
                <w:sz w:val="20"/>
              </w:rPr>
              <w:t>2570</w:t>
            </w:r>
          </w:p>
        </w:tc>
        <w:tc>
          <w:tcPr>
            <w:tcW w:w="1751" w:type="dxa"/>
            <w:tcBorders>
              <w:top w:val="nil"/>
              <w:left w:val="nil"/>
              <w:bottom w:val="nil"/>
              <w:right w:val="nil"/>
            </w:tcBorders>
          </w:tcPr>
          <w:p>
            <w:pPr>
              <w:pStyle w:val="TableParagraph"/>
              <w:spacing w:before="107"/>
              <w:ind w:left="284"/>
              <w:rPr>
                <w:sz w:val="20"/>
              </w:rPr>
            </w:pPr>
            <w:r>
              <w:rPr>
                <w:sz w:val="20"/>
              </w:rPr>
              <w:t>19° 17’ 05’’ N</w:t>
            </w:r>
          </w:p>
          <w:p>
            <w:pPr>
              <w:pStyle w:val="TableParagraph"/>
              <w:ind w:left="334"/>
              <w:rPr>
                <w:sz w:val="20"/>
              </w:rPr>
            </w:pPr>
            <w:r>
              <w:rPr>
                <w:sz w:val="20"/>
              </w:rPr>
              <w:t>99° 30’ 43’’O</w:t>
            </w:r>
          </w:p>
        </w:tc>
      </w:tr>
      <w:tr>
        <w:trPr>
          <w:trHeight w:val="785" w:hRule="exact"/>
        </w:trPr>
        <w:tc>
          <w:tcPr>
            <w:tcW w:w="2142" w:type="dxa"/>
            <w:tcBorders>
              <w:top w:val="nil"/>
              <w:left w:val="nil"/>
              <w:right w:val="nil"/>
            </w:tcBorders>
          </w:tcPr>
          <w:p>
            <w:pPr>
              <w:pStyle w:val="TableParagraph"/>
              <w:spacing w:before="91"/>
              <w:ind w:left="247" w:right="250"/>
              <w:jc w:val="center"/>
              <w:rPr>
                <w:sz w:val="20"/>
              </w:rPr>
            </w:pPr>
            <w:r>
              <w:rPr>
                <w:sz w:val="20"/>
              </w:rPr>
              <w:t>T38</w:t>
            </w:r>
          </w:p>
        </w:tc>
        <w:tc>
          <w:tcPr>
            <w:tcW w:w="1887" w:type="dxa"/>
            <w:tcBorders>
              <w:top w:val="nil"/>
              <w:left w:val="nil"/>
              <w:right w:val="nil"/>
            </w:tcBorders>
          </w:tcPr>
          <w:p>
            <w:pPr>
              <w:pStyle w:val="TableParagraph"/>
              <w:spacing w:before="91"/>
              <w:ind w:left="131" w:firstLine="237"/>
              <w:rPr>
                <w:sz w:val="20"/>
              </w:rPr>
            </w:pPr>
            <w:r>
              <w:rPr>
                <w:sz w:val="20"/>
              </w:rPr>
              <w:t>Pequeño, testa amarilla a café claro</w:t>
            </w:r>
          </w:p>
        </w:tc>
        <w:tc>
          <w:tcPr>
            <w:tcW w:w="1623" w:type="dxa"/>
            <w:tcBorders>
              <w:top w:val="nil"/>
              <w:left w:val="nil"/>
              <w:right w:val="nil"/>
            </w:tcBorders>
          </w:tcPr>
          <w:p>
            <w:pPr>
              <w:pStyle w:val="TableParagraph"/>
              <w:spacing w:before="91"/>
              <w:ind w:left="459" w:right="215" w:hanging="216"/>
              <w:rPr>
                <w:sz w:val="20"/>
              </w:rPr>
            </w:pPr>
            <w:r>
              <w:rPr>
                <w:sz w:val="20"/>
              </w:rPr>
              <w:t>San Felipe del Progreso</w:t>
            </w:r>
          </w:p>
        </w:tc>
        <w:tc>
          <w:tcPr>
            <w:tcW w:w="1352" w:type="dxa"/>
            <w:tcBorders>
              <w:top w:val="nil"/>
              <w:left w:val="nil"/>
              <w:right w:val="nil"/>
            </w:tcBorders>
          </w:tcPr>
          <w:p>
            <w:pPr>
              <w:pStyle w:val="TableParagraph"/>
              <w:spacing w:before="91"/>
              <w:ind w:left="212" w:right="231"/>
              <w:jc w:val="center"/>
              <w:rPr>
                <w:sz w:val="20"/>
              </w:rPr>
            </w:pPr>
            <w:r>
              <w:rPr>
                <w:sz w:val="20"/>
              </w:rPr>
              <w:t>2570-2650</w:t>
            </w:r>
          </w:p>
        </w:tc>
        <w:tc>
          <w:tcPr>
            <w:tcW w:w="1751" w:type="dxa"/>
            <w:tcBorders>
              <w:top w:val="nil"/>
              <w:left w:val="nil"/>
              <w:right w:val="nil"/>
            </w:tcBorders>
          </w:tcPr>
          <w:p>
            <w:pPr>
              <w:pStyle w:val="TableParagraph"/>
              <w:spacing w:before="91"/>
              <w:ind w:left="284"/>
              <w:rPr>
                <w:sz w:val="20"/>
              </w:rPr>
            </w:pPr>
            <w:r>
              <w:rPr>
                <w:sz w:val="20"/>
              </w:rPr>
              <w:t>19° 57’ 16’’ N</w:t>
            </w:r>
          </w:p>
          <w:p>
            <w:pPr>
              <w:pStyle w:val="TableParagraph"/>
              <w:ind w:left="334"/>
              <w:rPr>
                <w:sz w:val="20"/>
              </w:rPr>
            </w:pPr>
            <w:r>
              <w:rPr>
                <w:sz w:val="20"/>
              </w:rPr>
              <w:t>99° 50’ 39’’O</w:t>
            </w:r>
          </w:p>
        </w:tc>
      </w:tr>
    </w:tbl>
    <w:p>
      <w:pPr>
        <w:spacing w:before="0"/>
        <w:ind w:left="202" w:right="101" w:firstLine="0"/>
        <w:jc w:val="left"/>
        <w:rPr>
          <w:sz w:val="20"/>
        </w:rPr>
      </w:pPr>
      <w:r>
        <w:rPr>
          <w:sz w:val="20"/>
        </w:rPr>
        <w:t>Fuente: (IGECEM, 2011)</w:t>
      </w:r>
    </w:p>
    <w:p>
      <w:pPr>
        <w:spacing w:after="0"/>
        <w:jc w:val="left"/>
        <w:rPr>
          <w:sz w:val="20"/>
        </w:rPr>
        <w:sectPr>
          <w:footerReference w:type="default" r:id="rId65"/>
          <w:pgSz w:w="12240" w:h="15840"/>
          <w:pgMar w:footer="2192" w:header="0" w:top="1360" w:bottom="2380" w:left="1600" w:right="1300"/>
        </w:sectPr>
      </w:pPr>
    </w:p>
    <w:p>
      <w:pPr>
        <w:pStyle w:val="BodyText"/>
        <w:spacing w:before="1"/>
        <w:rPr>
          <w:sz w:val="25"/>
        </w:rPr>
      </w:pPr>
    </w:p>
    <w:p>
      <w:pPr>
        <w:pStyle w:val="BodyText"/>
        <w:spacing w:line="242" w:lineRule="auto" w:before="82"/>
        <w:ind w:left="222"/>
      </w:pPr>
      <w:r>
        <w:rPr>
          <w:b/>
        </w:rPr>
        <w:t>Tabla 4. </w:t>
      </w:r>
      <w:r>
        <w:rPr/>
        <w:t>Componentes de varianza y heredabilidad en sentido amplio (H</w:t>
      </w:r>
      <w:r>
        <w:rPr>
          <w:position w:val="9"/>
          <w:sz w:val="16"/>
        </w:rPr>
        <w:t>2</w:t>
      </w:r>
      <w:r>
        <w:rPr/>
        <w:t>) en 11 variables cuantitativas evaluadas en 39 cultivares de haba.</w:t>
      </w:r>
    </w:p>
    <w:p>
      <w:pPr>
        <w:pStyle w:val="BodyText"/>
        <w:rPr>
          <w:sz w:val="20"/>
        </w:rPr>
      </w:pPr>
    </w:p>
    <w:p>
      <w:pPr>
        <w:pStyle w:val="BodyText"/>
        <w:rPr>
          <w:sz w:val="20"/>
        </w:rPr>
      </w:pPr>
    </w:p>
    <w:p>
      <w:pPr>
        <w:pStyle w:val="BodyText"/>
        <w:rPr>
          <w:sz w:val="20"/>
        </w:rPr>
      </w:pPr>
    </w:p>
    <w:p>
      <w:pPr>
        <w:pStyle w:val="BodyText"/>
        <w:rPr>
          <w:sz w:val="21"/>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99"/>
        <w:gridCol w:w="2166"/>
        <w:gridCol w:w="2188"/>
        <w:gridCol w:w="2770"/>
      </w:tblGrid>
      <w:tr>
        <w:trPr>
          <w:trHeight w:val="408" w:hRule="exact"/>
        </w:trPr>
        <w:tc>
          <w:tcPr>
            <w:tcW w:w="1599" w:type="dxa"/>
            <w:tcBorders>
              <w:left w:val="nil"/>
              <w:right w:val="nil"/>
            </w:tcBorders>
          </w:tcPr>
          <w:p>
            <w:pPr>
              <w:pStyle w:val="TableParagraph"/>
              <w:spacing w:line="259" w:lineRule="exact"/>
              <w:ind w:left="108"/>
              <w:rPr>
                <w:sz w:val="23"/>
              </w:rPr>
            </w:pPr>
            <w:r>
              <w:rPr>
                <w:sz w:val="23"/>
              </w:rPr>
              <w:t>Variable</w:t>
            </w:r>
          </w:p>
        </w:tc>
        <w:tc>
          <w:tcPr>
            <w:tcW w:w="2166" w:type="dxa"/>
            <w:tcBorders>
              <w:left w:val="nil"/>
              <w:right w:val="nil"/>
            </w:tcBorders>
          </w:tcPr>
          <w:p>
            <w:pPr>
              <w:pStyle w:val="TableParagraph"/>
              <w:spacing w:line="72" w:lineRule="exact"/>
              <w:ind w:right="225"/>
              <w:jc w:val="center"/>
              <w:rPr>
                <w:sz w:val="15"/>
              </w:rPr>
            </w:pPr>
            <w:r>
              <w:rPr>
                <w:w w:val="100"/>
                <w:sz w:val="15"/>
              </w:rPr>
              <w:t>2</w:t>
            </w:r>
          </w:p>
          <w:p>
            <w:pPr>
              <w:pStyle w:val="TableParagraph"/>
              <w:spacing w:line="189" w:lineRule="exact"/>
              <w:ind w:left="697"/>
              <w:rPr>
                <w:sz w:val="15"/>
              </w:rPr>
            </w:pPr>
            <w:r>
              <w:rPr>
                <w:position w:val="2"/>
                <w:sz w:val="23"/>
              </w:rPr>
              <w:t>σ</w:t>
            </w:r>
            <w:r>
              <w:rPr>
                <w:sz w:val="15"/>
              </w:rPr>
              <w:t>G</w:t>
            </w:r>
          </w:p>
        </w:tc>
        <w:tc>
          <w:tcPr>
            <w:tcW w:w="2188" w:type="dxa"/>
            <w:tcBorders>
              <w:left w:val="nil"/>
              <w:right w:val="nil"/>
            </w:tcBorders>
          </w:tcPr>
          <w:p>
            <w:pPr>
              <w:pStyle w:val="TableParagraph"/>
              <w:spacing w:line="72" w:lineRule="exact"/>
              <w:ind w:right="326"/>
              <w:jc w:val="center"/>
              <w:rPr>
                <w:sz w:val="15"/>
              </w:rPr>
            </w:pPr>
            <w:r>
              <w:rPr>
                <w:w w:val="100"/>
                <w:sz w:val="15"/>
              </w:rPr>
              <w:t>2</w:t>
            </w:r>
          </w:p>
          <w:p>
            <w:pPr>
              <w:pStyle w:val="TableParagraph"/>
              <w:spacing w:line="189" w:lineRule="exact"/>
              <w:ind w:left="719"/>
              <w:rPr>
                <w:sz w:val="15"/>
              </w:rPr>
            </w:pPr>
            <w:r>
              <w:rPr>
                <w:position w:val="2"/>
                <w:sz w:val="23"/>
              </w:rPr>
              <w:t>σ</w:t>
            </w:r>
            <w:r>
              <w:rPr>
                <w:sz w:val="15"/>
              </w:rPr>
              <w:t>f</w:t>
            </w:r>
          </w:p>
        </w:tc>
        <w:tc>
          <w:tcPr>
            <w:tcW w:w="2770" w:type="dxa"/>
            <w:tcBorders>
              <w:left w:val="nil"/>
              <w:right w:val="nil"/>
            </w:tcBorders>
          </w:tcPr>
          <w:p>
            <w:pPr>
              <w:pStyle w:val="TableParagraph"/>
              <w:spacing w:line="259" w:lineRule="exact"/>
              <w:ind w:left="720"/>
              <w:rPr>
                <w:sz w:val="23"/>
              </w:rPr>
            </w:pPr>
            <w:r>
              <w:rPr>
                <w:sz w:val="23"/>
              </w:rPr>
              <w:t>H</w:t>
            </w:r>
            <w:r>
              <w:rPr>
                <w:position w:val="9"/>
                <w:sz w:val="15"/>
              </w:rPr>
              <w:t>2 </w:t>
            </w:r>
            <w:r>
              <w:rPr>
                <w:sz w:val="23"/>
              </w:rPr>
              <w:t>(%)</w:t>
            </w:r>
          </w:p>
        </w:tc>
      </w:tr>
      <w:tr>
        <w:trPr>
          <w:trHeight w:val="341" w:hRule="exact"/>
        </w:trPr>
        <w:tc>
          <w:tcPr>
            <w:tcW w:w="1599" w:type="dxa"/>
            <w:tcBorders>
              <w:left w:val="nil"/>
              <w:bottom w:val="nil"/>
              <w:right w:val="nil"/>
            </w:tcBorders>
          </w:tcPr>
          <w:p>
            <w:pPr>
              <w:pStyle w:val="TableParagraph"/>
              <w:spacing w:line="259" w:lineRule="exact"/>
              <w:ind w:left="108"/>
              <w:rPr>
                <w:sz w:val="23"/>
              </w:rPr>
            </w:pPr>
            <w:r>
              <w:rPr>
                <w:sz w:val="23"/>
              </w:rPr>
              <w:t>NT</w:t>
            </w:r>
          </w:p>
        </w:tc>
        <w:tc>
          <w:tcPr>
            <w:tcW w:w="2166" w:type="dxa"/>
            <w:tcBorders>
              <w:left w:val="nil"/>
              <w:bottom w:val="nil"/>
              <w:right w:val="nil"/>
            </w:tcBorders>
          </w:tcPr>
          <w:p>
            <w:pPr>
              <w:pStyle w:val="TableParagraph"/>
              <w:spacing w:line="259" w:lineRule="exact"/>
              <w:ind w:left="697"/>
              <w:rPr>
                <w:sz w:val="23"/>
              </w:rPr>
            </w:pPr>
            <w:r>
              <w:rPr>
                <w:sz w:val="23"/>
              </w:rPr>
              <w:t>0.32</w:t>
            </w:r>
          </w:p>
        </w:tc>
        <w:tc>
          <w:tcPr>
            <w:tcW w:w="2188" w:type="dxa"/>
            <w:tcBorders>
              <w:left w:val="nil"/>
              <w:bottom w:val="nil"/>
              <w:right w:val="nil"/>
            </w:tcBorders>
          </w:tcPr>
          <w:p>
            <w:pPr>
              <w:pStyle w:val="TableParagraph"/>
              <w:spacing w:line="259" w:lineRule="exact"/>
              <w:ind w:left="719"/>
              <w:rPr>
                <w:sz w:val="23"/>
              </w:rPr>
            </w:pPr>
            <w:r>
              <w:rPr>
                <w:sz w:val="23"/>
              </w:rPr>
              <w:t>0.79</w:t>
            </w:r>
          </w:p>
        </w:tc>
        <w:tc>
          <w:tcPr>
            <w:tcW w:w="2770" w:type="dxa"/>
            <w:tcBorders>
              <w:left w:val="nil"/>
              <w:bottom w:val="nil"/>
              <w:right w:val="nil"/>
            </w:tcBorders>
          </w:tcPr>
          <w:p>
            <w:pPr>
              <w:pStyle w:val="TableParagraph"/>
              <w:spacing w:line="259" w:lineRule="exact"/>
              <w:ind w:left="720"/>
              <w:rPr>
                <w:sz w:val="23"/>
              </w:rPr>
            </w:pPr>
            <w:r>
              <w:rPr>
                <w:sz w:val="23"/>
              </w:rPr>
              <w:t>40.5</w:t>
            </w:r>
          </w:p>
        </w:tc>
      </w:tr>
      <w:tr>
        <w:trPr>
          <w:trHeight w:val="396" w:hRule="exact"/>
        </w:trPr>
        <w:tc>
          <w:tcPr>
            <w:tcW w:w="1599" w:type="dxa"/>
            <w:tcBorders>
              <w:top w:val="nil"/>
              <w:left w:val="nil"/>
              <w:bottom w:val="nil"/>
              <w:right w:val="nil"/>
            </w:tcBorders>
          </w:tcPr>
          <w:p>
            <w:pPr>
              <w:pStyle w:val="TableParagraph"/>
              <w:spacing w:before="53"/>
              <w:ind w:left="108"/>
              <w:rPr>
                <w:sz w:val="23"/>
              </w:rPr>
            </w:pPr>
            <w:r>
              <w:rPr>
                <w:sz w:val="23"/>
              </w:rPr>
              <w:t>NN</w:t>
            </w:r>
          </w:p>
        </w:tc>
        <w:tc>
          <w:tcPr>
            <w:tcW w:w="2166" w:type="dxa"/>
            <w:tcBorders>
              <w:top w:val="nil"/>
              <w:left w:val="nil"/>
              <w:bottom w:val="nil"/>
              <w:right w:val="nil"/>
            </w:tcBorders>
          </w:tcPr>
          <w:p>
            <w:pPr>
              <w:pStyle w:val="TableParagraph"/>
              <w:spacing w:before="53"/>
              <w:ind w:left="697"/>
              <w:rPr>
                <w:sz w:val="23"/>
              </w:rPr>
            </w:pPr>
            <w:r>
              <w:rPr>
                <w:sz w:val="23"/>
              </w:rPr>
              <w:t>2.33</w:t>
            </w:r>
          </w:p>
        </w:tc>
        <w:tc>
          <w:tcPr>
            <w:tcW w:w="2188" w:type="dxa"/>
            <w:tcBorders>
              <w:top w:val="nil"/>
              <w:left w:val="nil"/>
              <w:bottom w:val="nil"/>
              <w:right w:val="nil"/>
            </w:tcBorders>
          </w:tcPr>
          <w:p>
            <w:pPr>
              <w:pStyle w:val="TableParagraph"/>
              <w:spacing w:before="53"/>
              <w:ind w:left="719"/>
              <w:rPr>
                <w:sz w:val="23"/>
              </w:rPr>
            </w:pPr>
            <w:r>
              <w:rPr>
                <w:sz w:val="23"/>
              </w:rPr>
              <w:t>2.72</w:t>
            </w:r>
          </w:p>
        </w:tc>
        <w:tc>
          <w:tcPr>
            <w:tcW w:w="2770" w:type="dxa"/>
            <w:tcBorders>
              <w:top w:val="nil"/>
              <w:left w:val="nil"/>
              <w:bottom w:val="nil"/>
              <w:right w:val="nil"/>
            </w:tcBorders>
          </w:tcPr>
          <w:p>
            <w:pPr>
              <w:pStyle w:val="TableParagraph"/>
              <w:spacing w:before="53"/>
              <w:ind w:left="720"/>
              <w:rPr>
                <w:sz w:val="23"/>
              </w:rPr>
            </w:pPr>
            <w:r>
              <w:rPr>
                <w:sz w:val="23"/>
              </w:rPr>
              <w:t>85.6</w:t>
            </w:r>
          </w:p>
        </w:tc>
      </w:tr>
      <w:tr>
        <w:trPr>
          <w:trHeight w:val="398" w:hRule="exact"/>
        </w:trPr>
        <w:tc>
          <w:tcPr>
            <w:tcW w:w="1599" w:type="dxa"/>
            <w:tcBorders>
              <w:top w:val="nil"/>
              <w:left w:val="nil"/>
              <w:bottom w:val="nil"/>
              <w:right w:val="nil"/>
            </w:tcBorders>
          </w:tcPr>
          <w:p>
            <w:pPr>
              <w:pStyle w:val="TableParagraph"/>
              <w:spacing w:before="53"/>
              <w:ind w:left="108"/>
              <w:rPr>
                <w:sz w:val="23"/>
              </w:rPr>
            </w:pPr>
            <w:r>
              <w:rPr>
                <w:sz w:val="23"/>
              </w:rPr>
              <w:t>NFo</w:t>
            </w:r>
          </w:p>
        </w:tc>
        <w:tc>
          <w:tcPr>
            <w:tcW w:w="2166" w:type="dxa"/>
            <w:tcBorders>
              <w:top w:val="nil"/>
              <w:left w:val="nil"/>
              <w:bottom w:val="nil"/>
              <w:right w:val="nil"/>
            </w:tcBorders>
          </w:tcPr>
          <w:p>
            <w:pPr>
              <w:pStyle w:val="TableParagraph"/>
              <w:spacing w:before="53"/>
              <w:ind w:left="697"/>
              <w:rPr>
                <w:sz w:val="23"/>
              </w:rPr>
            </w:pPr>
            <w:r>
              <w:rPr>
                <w:sz w:val="23"/>
              </w:rPr>
              <w:t>0.016</w:t>
            </w:r>
          </w:p>
        </w:tc>
        <w:tc>
          <w:tcPr>
            <w:tcW w:w="2188" w:type="dxa"/>
            <w:tcBorders>
              <w:top w:val="nil"/>
              <w:left w:val="nil"/>
              <w:bottom w:val="nil"/>
              <w:right w:val="nil"/>
            </w:tcBorders>
          </w:tcPr>
          <w:p>
            <w:pPr>
              <w:pStyle w:val="TableParagraph"/>
              <w:spacing w:before="53"/>
              <w:ind w:left="719"/>
              <w:rPr>
                <w:sz w:val="23"/>
              </w:rPr>
            </w:pPr>
            <w:r>
              <w:rPr>
                <w:sz w:val="23"/>
              </w:rPr>
              <w:t>0.052</w:t>
            </w:r>
          </w:p>
        </w:tc>
        <w:tc>
          <w:tcPr>
            <w:tcW w:w="2770" w:type="dxa"/>
            <w:tcBorders>
              <w:top w:val="nil"/>
              <w:left w:val="nil"/>
              <w:bottom w:val="nil"/>
              <w:right w:val="nil"/>
            </w:tcBorders>
          </w:tcPr>
          <w:p>
            <w:pPr>
              <w:pStyle w:val="TableParagraph"/>
              <w:spacing w:before="53"/>
              <w:ind w:left="720"/>
              <w:rPr>
                <w:sz w:val="23"/>
              </w:rPr>
            </w:pPr>
            <w:r>
              <w:rPr>
                <w:sz w:val="23"/>
              </w:rPr>
              <w:t>30.7</w:t>
            </w:r>
          </w:p>
        </w:tc>
      </w:tr>
      <w:tr>
        <w:trPr>
          <w:trHeight w:val="398" w:hRule="exact"/>
        </w:trPr>
        <w:tc>
          <w:tcPr>
            <w:tcW w:w="1599" w:type="dxa"/>
            <w:tcBorders>
              <w:top w:val="nil"/>
              <w:left w:val="nil"/>
              <w:bottom w:val="nil"/>
              <w:right w:val="nil"/>
            </w:tcBorders>
          </w:tcPr>
          <w:p>
            <w:pPr>
              <w:pStyle w:val="TableParagraph"/>
              <w:spacing w:before="55"/>
              <w:ind w:left="108"/>
              <w:rPr>
                <w:sz w:val="23"/>
              </w:rPr>
            </w:pPr>
            <w:r>
              <w:rPr>
                <w:sz w:val="23"/>
              </w:rPr>
              <w:t>PFP</w:t>
            </w:r>
          </w:p>
        </w:tc>
        <w:tc>
          <w:tcPr>
            <w:tcW w:w="2166" w:type="dxa"/>
            <w:tcBorders>
              <w:top w:val="nil"/>
              <w:left w:val="nil"/>
              <w:bottom w:val="nil"/>
              <w:right w:val="nil"/>
            </w:tcBorders>
          </w:tcPr>
          <w:p>
            <w:pPr>
              <w:pStyle w:val="TableParagraph"/>
              <w:spacing w:before="55"/>
              <w:ind w:left="697"/>
              <w:rPr>
                <w:sz w:val="23"/>
              </w:rPr>
            </w:pPr>
            <w:r>
              <w:rPr>
                <w:sz w:val="23"/>
              </w:rPr>
              <w:t>53.36</w:t>
            </w:r>
          </w:p>
        </w:tc>
        <w:tc>
          <w:tcPr>
            <w:tcW w:w="2188" w:type="dxa"/>
            <w:tcBorders>
              <w:top w:val="nil"/>
              <w:left w:val="nil"/>
              <w:bottom w:val="nil"/>
              <w:right w:val="nil"/>
            </w:tcBorders>
          </w:tcPr>
          <w:p>
            <w:pPr>
              <w:pStyle w:val="TableParagraph"/>
              <w:spacing w:before="55"/>
              <w:ind w:left="719"/>
              <w:rPr>
                <w:sz w:val="23"/>
              </w:rPr>
            </w:pPr>
            <w:r>
              <w:rPr>
                <w:sz w:val="23"/>
              </w:rPr>
              <w:t>61.19</w:t>
            </w:r>
          </w:p>
        </w:tc>
        <w:tc>
          <w:tcPr>
            <w:tcW w:w="2770" w:type="dxa"/>
            <w:tcBorders>
              <w:top w:val="nil"/>
              <w:left w:val="nil"/>
              <w:bottom w:val="nil"/>
              <w:right w:val="nil"/>
            </w:tcBorders>
          </w:tcPr>
          <w:p>
            <w:pPr>
              <w:pStyle w:val="TableParagraph"/>
              <w:spacing w:before="55"/>
              <w:ind w:left="720"/>
              <w:rPr>
                <w:sz w:val="23"/>
              </w:rPr>
            </w:pPr>
            <w:r>
              <w:rPr>
                <w:sz w:val="23"/>
              </w:rPr>
              <w:t>87.2</w:t>
            </w:r>
          </w:p>
        </w:tc>
      </w:tr>
      <w:tr>
        <w:trPr>
          <w:trHeight w:val="396" w:hRule="exact"/>
        </w:trPr>
        <w:tc>
          <w:tcPr>
            <w:tcW w:w="1599" w:type="dxa"/>
            <w:tcBorders>
              <w:top w:val="nil"/>
              <w:left w:val="nil"/>
              <w:bottom w:val="nil"/>
              <w:right w:val="nil"/>
            </w:tcBorders>
          </w:tcPr>
          <w:p>
            <w:pPr>
              <w:pStyle w:val="TableParagraph"/>
              <w:spacing w:before="53"/>
              <w:ind w:left="108"/>
              <w:rPr>
                <w:sz w:val="23"/>
              </w:rPr>
            </w:pPr>
            <w:r>
              <w:rPr>
                <w:sz w:val="23"/>
              </w:rPr>
              <w:t>NFN</w:t>
            </w:r>
          </w:p>
        </w:tc>
        <w:tc>
          <w:tcPr>
            <w:tcW w:w="2166" w:type="dxa"/>
            <w:tcBorders>
              <w:top w:val="nil"/>
              <w:left w:val="nil"/>
              <w:bottom w:val="nil"/>
              <w:right w:val="nil"/>
            </w:tcBorders>
          </w:tcPr>
          <w:p>
            <w:pPr>
              <w:pStyle w:val="TableParagraph"/>
              <w:spacing w:before="53"/>
              <w:ind w:left="697"/>
              <w:rPr>
                <w:sz w:val="23"/>
              </w:rPr>
            </w:pPr>
            <w:r>
              <w:rPr>
                <w:sz w:val="23"/>
              </w:rPr>
              <w:t>0.15</w:t>
            </w:r>
          </w:p>
        </w:tc>
        <w:tc>
          <w:tcPr>
            <w:tcW w:w="2188" w:type="dxa"/>
            <w:tcBorders>
              <w:top w:val="nil"/>
              <w:left w:val="nil"/>
              <w:bottom w:val="nil"/>
              <w:right w:val="nil"/>
            </w:tcBorders>
          </w:tcPr>
          <w:p>
            <w:pPr>
              <w:pStyle w:val="TableParagraph"/>
              <w:spacing w:before="53"/>
              <w:ind w:left="719"/>
              <w:rPr>
                <w:sz w:val="23"/>
              </w:rPr>
            </w:pPr>
            <w:r>
              <w:rPr>
                <w:sz w:val="23"/>
              </w:rPr>
              <w:t>0.20</w:t>
            </w:r>
          </w:p>
        </w:tc>
        <w:tc>
          <w:tcPr>
            <w:tcW w:w="2770" w:type="dxa"/>
            <w:tcBorders>
              <w:top w:val="nil"/>
              <w:left w:val="nil"/>
              <w:bottom w:val="nil"/>
              <w:right w:val="nil"/>
            </w:tcBorders>
          </w:tcPr>
          <w:p>
            <w:pPr>
              <w:pStyle w:val="TableParagraph"/>
              <w:spacing w:before="53"/>
              <w:ind w:left="720"/>
              <w:rPr>
                <w:sz w:val="23"/>
              </w:rPr>
            </w:pPr>
            <w:r>
              <w:rPr>
                <w:sz w:val="23"/>
              </w:rPr>
              <w:t>75.0</w:t>
            </w:r>
          </w:p>
        </w:tc>
      </w:tr>
      <w:tr>
        <w:trPr>
          <w:trHeight w:val="397" w:hRule="exact"/>
        </w:trPr>
        <w:tc>
          <w:tcPr>
            <w:tcW w:w="1599" w:type="dxa"/>
            <w:tcBorders>
              <w:top w:val="nil"/>
              <w:left w:val="nil"/>
              <w:bottom w:val="nil"/>
              <w:right w:val="nil"/>
            </w:tcBorders>
          </w:tcPr>
          <w:p>
            <w:pPr>
              <w:pStyle w:val="TableParagraph"/>
              <w:spacing w:before="53"/>
              <w:ind w:left="108"/>
              <w:rPr>
                <w:sz w:val="23"/>
              </w:rPr>
            </w:pPr>
            <w:r>
              <w:rPr>
                <w:sz w:val="23"/>
              </w:rPr>
              <w:t>NVP</w:t>
            </w:r>
          </w:p>
        </w:tc>
        <w:tc>
          <w:tcPr>
            <w:tcW w:w="2166" w:type="dxa"/>
            <w:tcBorders>
              <w:top w:val="nil"/>
              <w:left w:val="nil"/>
              <w:bottom w:val="nil"/>
              <w:right w:val="nil"/>
            </w:tcBorders>
          </w:tcPr>
          <w:p>
            <w:pPr>
              <w:pStyle w:val="TableParagraph"/>
              <w:spacing w:before="53"/>
              <w:ind w:left="697"/>
              <w:rPr>
                <w:sz w:val="23"/>
              </w:rPr>
            </w:pPr>
            <w:r>
              <w:rPr>
                <w:sz w:val="23"/>
              </w:rPr>
              <w:t>115.40</w:t>
            </w:r>
          </w:p>
        </w:tc>
        <w:tc>
          <w:tcPr>
            <w:tcW w:w="2188" w:type="dxa"/>
            <w:tcBorders>
              <w:top w:val="nil"/>
              <w:left w:val="nil"/>
              <w:bottom w:val="nil"/>
              <w:right w:val="nil"/>
            </w:tcBorders>
          </w:tcPr>
          <w:p>
            <w:pPr>
              <w:pStyle w:val="TableParagraph"/>
              <w:spacing w:before="53"/>
              <w:ind w:left="719"/>
              <w:rPr>
                <w:sz w:val="23"/>
              </w:rPr>
            </w:pPr>
            <w:r>
              <w:rPr>
                <w:sz w:val="23"/>
              </w:rPr>
              <w:t>115.73</w:t>
            </w:r>
          </w:p>
        </w:tc>
        <w:tc>
          <w:tcPr>
            <w:tcW w:w="2770" w:type="dxa"/>
            <w:tcBorders>
              <w:top w:val="nil"/>
              <w:left w:val="nil"/>
              <w:bottom w:val="nil"/>
              <w:right w:val="nil"/>
            </w:tcBorders>
          </w:tcPr>
          <w:p>
            <w:pPr>
              <w:pStyle w:val="TableParagraph"/>
              <w:spacing w:before="53"/>
              <w:ind w:left="720"/>
              <w:rPr>
                <w:sz w:val="23"/>
              </w:rPr>
            </w:pPr>
            <w:r>
              <w:rPr>
                <w:sz w:val="23"/>
              </w:rPr>
              <w:t>99.7</w:t>
            </w:r>
          </w:p>
        </w:tc>
      </w:tr>
      <w:tr>
        <w:trPr>
          <w:trHeight w:val="397" w:hRule="exact"/>
        </w:trPr>
        <w:tc>
          <w:tcPr>
            <w:tcW w:w="1599" w:type="dxa"/>
            <w:tcBorders>
              <w:top w:val="nil"/>
              <w:left w:val="nil"/>
              <w:bottom w:val="nil"/>
              <w:right w:val="nil"/>
            </w:tcBorders>
          </w:tcPr>
          <w:p>
            <w:pPr>
              <w:pStyle w:val="TableParagraph"/>
              <w:spacing w:before="54"/>
              <w:ind w:left="108"/>
              <w:rPr>
                <w:sz w:val="23"/>
              </w:rPr>
            </w:pPr>
            <w:r>
              <w:rPr>
                <w:sz w:val="23"/>
              </w:rPr>
              <w:t>PVP</w:t>
            </w:r>
          </w:p>
        </w:tc>
        <w:tc>
          <w:tcPr>
            <w:tcW w:w="2166" w:type="dxa"/>
            <w:tcBorders>
              <w:top w:val="nil"/>
              <w:left w:val="nil"/>
              <w:bottom w:val="nil"/>
              <w:right w:val="nil"/>
            </w:tcBorders>
          </w:tcPr>
          <w:p>
            <w:pPr>
              <w:pStyle w:val="TableParagraph"/>
              <w:spacing w:before="54"/>
              <w:ind w:left="697"/>
              <w:rPr>
                <w:sz w:val="23"/>
              </w:rPr>
            </w:pPr>
            <w:r>
              <w:rPr>
                <w:sz w:val="23"/>
              </w:rPr>
              <w:t>1769.9</w:t>
            </w:r>
          </w:p>
        </w:tc>
        <w:tc>
          <w:tcPr>
            <w:tcW w:w="2188" w:type="dxa"/>
            <w:tcBorders>
              <w:top w:val="nil"/>
              <w:left w:val="nil"/>
              <w:bottom w:val="nil"/>
              <w:right w:val="nil"/>
            </w:tcBorders>
          </w:tcPr>
          <w:p>
            <w:pPr>
              <w:pStyle w:val="TableParagraph"/>
              <w:spacing w:before="54"/>
              <w:ind w:left="719"/>
              <w:rPr>
                <w:sz w:val="23"/>
              </w:rPr>
            </w:pPr>
            <w:r>
              <w:rPr>
                <w:sz w:val="23"/>
              </w:rPr>
              <w:t>1775.3</w:t>
            </w:r>
          </w:p>
        </w:tc>
        <w:tc>
          <w:tcPr>
            <w:tcW w:w="2770" w:type="dxa"/>
            <w:tcBorders>
              <w:top w:val="nil"/>
              <w:left w:val="nil"/>
              <w:bottom w:val="nil"/>
              <w:right w:val="nil"/>
            </w:tcBorders>
          </w:tcPr>
          <w:p>
            <w:pPr>
              <w:pStyle w:val="TableParagraph"/>
              <w:spacing w:before="54"/>
              <w:ind w:left="720"/>
              <w:rPr>
                <w:sz w:val="23"/>
              </w:rPr>
            </w:pPr>
            <w:r>
              <w:rPr>
                <w:sz w:val="23"/>
              </w:rPr>
              <w:t>99.6</w:t>
            </w:r>
          </w:p>
        </w:tc>
      </w:tr>
      <w:tr>
        <w:trPr>
          <w:trHeight w:val="396" w:hRule="exact"/>
        </w:trPr>
        <w:tc>
          <w:tcPr>
            <w:tcW w:w="1599" w:type="dxa"/>
            <w:tcBorders>
              <w:top w:val="nil"/>
              <w:left w:val="nil"/>
              <w:bottom w:val="nil"/>
              <w:right w:val="nil"/>
            </w:tcBorders>
          </w:tcPr>
          <w:p>
            <w:pPr>
              <w:pStyle w:val="TableParagraph"/>
              <w:spacing w:before="53"/>
              <w:ind w:left="108"/>
              <w:rPr>
                <w:sz w:val="23"/>
              </w:rPr>
            </w:pPr>
            <w:r>
              <w:rPr>
                <w:sz w:val="23"/>
              </w:rPr>
              <w:t>NSV</w:t>
            </w:r>
          </w:p>
        </w:tc>
        <w:tc>
          <w:tcPr>
            <w:tcW w:w="2166" w:type="dxa"/>
            <w:tcBorders>
              <w:top w:val="nil"/>
              <w:left w:val="nil"/>
              <w:bottom w:val="nil"/>
              <w:right w:val="nil"/>
            </w:tcBorders>
          </w:tcPr>
          <w:p>
            <w:pPr>
              <w:pStyle w:val="TableParagraph"/>
              <w:spacing w:before="53"/>
              <w:ind w:left="697"/>
              <w:rPr>
                <w:sz w:val="23"/>
              </w:rPr>
            </w:pPr>
            <w:r>
              <w:rPr>
                <w:sz w:val="23"/>
              </w:rPr>
              <w:t>0.061</w:t>
            </w:r>
          </w:p>
        </w:tc>
        <w:tc>
          <w:tcPr>
            <w:tcW w:w="2188" w:type="dxa"/>
            <w:tcBorders>
              <w:top w:val="nil"/>
              <w:left w:val="nil"/>
              <w:bottom w:val="nil"/>
              <w:right w:val="nil"/>
            </w:tcBorders>
          </w:tcPr>
          <w:p>
            <w:pPr>
              <w:pStyle w:val="TableParagraph"/>
              <w:spacing w:before="53"/>
              <w:ind w:left="719"/>
              <w:rPr>
                <w:sz w:val="23"/>
              </w:rPr>
            </w:pPr>
            <w:r>
              <w:rPr>
                <w:sz w:val="23"/>
              </w:rPr>
              <w:t>0.07</w:t>
            </w:r>
          </w:p>
        </w:tc>
        <w:tc>
          <w:tcPr>
            <w:tcW w:w="2770" w:type="dxa"/>
            <w:tcBorders>
              <w:top w:val="nil"/>
              <w:left w:val="nil"/>
              <w:bottom w:val="nil"/>
              <w:right w:val="nil"/>
            </w:tcBorders>
          </w:tcPr>
          <w:p>
            <w:pPr>
              <w:pStyle w:val="TableParagraph"/>
              <w:spacing w:before="53"/>
              <w:ind w:left="720"/>
              <w:rPr>
                <w:sz w:val="23"/>
              </w:rPr>
            </w:pPr>
            <w:r>
              <w:rPr>
                <w:sz w:val="23"/>
              </w:rPr>
              <w:t>87.1</w:t>
            </w:r>
          </w:p>
        </w:tc>
      </w:tr>
      <w:tr>
        <w:trPr>
          <w:trHeight w:val="397" w:hRule="exact"/>
        </w:trPr>
        <w:tc>
          <w:tcPr>
            <w:tcW w:w="1599" w:type="dxa"/>
            <w:tcBorders>
              <w:top w:val="nil"/>
              <w:left w:val="nil"/>
              <w:bottom w:val="nil"/>
              <w:right w:val="nil"/>
            </w:tcBorders>
          </w:tcPr>
          <w:p>
            <w:pPr>
              <w:pStyle w:val="TableParagraph"/>
              <w:spacing w:before="53"/>
              <w:ind w:left="108"/>
              <w:rPr>
                <w:sz w:val="23"/>
              </w:rPr>
            </w:pPr>
            <w:r>
              <w:rPr>
                <w:sz w:val="23"/>
              </w:rPr>
              <w:t>P100S</w:t>
            </w:r>
          </w:p>
        </w:tc>
        <w:tc>
          <w:tcPr>
            <w:tcW w:w="2166" w:type="dxa"/>
            <w:tcBorders>
              <w:top w:val="nil"/>
              <w:left w:val="nil"/>
              <w:bottom w:val="nil"/>
              <w:right w:val="nil"/>
            </w:tcBorders>
          </w:tcPr>
          <w:p>
            <w:pPr>
              <w:pStyle w:val="TableParagraph"/>
              <w:spacing w:before="53"/>
              <w:ind w:left="697"/>
              <w:rPr>
                <w:sz w:val="23"/>
              </w:rPr>
            </w:pPr>
            <w:r>
              <w:rPr>
                <w:sz w:val="23"/>
              </w:rPr>
              <w:t>1509.7</w:t>
            </w:r>
          </w:p>
        </w:tc>
        <w:tc>
          <w:tcPr>
            <w:tcW w:w="2188" w:type="dxa"/>
            <w:tcBorders>
              <w:top w:val="nil"/>
              <w:left w:val="nil"/>
              <w:bottom w:val="nil"/>
              <w:right w:val="nil"/>
            </w:tcBorders>
          </w:tcPr>
          <w:p>
            <w:pPr>
              <w:pStyle w:val="TableParagraph"/>
              <w:spacing w:before="53"/>
              <w:ind w:left="719"/>
              <w:rPr>
                <w:sz w:val="23"/>
              </w:rPr>
            </w:pPr>
            <w:r>
              <w:rPr>
                <w:sz w:val="23"/>
              </w:rPr>
              <w:t>1618.9</w:t>
            </w:r>
          </w:p>
        </w:tc>
        <w:tc>
          <w:tcPr>
            <w:tcW w:w="2770" w:type="dxa"/>
            <w:tcBorders>
              <w:top w:val="nil"/>
              <w:left w:val="nil"/>
              <w:bottom w:val="nil"/>
              <w:right w:val="nil"/>
            </w:tcBorders>
          </w:tcPr>
          <w:p>
            <w:pPr>
              <w:pStyle w:val="TableParagraph"/>
              <w:spacing w:before="53"/>
              <w:ind w:left="720"/>
              <w:rPr>
                <w:sz w:val="23"/>
              </w:rPr>
            </w:pPr>
            <w:r>
              <w:rPr>
                <w:sz w:val="23"/>
              </w:rPr>
              <w:t>93.2</w:t>
            </w:r>
          </w:p>
        </w:tc>
      </w:tr>
      <w:tr>
        <w:trPr>
          <w:trHeight w:val="397" w:hRule="exact"/>
        </w:trPr>
        <w:tc>
          <w:tcPr>
            <w:tcW w:w="1599" w:type="dxa"/>
            <w:tcBorders>
              <w:top w:val="nil"/>
              <w:left w:val="nil"/>
              <w:bottom w:val="nil"/>
              <w:right w:val="nil"/>
            </w:tcBorders>
          </w:tcPr>
          <w:p>
            <w:pPr>
              <w:pStyle w:val="TableParagraph"/>
              <w:spacing w:before="54"/>
              <w:ind w:left="108"/>
              <w:rPr>
                <w:sz w:val="23"/>
              </w:rPr>
            </w:pPr>
            <w:r>
              <w:rPr>
                <w:sz w:val="23"/>
              </w:rPr>
              <w:t>PSP</w:t>
            </w:r>
          </w:p>
        </w:tc>
        <w:tc>
          <w:tcPr>
            <w:tcW w:w="2166" w:type="dxa"/>
            <w:tcBorders>
              <w:top w:val="nil"/>
              <w:left w:val="nil"/>
              <w:bottom w:val="nil"/>
              <w:right w:val="nil"/>
            </w:tcBorders>
          </w:tcPr>
          <w:p>
            <w:pPr>
              <w:pStyle w:val="TableParagraph"/>
              <w:spacing w:before="54"/>
              <w:ind w:left="697"/>
              <w:rPr>
                <w:sz w:val="23"/>
              </w:rPr>
            </w:pPr>
            <w:r>
              <w:rPr>
                <w:sz w:val="23"/>
              </w:rPr>
              <w:t>1422.18</w:t>
            </w:r>
          </w:p>
        </w:tc>
        <w:tc>
          <w:tcPr>
            <w:tcW w:w="2188" w:type="dxa"/>
            <w:tcBorders>
              <w:top w:val="nil"/>
              <w:left w:val="nil"/>
              <w:bottom w:val="nil"/>
              <w:right w:val="nil"/>
            </w:tcBorders>
          </w:tcPr>
          <w:p>
            <w:pPr>
              <w:pStyle w:val="TableParagraph"/>
              <w:spacing w:before="54"/>
              <w:ind w:left="719"/>
              <w:rPr>
                <w:sz w:val="23"/>
              </w:rPr>
            </w:pPr>
            <w:r>
              <w:rPr>
                <w:sz w:val="23"/>
              </w:rPr>
              <w:t>1424.81</w:t>
            </w:r>
          </w:p>
        </w:tc>
        <w:tc>
          <w:tcPr>
            <w:tcW w:w="2770" w:type="dxa"/>
            <w:tcBorders>
              <w:top w:val="nil"/>
              <w:left w:val="nil"/>
              <w:bottom w:val="nil"/>
              <w:right w:val="nil"/>
            </w:tcBorders>
          </w:tcPr>
          <w:p>
            <w:pPr>
              <w:pStyle w:val="TableParagraph"/>
              <w:spacing w:before="54"/>
              <w:ind w:left="720"/>
              <w:rPr>
                <w:sz w:val="23"/>
              </w:rPr>
            </w:pPr>
            <w:r>
              <w:rPr>
                <w:sz w:val="23"/>
              </w:rPr>
              <w:t>99.8</w:t>
            </w:r>
          </w:p>
        </w:tc>
      </w:tr>
      <w:tr>
        <w:trPr>
          <w:trHeight w:val="460" w:hRule="exact"/>
        </w:trPr>
        <w:tc>
          <w:tcPr>
            <w:tcW w:w="1599" w:type="dxa"/>
            <w:tcBorders>
              <w:top w:val="nil"/>
              <w:left w:val="nil"/>
              <w:right w:val="nil"/>
            </w:tcBorders>
          </w:tcPr>
          <w:p>
            <w:pPr>
              <w:pStyle w:val="TableParagraph"/>
              <w:spacing w:before="53"/>
              <w:ind w:left="108"/>
              <w:rPr>
                <w:sz w:val="23"/>
              </w:rPr>
            </w:pPr>
            <w:r>
              <w:rPr>
                <w:sz w:val="23"/>
              </w:rPr>
              <w:t>RHA</w:t>
            </w:r>
          </w:p>
        </w:tc>
        <w:tc>
          <w:tcPr>
            <w:tcW w:w="2166" w:type="dxa"/>
            <w:tcBorders>
              <w:top w:val="nil"/>
              <w:left w:val="nil"/>
              <w:right w:val="nil"/>
            </w:tcBorders>
          </w:tcPr>
          <w:p>
            <w:pPr>
              <w:pStyle w:val="TableParagraph"/>
              <w:spacing w:before="53"/>
              <w:ind w:left="697"/>
              <w:rPr>
                <w:sz w:val="23"/>
              </w:rPr>
            </w:pPr>
            <w:r>
              <w:rPr>
                <w:sz w:val="23"/>
              </w:rPr>
              <w:t>125.0</w:t>
            </w:r>
          </w:p>
        </w:tc>
        <w:tc>
          <w:tcPr>
            <w:tcW w:w="2188" w:type="dxa"/>
            <w:tcBorders>
              <w:top w:val="nil"/>
              <w:left w:val="nil"/>
              <w:right w:val="nil"/>
            </w:tcBorders>
          </w:tcPr>
          <w:p>
            <w:pPr>
              <w:pStyle w:val="TableParagraph"/>
              <w:spacing w:before="53"/>
              <w:ind w:left="719"/>
              <w:rPr>
                <w:sz w:val="23"/>
              </w:rPr>
            </w:pPr>
            <w:r>
              <w:rPr>
                <w:sz w:val="23"/>
              </w:rPr>
              <w:t>128.0</w:t>
            </w:r>
          </w:p>
        </w:tc>
        <w:tc>
          <w:tcPr>
            <w:tcW w:w="2770" w:type="dxa"/>
            <w:tcBorders>
              <w:top w:val="nil"/>
              <w:left w:val="nil"/>
              <w:right w:val="nil"/>
            </w:tcBorders>
          </w:tcPr>
          <w:p>
            <w:pPr>
              <w:pStyle w:val="TableParagraph"/>
              <w:spacing w:before="53"/>
              <w:ind w:left="720"/>
              <w:rPr>
                <w:sz w:val="23"/>
              </w:rPr>
            </w:pPr>
            <w:r>
              <w:rPr>
                <w:sz w:val="23"/>
              </w:rPr>
              <w:t>97.6</w:t>
            </w:r>
          </w:p>
        </w:tc>
      </w:tr>
    </w:tbl>
    <w:p>
      <w:pPr>
        <w:pStyle w:val="BodyText"/>
        <w:rPr>
          <w:sz w:val="20"/>
        </w:rPr>
      </w:pPr>
    </w:p>
    <w:p>
      <w:pPr>
        <w:pStyle w:val="BodyText"/>
        <w:spacing w:before="4"/>
        <w:rPr>
          <w:sz w:val="20"/>
        </w:rPr>
      </w:pPr>
    </w:p>
    <w:p>
      <w:pPr>
        <w:spacing w:line="362" w:lineRule="auto" w:before="74"/>
        <w:ind w:left="222" w:right="113" w:firstLine="0"/>
        <w:jc w:val="both"/>
        <w:rPr>
          <w:sz w:val="20"/>
        </w:rPr>
      </w:pPr>
      <w:r>
        <w:rPr>
          <w:sz w:val="20"/>
        </w:rPr>
        <w:t>Número de tallos (NT), número de nudos (NN), número de foliolos (NFo), porcentaje de floración (PF), número de flores (NFP), número de vainas por planta (NVP), peso de vaina por planta (PVP), número de semillas por vaina (NSV), peso de 100 semillas (P100S), peso de semillas por parcela (PSP), y rendimiento de grano por hectárea (RHA).</w:t>
      </w:r>
    </w:p>
    <w:p>
      <w:pPr>
        <w:spacing w:after="0" w:line="362" w:lineRule="auto"/>
        <w:jc w:val="both"/>
        <w:rPr>
          <w:sz w:val="20"/>
        </w:rPr>
        <w:sectPr>
          <w:footerReference w:type="default" r:id="rId66"/>
          <w:pgSz w:w="12240" w:h="15840"/>
          <w:pgMar w:footer="2010" w:header="0" w:top="1500" w:bottom="2200" w:left="1480" w:right="1300"/>
        </w:sectPr>
      </w:pPr>
    </w:p>
    <w:p>
      <w:pPr>
        <w:pStyle w:val="BodyText"/>
        <w:rPr>
          <w:sz w:val="20"/>
        </w:rPr>
      </w:pPr>
      <w:r>
        <w:rPr/>
        <w:pict>
          <v:shape style="position:absolute;margin-left:89.089996pt;margin-top:164.468506pt;width:12pt;height:134.950pt;mso-position-horizontal-relative:page;mso-position-vertical-relative:page;z-index:2536" type="#_x0000_t202" filled="false" stroked="false">
            <v:textbox inset="0,0,0,0" style="layout-flow:vertical;mso-layout-flow-alt:bottom-to-top">
              <w:txbxContent>
                <w:p>
                  <w:pPr>
                    <w:spacing w:line="223" w:lineRule="exact" w:before="0"/>
                    <w:ind w:left="20" w:right="-851" w:firstLine="0"/>
                    <w:jc w:val="left"/>
                    <w:rPr>
                      <w:rFonts w:ascii="Calibri"/>
                      <w:b/>
                      <w:sz w:val="20"/>
                    </w:rPr>
                  </w:pPr>
                  <w:r>
                    <w:rPr>
                      <w:rFonts w:ascii="Calibri"/>
                      <w:b/>
                      <w:spacing w:val="-1"/>
                      <w:w w:val="99"/>
                      <w:sz w:val="20"/>
                    </w:rPr>
                    <w:t>C</w:t>
                  </w:r>
                  <w:r>
                    <w:rPr>
                      <w:rFonts w:ascii="Calibri"/>
                      <w:b/>
                      <w:w w:val="99"/>
                      <w:sz w:val="20"/>
                    </w:rPr>
                    <w:t>omponente</w:t>
                  </w:r>
                  <w:r>
                    <w:rPr>
                      <w:rFonts w:ascii="Calibri"/>
                      <w:b/>
                      <w:spacing w:val="-4"/>
                      <w:sz w:val="20"/>
                    </w:rPr>
                    <w:t> </w:t>
                  </w:r>
                  <w:r>
                    <w:rPr>
                      <w:rFonts w:ascii="Calibri"/>
                      <w:b/>
                      <w:spacing w:val="-1"/>
                      <w:w w:val="99"/>
                      <w:sz w:val="20"/>
                    </w:rPr>
                    <w:t>P</w:t>
                  </w:r>
                  <w:r>
                    <w:rPr>
                      <w:rFonts w:ascii="Calibri"/>
                      <w:b/>
                      <w:w w:val="99"/>
                      <w:sz w:val="20"/>
                    </w:rPr>
                    <w:t>r</w:t>
                  </w:r>
                  <w:r>
                    <w:rPr>
                      <w:rFonts w:ascii="Calibri"/>
                      <w:b/>
                      <w:spacing w:val="-1"/>
                      <w:w w:val="99"/>
                      <w:sz w:val="20"/>
                    </w:rPr>
                    <w:t>i</w:t>
                  </w:r>
                  <w:r>
                    <w:rPr>
                      <w:rFonts w:ascii="Calibri"/>
                      <w:b/>
                      <w:w w:val="99"/>
                      <w:sz w:val="20"/>
                    </w:rPr>
                    <w:t>nc</w:t>
                  </w:r>
                  <w:r>
                    <w:rPr>
                      <w:rFonts w:ascii="Calibri"/>
                      <w:b/>
                      <w:spacing w:val="-1"/>
                      <w:w w:val="99"/>
                      <w:sz w:val="20"/>
                    </w:rPr>
                    <w:t>i</w:t>
                  </w:r>
                  <w:r>
                    <w:rPr>
                      <w:rFonts w:ascii="Calibri"/>
                      <w:b/>
                      <w:w w:val="99"/>
                      <w:sz w:val="20"/>
                    </w:rPr>
                    <w:t>pal</w:t>
                  </w:r>
                  <w:r>
                    <w:rPr>
                      <w:rFonts w:ascii="Calibri"/>
                      <w:b/>
                      <w:spacing w:val="1"/>
                      <w:sz w:val="20"/>
                    </w:rPr>
                    <w:t> </w:t>
                  </w:r>
                  <w:r>
                    <w:rPr>
                      <w:rFonts w:ascii="Calibri"/>
                      <w:b/>
                      <w:w w:val="99"/>
                      <w:sz w:val="20"/>
                    </w:rPr>
                    <w:t>2</w:t>
                  </w:r>
                  <w:r>
                    <w:rPr>
                      <w:rFonts w:ascii="Calibri"/>
                      <w:b/>
                      <w:spacing w:val="-1"/>
                      <w:sz w:val="20"/>
                    </w:rPr>
                    <w:t> </w:t>
                  </w:r>
                  <w:r>
                    <w:rPr>
                      <w:rFonts w:ascii="Calibri"/>
                      <w:b/>
                      <w:w w:val="99"/>
                      <w:sz w:val="20"/>
                    </w:rPr>
                    <w:t>(23</w:t>
                  </w:r>
                  <w:r>
                    <w:rPr>
                      <w:rFonts w:ascii="Calibri"/>
                      <w:b/>
                      <w:spacing w:val="-1"/>
                      <w:w w:val="99"/>
                      <w:sz w:val="20"/>
                    </w:rPr>
                    <w:t>.</w:t>
                  </w:r>
                  <w:r>
                    <w:rPr>
                      <w:rFonts w:ascii="Calibri"/>
                      <w:b/>
                      <w:w w:val="99"/>
                      <w:sz w:val="20"/>
                    </w:rPr>
                    <w:t>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spacing w:before="73"/>
        <w:ind w:left="102" w:right="0" w:firstLine="0"/>
        <w:jc w:val="left"/>
        <w:rPr>
          <w:sz w:val="20"/>
        </w:rPr>
      </w:pPr>
      <w:r>
        <w:rPr/>
        <w:pict>
          <v:group style="position:absolute;margin-left:86.144997pt;margin-top:-357.779053pt;width:416.35pt;height:328.5pt;mso-position-horizontal-relative:page;mso-position-vertical-relative:paragraph;z-index:2512" coordorigin="1723,-7156" coordsize="8327,6570">
            <v:shape style="position:absolute;left:2290;top:-6867;width:7491;height:5873" coordorigin="2290,-6867" coordsize="7491,5873" path="m5285,-994l5285,-6867m5222,-994l5285,-994m5222,-2168l5285,-2168m5222,-3344l5285,-3344m5222,-4518l5285,-4518m5222,-5691l5285,-5691m5222,-6867l5285,-6867m2290,-4518l9780,-4518m2290,-4518l2290,-4455m3038,-4518l3038,-4455m3787,-4518l3787,-4455m4536,-4518l4536,-4455m5285,-4518l5285,-4455m6034,-4518l6034,-4455m6785,-4518l6785,-4455m7534,-4518l7534,-4455m8282,-4518l8282,-4455m9031,-4518l9031,-4455m9780,-4518l9780,-4455e" filled="false" stroked="true" strokeweight=".72pt" strokecolor="#858585">
              <v:path arrowok="t"/>
            </v:shape>
            <v:shape style="position:absolute;left:6565;top:-4729;width:140;height:140" coordorigin="6565,-4729" coordsize="140,140" path="m6634,-4729l6565,-4660,6634,-4590,6704,-4660,6634,-4729xe" filled="true" fillcolor="#4f81bc" stroked="false">
              <v:path arrowok="t"/>
              <v:fill type="solid"/>
            </v:shape>
            <v:shape style="position:absolute;left:6565;top:-4729;width:140;height:140" coordorigin="6565,-4729" coordsize="140,140" path="m6634,-4729l6704,-4660,6634,-4590,6565,-4660,6634,-4729xe" filled="false" stroked="true" strokeweight=".72pt" strokecolor="#497dba">
              <v:path arrowok="t"/>
            </v:shape>
            <v:shape style="position:absolute;left:6529;top:-4775;width:140;height:140" coordorigin="6529,-4775" coordsize="140,140" path="m6598,-4775l6529,-4705,6598,-4636,6668,-4705,6598,-4775xe" filled="true" fillcolor="#4f81bc" stroked="false">
              <v:path arrowok="t"/>
              <v:fill type="solid"/>
            </v:shape>
            <v:shape style="position:absolute;left:6529;top:-4775;width:140;height:140" coordorigin="6529,-4775" coordsize="140,140" path="m6598,-4775l6668,-4705,6598,-4636,6529,-4705,6598,-4775xe" filled="false" stroked="true" strokeweight=".72pt" strokecolor="#497dba">
              <v:path arrowok="t"/>
            </v:shape>
            <v:shape style="position:absolute;left:6147;top:-4172;width:154;height:154" type="#_x0000_t75" stroked="false">
              <v:imagedata r:id="rId68" o:title=""/>
            </v:shape>
            <v:shape style="position:absolute;left:6190;top:-4636;width:140;height:140" coordorigin="6190,-4636" coordsize="140,140" path="m6260,-4636l6190,-4566,6260,-4496,6329,-4566,6260,-4636xe" filled="true" fillcolor="#4f81bc" stroked="false">
              <v:path arrowok="t"/>
              <v:fill type="solid"/>
            </v:shape>
            <v:shape style="position:absolute;left:6190;top:-4636;width:140;height:140" coordorigin="6190,-4636" coordsize="140,140" path="m6260,-4636l6329,-4566,6260,-4496,6190,-4566,6260,-4636xe" filled="false" stroked="true" strokeweight=".72pt" strokecolor="#497dba">
              <v:path arrowok="t"/>
            </v:shape>
            <v:shape style="position:absolute;left:7570;top:-4408;width:154;height:154" type="#_x0000_t75" stroked="false">
              <v:imagedata r:id="rId69" o:title=""/>
            </v:shape>
            <v:shape style="position:absolute;left:3937;top:-4148;width:154;height:154" type="#_x0000_t75" stroked="false">
              <v:imagedata r:id="rId70" o:title=""/>
            </v:shape>
            <v:shape style="position:absolute;left:6819;top:-4314;width:154;height:154" type="#_x0000_t75" stroked="false">
              <v:imagedata r:id="rId69" o:title=""/>
            </v:shape>
            <v:shape style="position:absolute;left:7645;top:-4806;width:154;height:154" type="#_x0000_t75" stroked="false">
              <v:imagedata r:id="rId71" o:title=""/>
            </v:shape>
            <v:shape style="position:absolute;left:6445;top:-4242;width:154;height:154" type="#_x0000_t75" stroked="false">
              <v:imagedata r:id="rId69" o:title=""/>
            </v:shape>
            <v:shape style="position:absolute;left:3449;top:-4760;width:154;height:154" type="#_x0000_t75" stroked="false">
              <v:imagedata r:id="rId70" o:title=""/>
            </v:shape>
            <v:shape style="position:absolute;left:4124;top:-5111;width:154;height:154" type="#_x0000_t75" stroked="false">
              <v:imagedata r:id="rId68" o:title=""/>
            </v:shape>
            <v:shape style="position:absolute;left:4467;top:-4729;width:140;height:140" coordorigin="4467,-4729" coordsize="140,140" path="m4537,-4729l4467,-4660,4537,-4590,4606,-4660,4537,-4729xe" filled="true" fillcolor="#4f81bc" stroked="false">
              <v:path arrowok="t"/>
              <v:fill type="solid"/>
            </v:shape>
            <v:shape style="position:absolute;left:4467;top:-4729;width:140;height:140" coordorigin="4467,-4729" coordsize="140,140" path="m4537,-4729l4606,-4660,4537,-4590,4467,-4660,4537,-4729xe" filled="false" stroked="true" strokeweight=".72pt" strokecolor="#497dba">
              <v:path arrowok="t"/>
            </v:shape>
            <v:shape style="position:absolute;left:5098;top:-5159;width:154;height:154" type="#_x0000_t75" stroked="false">
              <v:imagedata r:id="rId70" o:title=""/>
            </v:shape>
            <v:shape style="position:absolute;left:4618;top:-4753;width:140;height:140" coordorigin="4618,-4753" coordsize="140,140" path="m4688,-4753l4618,-4684,4688,-4614,4757,-4684,4688,-4753xe" filled="true" fillcolor="#4f81bc" stroked="false">
              <v:path arrowok="t"/>
              <v:fill type="solid"/>
            </v:shape>
            <v:shape style="position:absolute;left:4618;top:-4753;width:140;height:140" coordorigin="4618,-4753" coordsize="140,140" path="m4688,-4753l4757,-4684,4688,-4614,4618,-4684,4688,-4753xe" filled="false" stroked="true" strokeweight=".72pt" strokecolor="#497dba">
              <v:path arrowok="t"/>
            </v:shape>
            <v:shape style="position:absolute;left:4729;top:-4799;width:140;height:140" coordorigin="4729,-4799" coordsize="140,140" path="m4798,-4799l4729,-4729,4798,-4660,4868,-4729,4798,-4799xe" filled="true" fillcolor="#4f81bc" stroked="false">
              <v:path arrowok="t"/>
              <v:fill type="solid"/>
            </v:shape>
            <v:shape style="position:absolute;left:4729;top:-4799;width:140;height:140" coordorigin="4729,-4799" coordsize="140,140" path="m4798,-4799l4868,-4729,4798,-4660,4729,-4729,4798,-4799xe" filled="false" stroked="true" strokeweight=".72pt" strokecolor="#497dba">
              <v:path arrowok="t"/>
            </v:shape>
            <v:shape style="position:absolute;left:3869;top:-4753;width:140;height:140" coordorigin="3869,-4753" coordsize="140,140" path="m3939,-4753l3869,-4684,3939,-4614,4009,-4684,3939,-4753xe" filled="true" fillcolor="#4f81bc" stroked="false">
              <v:path arrowok="t"/>
              <v:fill type="solid"/>
            </v:shape>
            <v:shape style="position:absolute;left:3869;top:-4753;width:140;height:140" coordorigin="3869,-4753" coordsize="140,140" path="m3939,-4753l4009,-4684,3939,-4614,3869,-4684,3939,-4753xe" filled="false" stroked="true" strokeweight=".72pt" strokecolor="#497dba">
              <v:path arrowok="t"/>
            </v:shape>
            <v:shape style="position:absolute;left:5360;top:-5065;width:154;height:154" type="#_x0000_t75" stroked="false">
              <v:imagedata r:id="rId68" o:title=""/>
            </v:shape>
            <v:shape style="position:absolute;left:4424;top:-5017;width:154;height:154" type="#_x0000_t75" stroked="false">
              <v:imagedata r:id="rId70" o:title=""/>
            </v:shape>
            <v:shape style="position:absolute;left:4124;top:-4688;width:154;height:154" type="#_x0000_t75" stroked="false">
              <v:imagedata r:id="rId70" o:title=""/>
            </v:shape>
            <v:shape style="position:absolute;left:6077;top:-4705;width:140;height:140" coordorigin="6077,-4705" coordsize="140,140" path="m6147,-4705l6077,-4636,6147,-4566,6217,-4636,6147,-4705xe" filled="true" fillcolor="#4f81bc" stroked="false">
              <v:path arrowok="t"/>
              <v:fill type="solid"/>
            </v:shape>
            <v:shape style="position:absolute;left:6077;top:-4705;width:140;height:140" coordorigin="6077,-4705" coordsize="140,140" path="m6147,-4705l6217,-4636,6147,-4566,6077,-4636,6147,-4705xe" filled="false" stroked="true" strokeweight=".72pt" strokecolor="#497dba">
              <v:path arrowok="t"/>
            </v:shape>
            <v:shape style="position:absolute;left:4198;top:-4924;width:154;height:154" type="#_x0000_t75" stroked="false">
              <v:imagedata r:id="rId68" o:title=""/>
            </v:shape>
            <v:shape style="position:absolute;left:5134;top:-4972;width:154;height:154" type="#_x0000_t75" stroked="false">
              <v:imagedata r:id="rId70" o:title=""/>
            </v:shape>
            <v:shape style="position:absolute;left:4124;top:-4196;width:154;height:154" type="#_x0000_t75" stroked="false">
              <v:imagedata r:id="rId68" o:title=""/>
            </v:shape>
            <v:shape style="position:absolute;left:6409;top:-5418;width:154;height:154" type="#_x0000_t75" stroked="false">
              <v:imagedata r:id="rId69" o:title=""/>
            </v:shape>
            <v:shape style="position:absolute;left:6003;top:-4940;width:140;height:140" coordorigin="6003,-4940" coordsize="140,140" path="m6073,-4940l6003,-4871,6073,-4801,6142,-4871,6073,-4940xe" filled="true" fillcolor="#4f81bc" stroked="false">
              <v:path arrowok="t"/>
              <v:fill type="solid"/>
            </v:shape>
            <v:shape style="position:absolute;left:6003;top:-4940;width:140;height:140" coordorigin="6003,-4940" coordsize="140,140" path="m6073,-4940l6142,-4871,6073,-4801,6003,-4871,6073,-4940xe" filled="false" stroked="true" strokeweight=".72pt" strokecolor="#497dba">
              <v:path arrowok="t"/>
            </v:shape>
            <v:shape style="position:absolute;left:5067;top:-4518;width:140;height:140" coordorigin="5067,-4518" coordsize="140,140" path="m5137,-4518l5067,-4448,5137,-4379,5206,-4448,5137,-4518xe" filled="true" fillcolor="#4f81bc" stroked="false">
              <v:path arrowok="t"/>
              <v:fill type="solid"/>
            </v:shape>
            <v:shape style="position:absolute;left:5067;top:-4518;width:140;height:140" coordorigin="5067,-4518" coordsize="140,140" path="m5137,-4518l5206,-4448,5137,-4379,5067,-4448,5137,-4518xe" filled="false" stroked="true" strokeweight=".72pt" strokecolor="#497dba">
              <v:path arrowok="t"/>
            </v:shape>
            <v:shape style="position:absolute;left:7157;top:-4782;width:154;height:154" type="#_x0000_t75" stroked="false">
              <v:imagedata r:id="rId69" o:title=""/>
            </v:shape>
            <v:shape style="position:absolute;left:3831;top:-4636;width:140;height:140" coordorigin="3831,-4636" coordsize="140,140" path="m3901,-4636l3831,-4566,3901,-4496,3970,-4566,3901,-4636xe" filled="true" fillcolor="#4f81bc" stroked="false">
              <v:path arrowok="t"/>
              <v:fill type="solid"/>
            </v:shape>
            <v:shape style="position:absolute;left:3831;top:-4636;width:140;height:140" coordorigin="3831,-4636" coordsize="140,140" path="m3901,-4636l3970,-4566,3901,-4496,3831,-4566,3901,-4636xe" filled="false" stroked="true" strokeweight=".72pt" strokecolor="#497dba">
              <v:path arrowok="t"/>
            </v:shape>
            <v:shape style="position:absolute;left:5770;top:-1660;width:154;height:154" type="#_x0000_t75" stroked="false">
              <v:imagedata r:id="rId69" o:title=""/>
            </v:shape>
            <v:shape style="position:absolute;left:6632;top:-5065;width:154;height:154" type="#_x0000_t75" stroked="false">
              <v:imagedata r:id="rId69" o:title=""/>
            </v:shape>
            <v:shape style="position:absolute;left:5067;top:-4400;width:140;height:140" coordorigin="5067,-4400" coordsize="140,140" path="m5137,-4400l5067,-4331,5137,-4261,5206,-4331,5137,-4400xe" filled="true" fillcolor="#4f81bc" stroked="false">
              <v:path arrowok="t"/>
              <v:fill type="solid"/>
            </v:shape>
            <v:shape style="position:absolute;left:5067;top:-4400;width:140;height:140" coordorigin="5067,-4400" coordsize="140,140" path="m5137,-4400l5206,-4331,5137,-4261,5067,-4331,5137,-4400xe" filled="false" stroked="true" strokeweight=".72pt" strokecolor="#497dba">
              <v:path arrowok="t"/>
            </v:shape>
            <v:shape style="position:absolute;left:6565;top:-4588;width:140;height:140" coordorigin="6565,-4588" coordsize="140,140" path="m6634,-4588l6565,-4518,6634,-4448,6704,-4518,6634,-4588xe" filled="true" fillcolor="#4f81bc" stroked="false">
              <v:path arrowok="t"/>
              <v:fill type="solid"/>
            </v:shape>
            <v:shape style="position:absolute;left:6565;top:-4588;width:140;height:140" coordorigin="6565,-4588" coordsize="140,140" path="m6634,-4588l6704,-4518,6634,-4448,6565,-4518,6634,-4588xe" filled="false" stroked="true" strokeweight=".72pt" strokecolor="#497dba">
              <v:path arrowok="t"/>
            </v:shape>
            <v:shape style="position:absolute;left:3493;top:-4235;width:140;height:140" coordorigin="3493,-4235" coordsize="140,140" path="m3562,-4235l3493,-4165,3562,-4096,3632,-4165,3562,-4235xe" filled="true" fillcolor="#4f81bc" stroked="false">
              <v:path arrowok="t"/>
              <v:fill type="solid"/>
            </v:shape>
            <v:shape style="position:absolute;left:3493;top:-4235;width:140;height:140" coordorigin="3493,-4235" coordsize="140,140" path="m3562,-4235l3632,-4165,3562,-4096,3493,-4165,3562,-4235xe" filled="false" stroked="true" strokeweight=".72pt" strokecolor="#497dba">
              <v:path arrowok="t"/>
            </v:shape>
            <v:shape style="position:absolute;left:3188;top:-5089;width:154;height:154" type="#_x0000_t75" stroked="false">
              <v:imagedata r:id="rId69" o:title=""/>
            </v:shape>
            <v:shape style="position:absolute;left:4273;top:-4477;width:154;height:154" type="#_x0000_t75" stroked="false">
              <v:imagedata r:id="rId70" o:title=""/>
            </v:shape>
            <v:shape style="position:absolute;left:6790;top:-4612;width:140;height:140" coordorigin="6790,-4612" coordsize="140,140" path="m6860,-4612l6790,-4542,6860,-4472,6929,-4542,6860,-4612xe" filled="true" fillcolor="#4f81bc" stroked="false">
              <v:path arrowok="t"/>
              <v:fill type="solid"/>
            </v:shape>
            <v:shape style="position:absolute;left:6790;top:-4612;width:140;height:140" coordorigin="6790,-4612" coordsize="140,140" path="m6860,-4612l6929,-4542,6860,-4472,6790,-4542,6860,-4612xe" filled="false" stroked="true" strokeweight=".72pt" strokecolor="#497dba">
              <v:path arrowok="t"/>
            </v:shape>
            <v:shape style="position:absolute;left:4049;top:-3937;width:154;height:154" type="#_x0000_t75" stroked="false">
              <v:imagedata r:id="rId70" o:title=""/>
            </v:shape>
            <v:shape style="position:absolute;left:3418;top:-4283;width:140;height:140" coordorigin="3418,-4283" coordsize="140,140" path="m3488,-4283l3418,-4213,3488,-4144,3557,-4213,3488,-4283xe" filled="true" fillcolor="#4f81bc" stroked="false">
              <v:path arrowok="t"/>
              <v:fill type="solid"/>
            </v:shape>
            <v:shape style="position:absolute;left:3418;top:-4283;width:140;height:140" coordorigin="3418,-4283" coordsize="140,140" path="m3488,-4283l3557,-4213,3488,-4144,3418,-4213,3488,-4283xe" filled="false" stroked="true" strokeweight=".72pt" strokecolor="#497dba">
              <v:path arrowok="t"/>
            </v:shape>
            <v:shape style="position:absolute;left:3980;top:-4494;width:140;height:140" coordorigin="3980,-4494" coordsize="140,140" path="m4049,-4494l3980,-4424,4049,-4355,4119,-4424,4049,-4494xe" filled="true" fillcolor="#4f81bc" stroked="false">
              <v:path arrowok="t"/>
              <v:fill type="solid"/>
            </v:shape>
            <v:shape style="position:absolute;left:3980;top:-4494;width:140;height:140" coordorigin="3980,-4494" coordsize="140,140" path="m4049,-4494l4119,-4424,4049,-4355,3980,-4424,4049,-4494xe" filled="false" stroked="true" strokeweight=".72pt" strokecolor="#497dba">
              <v:path arrowok="t"/>
            </v:shape>
            <v:shape style="position:absolute;left:5854;top:-4871;width:140;height:140" coordorigin="5854,-4871" coordsize="140,140" path="m5924,-4871l5854,-4801,5924,-4732,5993,-4801,5924,-4871xe" filled="true" fillcolor="#4f81bc" stroked="false">
              <v:path arrowok="t"/>
              <v:fill type="solid"/>
            </v:shape>
            <v:shape style="position:absolute;left:5854;top:-4871;width:140;height:140" coordorigin="5854,-4871" coordsize="140,140" path="m5924,-4871l5993,-4801,5924,-4732,5854,-4801,5924,-4871xe" filled="false" stroked="true" strokeweight=".72pt" strokecolor="#497dba">
              <v:path arrowok="t"/>
            </v:shape>
            <v:shape style="position:absolute;left:6970;top:-6239;width:154;height:154" type="#_x0000_t75" stroked="false">
              <v:imagedata r:id="rId71" o:title=""/>
            </v:shape>
            <v:shape style="position:absolute;left:7306;top:-5135;width:154;height:154" type="#_x0000_t75" stroked="false">
              <v:imagedata r:id="rId69" o:title=""/>
            </v:shape>
            <v:shape style="position:absolute;left:7493;top:-5747;width:154;height:154" type="#_x0000_t75" stroked="false">
              <v:imagedata r:id="rId69" o:title=""/>
            </v:shape>
            <v:shape style="position:absolute;left:5847;top:-6474;width:154;height:154" type="#_x0000_t75" stroked="false">
              <v:imagedata r:id="rId68" o:title=""/>
            </v:shape>
            <v:shape style="position:absolute;left:8468;top:-3560;width:154;height:154" type="#_x0000_t75" stroked="false">
              <v:imagedata r:id="rId71" o:title=""/>
            </v:shape>
            <v:shape style="position:absolute;left:8768;top:-4196;width:154;height:154" type="#_x0000_t75" stroked="false">
              <v:imagedata r:id="rId69" o:title=""/>
            </v:shape>
            <v:shape style="position:absolute;left:6521;top:-3044;width:154;height:154" type="#_x0000_t75" stroked="false">
              <v:imagedata r:id="rId70" o:title=""/>
            </v:shape>
            <v:shape style="position:absolute;left:5473;top:-5768;width:154;height:154" type="#_x0000_t75" stroked="false">
              <v:imagedata r:id="rId70" o:title=""/>
            </v:shape>
            <v:shape style="position:absolute;left:8729;top:-4384;width:266;height:154" type="#_x0000_t75" stroked="false">
              <v:imagedata r:id="rId72" o:title=""/>
            </v:shape>
            <v:rect style="position:absolute;left:1730;top:-7148;width:8311;height:6554" filled="false" stroked="true" strokeweight=".72pt" strokecolor="#858585"/>
            <v:shape style="position:absolute;left:2003;top:-695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5895;top:-6648;width:350;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NFN</w:t>
                    </w:r>
                  </w:p>
                </w:txbxContent>
              </v:textbox>
              <w10:wrap type="none"/>
            </v:shape>
            <v:shape style="position:absolute;left:6968;top:-6395;width:260;height:200" type="#_x0000_t202" filled="false" stroked="false">
              <v:textbox inset="0,0,0,0">
                <w:txbxContent>
                  <w:p>
                    <w:pPr>
                      <w:spacing w:line="199" w:lineRule="exact" w:before="0"/>
                      <w:ind w:left="0" w:right="-19" w:firstLine="0"/>
                      <w:jc w:val="left"/>
                      <w:rPr>
                        <w:rFonts w:ascii="Calibri"/>
                        <w:sz w:val="20"/>
                      </w:rPr>
                    </w:pPr>
                    <w:r>
                      <w:rPr>
                        <w:rFonts w:ascii="Calibri"/>
                        <w:sz w:val="20"/>
                      </w:rPr>
                      <w:t>NN</w:t>
                    </w:r>
                  </w:p>
                </w:txbxContent>
              </v:textbox>
              <w10:wrap type="none"/>
            </v:shape>
            <v:shape style="position:absolute;left:5422;top:-5963;width:49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P100S</w:t>
                    </w:r>
                  </w:p>
                </w:txbxContent>
              </v:textbox>
              <w10:wrap type="none"/>
            </v:shape>
            <v:shape style="position:absolute;left:1851;top:-578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7762;top:-5750;width:298;height:200" type="#_x0000_t202" filled="false" stroked="false">
              <v:textbox inset="0,0,0,0">
                <w:txbxContent>
                  <w:p>
                    <w:pPr>
                      <w:spacing w:line="199" w:lineRule="exact" w:before="0"/>
                      <w:ind w:left="0" w:right="-6" w:firstLine="0"/>
                      <w:jc w:val="left"/>
                      <w:rPr>
                        <w:rFonts w:ascii="Calibri"/>
                        <w:sz w:val="20"/>
                      </w:rPr>
                    </w:pPr>
                    <w:r>
                      <w:rPr>
                        <w:rFonts w:ascii="Calibri"/>
                        <w:w w:val="95"/>
                        <w:sz w:val="20"/>
                      </w:rPr>
                      <w:t>PFP</w:t>
                    </w:r>
                  </w:p>
                </w:txbxContent>
              </v:textbox>
              <w10:wrap type="none"/>
            </v:shape>
            <v:shape style="position:absolute;left:6408;top:-5572;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T24</w:t>
                    </w:r>
                  </w:p>
                </w:txbxContent>
              </v:textbox>
              <w10:wrap type="none"/>
            </v:shape>
            <v:shape style="position:absolute;left:3001;top:-5225;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T34</w:t>
                    </w:r>
                  </w:p>
                </w:txbxContent>
              </v:textbox>
              <w10:wrap type="none"/>
            </v:shape>
            <v:shape style="position:absolute;left:3739;top:-5251;width:603;height:543" type="#_x0000_t202" filled="false" stroked="false">
              <v:textbox inset="0,0,0,0">
                <w:txbxContent>
                  <w:p>
                    <w:pPr>
                      <w:spacing w:line="203" w:lineRule="exact" w:before="0"/>
                      <w:ind w:left="130" w:right="131" w:firstLine="0"/>
                      <w:jc w:val="center"/>
                      <w:rPr>
                        <w:rFonts w:ascii="Calibri"/>
                        <w:sz w:val="20"/>
                      </w:rPr>
                    </w:pPr>
                    <w:r>
                      <w:rPr>
                        <w:rFonts w:ascii="Calibri"/>
                        <w:sz w:val="20"/>
                      </w:rPr>
                      <w:t>T11</w:t>
                    </w:r>
                  </w:p>
                  <w:p>
                    <w:pPr>
                      <w:spacing w:line="279" w:lineRule="exact" w:before="60"/>
                      <w:ind w:left="-1" w:right="0" w:firstLine="0"/>
                      <w:jc w:val="center"/>
                      <w:rPr>
                        <w:rFonts w:ascii="Calibri"/>
                        <w:sz w:val="20"/>
                      </w:rPr>
                    </w:pPr>
                    <w:r>
                      <w:rPr>
                        <w:rFonts w:ascii="Calibri"/>
                        <w:position w:val="-3"/>
                        <w:sz w:val="20"/>
                      </w:rPr>
                      <w:t>T16</w:t>
                    </w:r>
                    <w:r>
                      <w:rPr>
                        <w:rFonts w:ascii="Calibri"/>
                        <w:sz w:val="20"/>
                      </w:rPr>
                      <w:t>T21</w:t>
                    </w:r>
                  </w:p>
                </w:txbxContent>
              </v:textbox>
              <w10:wrap type="none"/>
            </v:shape>
            <v:shape style="position:absolute;left:7306;top:-5328;width:326;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NFo</w:t>
                    </w:r>
                  </w:p>
                </w:txbxContent>
              </v:textbox>
              <w10:wrap type="none"/>
            </v:shape>
            <v:shape style="position:absolute;left:4479;top:-5166;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T18</w:t>
                    </w:r>
                  </w:p>
                </w:txbxContent>
              </v:textbox>
              <w10:wrap type="none"/>
            </v:shape>
            <v:shape style="position:absolute;left:4935;top:-5063;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T22</w:t>
                    </w:r>
                  </w:p>
                </w:txbxContent>
              </v:textbox>
              <w10:wrap type="none"/>
            </v:shape>
            <v:shape style="position:absolute;left:5080;top:-5295;width:716;height:300" type="#_x0000_t202" filled="false" stroked="false">
              <v:textbox inset="0,0,0,0">
                <w:txbxContent>
                  <w:p>
                    <w:pPr>
                      <w:spacing w:line="300" w:lineRule="exact" w:before="0"/>
                      <w:ind w:left="0" w:right="0" w:firstLine="0"/>
                      <w:jc w:val="left"/>
                      <w:rPr>
                        <w:rFonts w:ascii="Calibri"/>
                        <w:sz w:val="20"/>
                      </w:rPr>
                    </w:pPr>
                    <w:r>
                      <w:rPr>
                        <w:rFonts w:ascii="Calibri"/>
                        <w:sz w:val="20"/>
                      </w:rPr>
                      <w:t>T13  </w:t>
                    </w:r>
                    <w:r>
                      <w:rPr>
                        <w:rFonts w:ascii="Calibri"/>
                        <w:position w:val="-9"/>
                        <w:sz w:val="20"/>
                      </w:rPr>
                      <w:t>T17</w:t>
                    </w:r>
                  </w:p>
                </w:txbxContent>
              </v:textbox>
              <w10:wrap type="none"/>
            </v:shape>
            <v:shape style="position:absolute;left:6004;top:-5131;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T25</w:t>
                    </w:r>
                  </w:p>
                </w:txbxContent>
              </v:textbox>
              <w10:wrap type="none"/>
            </v:shape>
            <v:shape style="position:absolute;left:6649;top:-5258;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T30</w:t>
                    </w:r>
                  </w:p>
                </w:txbxContent>
              </v:textbox>
              <w10:wrap type="none"/>
            </v:shape>
            <v:shape style="position:absolute;left:7660;top:-4976;width:196;height:200" type="#_x0000_t202" filled="false" stroked="false">
              <v:textbox inset="0,0,0,0">
                <w:txbxContent>
                  <w:p>
                    <w:pPr>
                      <w:spacing w:line="199" w:lineRule="exact" w:before="0"/>
                      <w:ind w:left="0" w:right="-19" w:firstLine="0"/>
                      <w:jc w:val="left"/>
                      <w:rPr>
                        <w:rFonts w:ascii="Calibri"/>
                        <w:sz w:val="20"/>
                      </w:rPr>
                    </w:pPr>
                    <w:r>
                      <w:rPr>
                        <w:rFonts w:ascii="Calibri"/>
                        <w:spacing w:val="-2"/>
                        <w:sz w:val="20"/>
                      </w:rPr>
                      <w:t>T8</w:t>
                    </w:r>
                  </w:p>
                </w:txbxContent>
              </v:textbox>
              <w10:wrap type="none"/>
            </v:shape>
            <v:shape style="position:absolute;left:2003;top:-461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197;top:-4763;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T10</w:t>
                    </w:r>
                  </w:p>
                </w:txbxContent>
              </v:textbox>
              <w10:wrap type="none"/>
            </v:shape>
            <v:shape style="position:absolute;left:4261;top:-4848;width:916;height:319" type="#_x0000_t202" filled="false" stroked="false">
              <v:textbox inset="0,0,0,0">
                <w:txbxContent>
                  <w:p>
                    <w:pPr>
                      <w:spacing w:line="318" w:lineRule="exact" w:before="0"/>
                      <w:ind w:left="0" w:right="0" w:firstLine="0"/>
                      <w:jc w:val="left"/>
                      <w:rPr>
                        <w:rFonts w:ascii="Calibri"/>
                        <w:sz w:val="20"/>
                      </w:rPr>
                    </w:pPr>
                    <w:r>
                      <w:rPr>
                        <w:rFonts w:ascii="Calibri"/>
                        <w:position w:val="-11"/>
                        <w:sz w:val="20"/>
                      </w:rPr>
                      <w:t>T  </w:t>
                    </w:r>
                    <w:r>
                      <w:rPr>
                        <w:rFonts w:ascii="Calibri"/>
                        <w:sz w:val="20"/>
                      </w:rPr>
                      <w:t>T12  </w:t>
                    </w:r>
                    <w:r>
                      <w:rPr>
                        <w:rFonts w:ascii="Calibri"/>
                        <w:position w:val="-7"/>
                        <w:sz w:val="20"/>
                      </w:rPr>
                      <w:t>T15</w:t>
                    </w:r>
                  </w:p>
                </w:txbxContent>
              </v:textbox>
              <w10:wrap type="none"/>
            </v:shape>
            <v:shape style="position:absolute;left:4357;top:-4729;width:202;height:200" type="#_x0000_t202" filled="false" stroked="false">
              <v:textbox inset="0,0,0,0">
                <w:txbxContent>
                  <w:p>
                    <w:pPr>
                      <w:spacing w:line="199" w:lineRule="exact" w:before="0"/>
                      <w:ind w:left="0" w:right="-11" w:firstLine="0"/>
                      <w:jc w:val="left"/>
                      <w:rPr>
                        <w:rFonts w:ascii="Calibri"/>
                        <w:sz w:val="20"/>
                      </w:rPr>
                    </w:pPr>
                    <w:r>
                      <w:rPr>
                        <w:rFonts w:ascii="Calibri"/>
                        <w:w w:val="95"/>
                        <w:sz w:val="20"/>
                      </w:rPr>
                      <w:t>19</w:t>
                    </w:r>
                  </w:p>
                </w:txbxContent>
              </v:textbox>
              <w10:wrap type="none"/>
            </v:shape>
            <v:shape style="position:absolute;left:3555;top:-4556;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T28</w:t>
                    </w:r>
                  </w:p>
                </w:txbxContent>
              </v:textbox>
              <w10:wrap type="none"/>
            </v:shape>
            <v:shape style="position:absolute;left:4666;top:-4631;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T14</w:t>
                    </w:r>
                  </w:p>
                </w:txbxContent>
              </v:textbox>
              <w10:wrap type="none"/>
            </v:shape>
            <v:shape style="position:absolute;left:5728;top:-4881;width:852;height:382" type="#_x0000_t202" filled="false" stroked="false">
              <v:textbox inset="0,0,0,0">
                <w:txbxContent>
                  <w:p>
                    <w:pPr>
                      <w:tabs>
                        <w:tab w:pos="655" w:val="left" w:leader="none"/>
                      </w:tabs>
                      <w:spacing w:line="179" w:lineRule="exact" w:before="0"/>
                      <w:ind w:left="0" w:right="0" w:firstLine="0"/>
                      <w:jc w:val="left"/>
                      <w:rPr>
                        <w:rFonts w:ascii="Calibri"/>
                        <w:sz w:val="20"/>
                      </w:rPr>
                    </w:pPr>
                    <w:r>
                      <w:rPr>
                        <w:rFonts w:ascii="Calibri"/>
                        <w:position w:val="1"/>
                        <w:sz w:val="20"/>
                      </w:rPr>
                      <w:t>NT</w:t>
                      <w:tab/>
                    </w:r>
                    <w:r>
                      <w:rPr>
                        <w:rFonts w:ascii="Calibri"/>
                        <w:spacing w:val="-2"/>
                        <w:sz w:val="20"/>
                      </w:rPr>
                      <w:t>T2</w:t>
                    </w:r>
                  </w:p>
                  <w:p>
                    <w:pPr>
                      <w:spacing w:line="203" w:lineRule="exact" w:before="0"/>
                      <w:ind w:left="90" w:right="0" w:firstLine="0"/>
                      <w:jc w:val="left"/>
                      <w:rPr>
                        <w:rFonts w:ascii="Calibri"/>
                        <w:sz w:val="20"/>
                      </w:rPr>
                    </w:pPr>
                    <w:r>
                      <w:rPr>
                        <w:rFonts w:ascii="Calibri"/>
                        <w:sz w:val="20"/>
                      </w:rPr>
                      <w:t>T20</w:t>
                    </w:r>
                  </w:p>
                </w:txbxContent>
              </v:textbox>
              <w10:wrap type="none"/>
            </v:shape>
            <v:shape style="position:absolute;left:3202;top:-4343;width:968;height:429" type="#_x0000_t202" filled="false" stroked="false">
              <v:textbox inset="0,0,0,0">
                <w:txbxContent>
                  <w:p>
                    <w:pPr>
                      <w:tabs>
                        <w:tab w:pos="669" w:val="left" w:leader="none"/>
                      </w:tabs>
                      <w:spacing w:line="206" w:lineRule="exact" w:before="0"/>
                      <w:ind w:left="0" w:right="0" w:firstLine="0"/>
                      <w:jc w:val="center"/>
                      <w:rPr>
                        <w:rFonts w:ascii="Calibri"/>
                        <w:sz w:val="20"/>
                      </w:rPr>
                    </w:pPr>
                    <w:r>
                      <w:rPr>
                        <w:rFonts w:ascii="Calibri"/>
                        <w:position w:val="-1"/>
                        <w:sz w:val="20"/>
                      </w:rPr>
                      <w:t>T38</w:t>
                      <w:tab/>
                    </w:r>
                    <w:r>
                      <w:rPr>
                        <w:rFonts w:ascii="Calibri"/>
                        <w:spacing w:val="-1"/>
                        <w:sz w:val="20"/>
                      </w:rPr>
                      <w:t>T39</w:t>
                    </w:r>
                  </w:p>
                  <w:p>
                    <w:pPr>
                      <w:spacing w:line="223" w:lineRule="exact" w:before="0"/>
                      <w:ind w:left="90" w:right="0" w:firstLine="0"/>
                      <w:jc w:val="center"/>
                      <w:rPr>
                        <w:rFonts w:ascii="Calibri"/>
                        <w:sz w:val="20"/>
                      </w:rPr>
                    </w:pPr>
                    <w:r>
                      <w:rPr>
                        <w:rFonts w:ascii="Calibri"/>
                        <w:sz w:val="20"/>
                      </w:rPr>
                      <w:t>T33</w:t>
                    </w:r>
                  </w:p>
                </w:txbxContent>
              </v:textbox>
              <w10:wrap type="none"/>
            </v:shape>
            <v:shape style="position:absolute;left:4281;top:-4433;width:454;height:421" type="#_x0000_t202" filled="false" stroked="false">
              <v:textbox inset="0,0,0,0">
                <w:txbxContent>
                  <w:p>
                    <w:pPr>
                      <w:spacing w:line="192" w:lineRule="exact" w:before="0"/>
                      <w:ind w:left="155" w:right="-19" w:firstLine="0"/>
                      <w:jc w:val="left"/>
                      <w:rPr>
                        <w:rFonts w:ascii="Calibri"/>
                        <w:sz w:val="20"/>
                      </w:rPr>
                    </w:pPr>
                    <w:r>
                      <w:rPr>
                        <w:rFonts w:ascii="Calibri"/>
                        <w:spacing w:val="-1"/>
                        <w:sz w:val="20"/>
                      </w:rPr>
                      <w:t>T35</w:t>
                    </w:r>
                  </w:p>
                  <w:p>
                    <w:pPr>
                      <w:spacing w:line="229" w:lineRule="exact" w:before="0"/>
                      <w:ind w:left="0" w:right="-19" w:firstLine="0"/>
                      <w:jc w:val="left"/>
                      <w:rPr>
                        <w:rFonts w:ascii="Calibri"/>
                        <w:sz w:val="20"/>
                      </w:rPr>
                    </w:pPr>
                    <w:r>
                      <w:rPr>
                        <w:rFonts w:ascii="Calibri"/>
                        <w:sz w:val="20"/>
                      </w:rPr>
                      <w:t>T23</w:t>
                    </w:r>
                  </w:p>
                </w:txbxContent>
              </v:textbox>
              <w10:wrap type="none"/>
            </v:shape>
            <v:shape style="position:absolute;left:5105;top:-4506;width:437;height:461" type="#_x0000_t202" filled="false" stroked="false">
              <v:textbox inset="0,0,0,0">
                <w:txbxContent>
                  <w:p>
                    <w:pPr>
                      <w:spacing w:line="203" w:lineRule="exact" w:before="0"/>
                      <w:ind w:left="138" w:right="-19" w:firstLine="0"/>
                      <w:jc w:val="left"/>
                      <w:rPr>
                        <w:rFonts w:ascii="Calibri"/>
                        <w:sz w:val="20"/>
                      </w:rPr>
                    </w:pPr>
                    <w:r>
                      <w:rPr>
                        <w:rFonts w:ascii="Calibri"/>
                        <w:spacing w:val="-1"/>
                        <w:sz w:val="20"/>
                      </w:rPr>
                      <w:t>T26</w:t>
                    </w:r>
                  </w:p>
                  <w:p>
                    <w:pPr>
                      <w:spacing w:line="240" w:lineRule="exact" w:before="17"/>
                      <w:ind w:left="0" w:right="-19" w:firstLine="0"/>
                      <w:jc w:val="left"/>
                      <w:rPr>
                        <w:rFonts w:ascii="Calibri"/>
                        <w:sz w:val="20"/>
                      </w:rPr>
                    </w:pPr>
                    <w:r>
                      <w:rPr>
                        <w:rFonts w:ascii="Calibri"/>
                        <w:sz w:val="20"/>
                      </w:rPr>
                      <w:t>T31</w:t>
                    </w:r>
                  </w:p>
                </w:txbxContent>
              </v:textbox>
              <w10:wrap type="none"/>
            </v:shape>
            <v:shape style="position:absolute;left:6207;top:-4623;width:1142;height:350" type="#_x0000_t202" filled="false" stroked="false">
              <v:textbox inset="0,0,0,0">
                <w:txbxContent>
                  <w:p>
                    <w:pPr>
                      <w:spacing w:line="146" w:lineRule="exact" w:before="0"/>
                      <w:ind w:left="0" w:right="0" w:firstLine="0"/>
                      <w:jc w:val="right"/>
                      <w:rPr>
                        <w:rFonts w:ascii="Calibri"/>
                        <w:sz w:val="20"/>
                      </w:rPr>
                    </w:pPr>
                    <w:r>
                      <w:rPr>
                        <w:rFonts w:ascii="Calibri"/>
                        <w:w w:val="95"/>
                        <w:sz w:val="20"/>
                      </w:rPr>
                      <w:t>T27</w:t>
                    </w:r>
                  </w:p>
                  <w:p>
                    <w:pPr>
                      <w:spacing w:line="203" w:lineRule="exact" w:before="0"/>
                      <w:ind w:left="0" w:right="0" w:firstLine="0"/>
                      <w:jc w:val="left"/>
                      <w:rPr>
                        <w:rFonts w:ascii="Calibri"/>
                        <w:sz w:val="20"/>
                      </w:rPr>
                    </w:pPr>
                    <w:r>
                      <w:rPr>
                        <w:rFonts w:ascii="Calibri"/>
                        <w:position w:val="1"/>
                        <w:sz w:val="20"/>
                      </w:rPr>
                      <w:t>T4  </w:t>
                    </w:r>
                    <w:r>
                      <w:rPr>
                        <w:rFonts w:ascii="Calibri"/>
                        <w:sz w:val="20"/>
                      </w:rPr>
                      <w:t>T32 </w:t>
                    </w:r>
                    <w:r>
                      <w:rPr>
                        <w:rFonts w:ascii="Calibri"/>
                        <w:position w:val="2"/>
                        <w:sz w:val="20"/>
                      </w:rPr>
                      <w:t>T</w:t>
                    </w:r>
                  </w:p>
                </w:txbxContent>
              </v:textbox>
              <w10:wrap type="none"/>
            </v:shape>
            <v:shape style="position:absolute;left:6696;top:-4758;width:196;height:200" type="#_x0000_t202" filled="false" stroked="false">
              <v:textbox inset="0,0,0,0">
                <w:txbxContent>
                  <w:p>
                    <w:pPr>
                      <w:spacing w:line="199" w:lineRule="exact" w:before="0"/>
                      <w:ind w:left="0" w:right="-19" w:firstLine="0"/>
                      <w:jc w:val="left"/>
                      <w:rPr>
                        <w:rFonts w:ascii="Calibri"/>
                        <w:sz w:val="20"/>
                      </w:rPr>
                    </w:pPr>
                    <w:r>
                      <w:rPr>
                        <w:rFonts w:ascii="Calibri"/>
                        <w:spacing w:val="-2"/>
                        <w:sz w:val="20"/>
                      </w:rPr>
                      <w:t>T1</w:t>
                    </w:r>
                  </w:p>
                </w:txbxContent>
              </v:textbox>
              <w10:wrap type="none"/>
            </v:shape>
            <v:shape style="position:absolute;left:3895;top:-4009;width:334;height:456" type="#_x0000_t202" filled="false" stroked="false">
              <v:textbox inset="0,0,0,0">
                <w:txbxContent>
                  <w:p>
                    <w:pPr>
                      <w:spacing w:line="203" w:lineRule="exact" w:before="0"/>
                      <w:ind w:left="0" w:right="-19" w:firstLine="0"/>
                      <w:jc w:val="left"/>
                      <w:rPr>
                        <w:rFonts w:ascii="Calibri"/>
                        <w:sz w:val="20"/>
                      </w:rPr>
                    </w:pPr>
                    <w:r>
                      <w:rPr>
                        <w:rFonts w:ascii="Calibri"/>
                        <w:sz w:val="20"/>
                      </w:rPr>
                      <w:t>T6</w:t>
                    </w:r>
                  </w:p>
                  <w:p>
                    <w:pPr>
                      <w:spacing w:line="240" w:lineRule="exact" w:before="12"/>
                      <w:ind w:left="35" w:right="-19" w:firstLine="0"/>
                      <w:jc w:val="left"/>
                      <w:rPr>
                        <w:rFonts w:ascii="Calibri"/>
                        <w:sz w:val="20"/>
                      </w:rPr>
                    </w:pPr>
                    <w:r>
                      <w:rPr>
                        <w:rFonts w:ascii="Calibri"/>
                        <w:spacing w:val="-1"/>
                        <w:sz w:val="20"/>
                      </w:rPr>
                      <w:t>T37</w:t>
                    </w:r>
                  </w:p>
                </w:txbxContent>
              </v:textbox>
              <w10:wrap type="none"/>
            </v:shape>
            <v:shape style="position:absolute;left:6870;top:-4491;width:304;height:525" type="#_x0000_t202" filled="false" stroked="false">
              <v:textbox inset="0,0,0,0">
                <w:txbxContent>
                  <w:p>
                    <w:pPr>
                      <w:spacing w:line="203" w:lineRule="exact" w:before="0"/>
                      <w:ind w:left="101" w:right="-10" w:firstLine="0"/>
                      <w:jc w:val="left"/>
                      <w:rPr>
                        <w:rFonts w:ascii="Calibri"/>
                        <w:sz w:val="20"/>
                      </w:rPr>
                    </w:pPr>
                    <w:r>
                      <w:rPr>
                        <w:rFonts w:ascii="Calibri"/>
                        <w:w w:val="95"/>
                        <w:sz w:val="20"/>
                      </w:rPr>
                      <w:t>36</w:t>
                    </w:r>
                  </w:p>
                  <w:p>
                    <w:pPr>
                      <w:spacing w:line="240" w:lineRule="exact" w:before="81"/>
                      <w:ind w:left="0" w:right="-10" w:firstLine="0"/>
                      <w:jc w:val="left"/>
                      <w:rPr>
                        <w:rFonts w:ascii="Calibri"/>
                        <w:sz w:val="20"/>
                      </w:rPr>
                    </w:pPr>
                    <w:r>
                      <w:rPr>
                        <w:rFonts w:ascii="Calibri"/>
                        <w:sz w:val="20"/>
                      </w:rPr>
                      <w:t>T7</w:t>
                    </w:r>
                  </w:p>
                </w:txbxContent>
              </v:textbox>
              <w10:wrap type="none"/>
            </v:shape>
            <v:shape style="position:absolute;left:7770;top:-4411;width:196;height:200" type="#_x0000_t202" filled="false" stroked="false">
              <v:textbox inset="0,0,0,0">
                <w:txbxContent>
                  <w:p>
                    <w:pPr>
                      <w:spacing w:line="199" w:lineRule="exact" w:before="0"/>
                      <w:ind w:left="0" w:right="-19" w:firstLine="0"/>
                      <w:jc w:val="left"/>
                      <w:rPr>
                        <w:rFonts w:ascii="Calibri"/>
                        <w:sz w:val="20"/>
                      </w:rPr>
                    </w:pPr>
                    <w:r>
                      <w:rPr>
                        <w:rFonts w:ascii="Calibri"/>
                        <w:spacing w:val="-2"/>
                        <w:sz w:val="20"/>
                      </w:rPr>
                      <w:t>T5</w:t>
                    </w:r>
                  </w:p>
                </w:txbxContent>
              </v:textbox>
              <w10:wrap type="none"/>
            </v:shape>
            <v:shape style="position:absolute;left:8433;top:-4389;width:348;height:200" type="#_x0000_t202" filled="false" stroked="false">
              <v:textbox inset="0,0,0,0">
                <w:txbxContent>
                  <w:p>
                    <w:pPr>
                      <w:spacing w:line="199" w:lineRule="exact" w:before="0"/>
                      <w:ind w:left="0" w:right="-4" w:firstLine="0"/>
                      <w:jc w:val="left"/>
                      <w:rPr>
                        <w:rFonts w:ascii="Calibri"/>
                        <w:sz w:val="20"/>
                      </w:rPr>
                    </w:pPr>
                    <w:r>
                      <w:rPr>
                        <w:rFonts w:ascii="Calibri"/>
                        <w:w w:val="95"/>
                        <w:sz w:val="20"/>
                      </w:rPr>
                      <w:t>RHA</w:t>
                    </w:r>
                  </w:p>
                </w:txbxContent>
              </v:textbox>
              <w10:wrap type="none"/>
            </v:shape>
            <v:shape style="position:absolute;left:6162;top:-3969;width:196;height:200" type="#_x0000_t202" filled="false" stroked="false">
              <v:textbox inset="0,0,0,0">
                <w:txbxContent>
                  <w:p>
                    <w:pPr>
                      <w:spacing w:line="199" w:lineRule="exact" w:before="0"/>
                      <w:ind w:left="0" w:right="-19" w:firstLine="0"/>
                      <w:jc w:val="left"/>
                      <w:rPr>
                        <w:rFonts w:ascii="Calibri"/>
                        <w:sz w:val="20"/>
                      </w:rPr>
                    </w:pPr>
                    <w:r>
                      <w:rPr>
                        <w:rFonts w:ascii="Calibri"/>
                        <w:spacing w:val="-2"/>
                        <w:sz w:val="20"/>
                      </w:rPr>
                      <w:t>T3</w:t>
                    </w:r>
                  </w:p>
                </w:txbxContent>
              </v:textbox>
              <w10:wrap type="none"/>
            </v:shape>
            <v:shape style="position:absolute;left:6495;top:-4096;width:196;height:200" type="#_x0000_t202" filled="false" stroked="false">
              <v:textbox inset="0,0,0,0">
                <w:txbxContent>
                  <w:p>
                    <w:pPr>
                      <w:spacing w:line="199" w:lineRule="exact" w:before="0"/>
                      <w:ind w:left="0" w:right="-19" w:firstLine="0"/>
                      <w:jc w:val="left"/>
                      <w:rPr>
                        <w:rFonts w:ascii="Calibri"/>
                        <w:sz w:val="20"/>
                      </w:rPr>
                    </w:pPr>
                    <w:r>
                      <w:rPr>
                        <w:rFonts w:ascii="Calibri"/>
                        <w:spacing w:val="-2"/>
                        <w:sz w:val="20"/>
                      </w:rPr>
                      <w:t>T9</w:t>
                    </w:r>
                  </w:p>
                </w:txbxContent>
              </v:textbox>
              <w10:wrap type="none"/>
            </v:shape>
            <v:shape style="position:absolute;left:8798;top:-4388;width:610;height:558" type="#_x0000_t202" filled="false" stroked="false">
              <v:textbox inset="0,0,0,0">
                <w:txbxContent>
                  <w:p>
                    <w:pPr>
                      <w:spacing w:line="203" w:lineRule="exact" w:before="0"/>
                      <w:ind w:left="312" w:right="-6" w:firstLine="0"/>
                      <w:jc w:val="left"/>
                      <w:rPr>
                        <w:rFonts w:ascii="Calibri"/>
                        <w:sz w:val="20"/>
                      </w:rPr>
                    </w:pPr>
                    <w:r>
                      <w:rPr>
                        <w:rFonts w:ascii="Calibri"/>
                        <w:w w:val="95"/>
                        <w:sz w:val="20"/>
                      </w:rPr>
                      <w:t>PSP</w:t>
                    </w:r>
                  </w:p>
                  <w:p>
                    <w:pPr>
                      <w:spacing w:line="240" w:lineRule="exact" w:before="114"/>
                      <w:ind w:left="0" w:right="-6" w:firstLine="0"/>
                      <w:jc w:val="left"/>
                      <w:rPr>
                        <w:rFonts w:ascii="Calibri"/>
                        <w:sz w:val="20"/>
                      </w:rPr>
                    </w:pPr>
                    <w:r>
                      <w:rPr>
                        <w:rFonts w:ascii="Calibri"/>
                        <w:sz w:val="20"/>
                      </w:rPr>
                      <w:t>PVP</w:t>
                    </w:r>
                  </w:p>
                </w:txbxContent>
              </v:textbox>
              <w10:wrap type="none"/>
            </v:shape>
            <v:shape style="position:absolute;left:1789;top:-3435;width:315;height:200" type="#_x0000_t202" filled="false" stroked="false">
              <v:textbox inset="0,0,0,0">
                <w:txbxContent>
                  <w:p>
                    <w:pPr>
                      <w:spacing w:line="199" w:lineRule="exact" w:before="0"/>
                      <w:ind w:left="0" w:right="-20" w:firstLine="0"/>
                      <w:jc w:val="left"/>
                      <w:rPr>
                        <w:rFonts w:ascii="Calibri"/>
                        <w:sz w:val="20"/>
                      </w:rPr>
                    </w:pPr>
                    <w:r>
                      <w:rPr>
                        <w:rFonts w:ascii="Calibri"/>
                        <w:sz w:val="20"/>
                      </w:rPr>
                      <w:t>-0.5</w:t>
                    </w:r>
                  </w:p>
                </w:txbxContent>
              </v:textbox>
              <w10:wrap type="none"/>
            </v:shape>
            <v:shape style="position:absolute;left:8467;top:-3395;width:346;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NVP</w:t>
                    </w:r>
                  </w:p>
                </w:txbxContent>
              </v:textbox>
              <w10:wrap type="none"/>
            </v:shape>
            <v:shape style="position:absolute;left:6789;top:-3048;width:33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NSV</w:t>
                    </w:r>
                  </w:p>
                </w:txbxContent>
              </v:textbox>
              <w10:wrap type="none"/>
            </v:shape>
            <v:shape style="position:absolute;left:1942;top:-2261;width:165;height:200" type="#_x0000_t202" filled="false" stroked="false">
              <v:textbox inset="0,0,0,0">
                <w:txbxContent>
                  <w:p>
                    <w:pPr>
                      <w:spacing w:line="199" w:lineRule="exact" w:before="0"/>
                      <w:ind w:left="0" w:right="-18" w:firstLine="0"/>
                      <w:jc w:val="left"/>
                      <w:rPr>
                        <w:rFonts w:ascii="Calibri"/>
                        <w:sz w:val="20"/>
                      </w:rPr>
                    </w:pPr>
                    <w:r>
                      <w:rPr>
                        <w:rFonts w:ascii="Calibri"/>
                        <w:sz w:val="20"/>
                      </w:rPr>
                      <w:t>-1</w:t>
                    </w:r>
                  </w:p>
                </w:txbxContent>
              </v:textbox>
              <w10:wrap type="none"/>
            </v:shape>
            <v:shape style="position:absolute;left:6039;top:-1663;width:298;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T29</w:t>
                    </w:r>
                  </w:p>
                </w:txbxContent>
              </v:textbox>
              <w10:wrap type="none"/>
            </v:shape>
            <v:shape style="position:absolute;left:1789;top:-1086;width:315;height:200" type="#_x0000_t202" filled="false" stroked="false">
              <v:textbox inset="0,0,0,0">
                <w:txbxContent>
                  <w:p>
                    <w:pPr>
                      <w:spacing w:line="199" w:lineRule="exact" w:before="0"/>
                      <w:ind w:left="0" w:right="-20" w:firstLine="0"/>
                      <w:jc w:val="left"/>
                      <w:rPr>
                        <w:rFonts w:ascii="Calibri"/>
                        <w:sz w:val="20"/>
                      </w:rPr>
                    </w:pPr>
                    <w:r>
                      <w:rPr>
                        <w:rFonts w:ascii="Calibri"/>
                        <w:sz w:val="20"/>
                      </w:rPr>
                      <w:t>-1.5</w:t>
                    </w:r>
                  </w:p>
                </w:txbxContent>
              </v:textbox>
              <w10:wrap type="none"/>
            </v:shape>
            <v:shape style="position:absolute;left:2133;top:-1174;width:4899;height:547" type="#_x0000_t202" filled="false" stroked="false">
              <v:textbox inset="0,0,0,0">
                <w:txbxContent>
                  <w:p>
                    <w:pPr>
                      <w:spacing w:line="203" w:lineRule="exact" w:before="0"/>
                      <w:ind w:left="2192" w:right="-5" w:firstLine="0"/>
                      <w:jc w:val="left"/>
                      <w:rPr>
                        <w:rFonts w:ascii="Calibri"/>
                        <w:b/>
                        <w:sz w:val="20"/>
                      </w:rPr>
                    </w:pPr>
                    <w:r>
                      <w:rPr>
                        <w:rFonts w:ascii="Calibri"/>
                        <w:b/>
                        <w:sz w:val="20"/>
                      </w:rPr>
                      <w:t>Componente Principal 1 (41.6</w:t>
                    </w:r>
                    <w:r>
                      <w:rPr>
                        <w:rFonts w:ascii="Calibri"/>
                        <w:b/>
                        <w:spacing w:val="-17"/>
                        <w:sz w:val="20"/>
                      </w:rPr>
                      <w:t> </w:t>
                    </w:r>
                    <w:r>
                      <w:rPr>
                        <w:rFonts w:ascii="Calibri"/>
                        <w:b/>
                        <w:sz w:val="20"/>
                      </w:rPr>
                      <w:t>%)</w:t>
                    </w:r>
                  </w:p>
                  <w:p>
                    <w:pPr>
                      <w:tabs>
                        <w:tab w:pos="748" w:val="left" w:leader="none"/>
                        <w:tab w:pos="1498" w:val="left" w:leader="none"/>
                        <w:tab w:pos="2247" w:val="left" w:leader="none"/>
                        <w:tab w:pos="3103" w:val="left" w:leader="none"/>
                        <w:tab w:pos="3776" w:val="left" w:leader="none"/>
                        <w:tab w:pos="4525" w:val="left" w:leader="none"/>
                      </w:tabs>
                      <w:spacing w:line="240" w:lineRule="exact" w:before="103"/>
                      <w:ind w:left="0" w:right="0" w:firstLine="0"/>
                      <w:jc w:val="left"/>
                      <w:rPr>
                        <w:rFonts w:ascii="Calibri"/>
                        <w:sz w:val="20"/>
                      </w:rPr>
                    </w:pPr>
                    <w:r>
                      <w:rPr>
                        <w:rFonts w:ascii="Calibri"/>
                        <w:sz w:val="20"/>
                      </w:rPr>
                      <w:t>-0.8</w:t>
                      <w:tab/>
                      <w:t>-0.6</w:t>
                      <w:tab/>
                      <w:t>-0.4</w:t>
                      <w:tab/>
                      <w:t>-0.2</w:t>
                      <w:tab/>
                      <w:t>0</w:t>
                      <w:tab/>
                      <w:t>0.2</w:t>
                      <w:tab/>
                      <w:t>0.4</w:t>
                    </w:r>
                  </w:p>
                </w:txbxContent>
              </v:textbox>
              <w10:wrap type="none"/>
            </v:shape>
            <v:shape style="position:absolute;left:7408;top:-8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0.6</w:t>
                    </w:r>
                  </w:p>
                </w:txbxContent>
              </v:textbox>
              <w10:wrap type="none"/>
            </v:shape>
            <v:shape style="position:absolute;left:8157;top:-8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0.8</w:t>
                    </w:r>
                  </w:p>
                </w:txbxContent>
              </v:textbox>
              <w10:wrap type="none"/>
            </v:shape>
            <v:shape style="position:absolute;left:8982;top:-82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9655;top:-82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1.2</w:t>
                    </w:r>
                  </w:p>
                </w:txbxContent>
              </v:textbox>
              <w10:wrap type="none"/>
            </v:shape>
            <w10:wrap type="none"/>
          </v:group>
        </w:pict>
      </w:r>
      <w:r>
        <w:rPr>
          <w:sz w:val="20"/>
        </w:rPr>
        <w:t>Figura 1. Interrelaciones entre 39 cultivares de haba (en número) y 11 variables agronómicas (en letra).</w:t>
      </w:r>
    </w:p>
    <w:p>
      <w:pPr>
        <w:spacing w:after="0"/>
        <w:jc w:val="left"/>
        <w:rPr>
          <w:sz w:val="20"/>
        </w:rPr>
        <w:sectPr>
          <w:footerReference w:type="default" r:id="rId67"/>
          <w:pgSz w:w="12240" w:h="15840"/>
          <w:pgMar w:footer="1503" w:header="0" w:top="1420" w:bottom="1700" w:left="1600" w:right="0"/>
          <w:pgNumType w:start="77"/>
        </w:sectPr>
      </w:pPr>
    </w:p>
    <w:p>
      <w:pPr>
        <w:pStyle w:val="BodyText"/>
        <w:ind w:left="130"/>
        <w:rPr>
          <w:sz w:val="20"/>
        </w:rPr>
      </w:pPr>
      <w:r>
        <w:rPr>
          <w:sz w:val="20"/>
        </w:rPr>
        <w:pict>
          <v:group style="width:453.4pt;height:373.45pt;mso-position-horizontal-relative:char;mso-position-vertical-relative:line" coordorigin="0,0" coordsize="9068,7469">
            <v:shape style="position:absolute;left:0;top:0;width:9067;height:7469" type="#_x0000_t75" stroked="false">
              <v:imagedata r:id="rId73" o:title=""/>
            </v:shape>
            <v:rect style="position:absolute;left:4246;top:4584;width:648;height:453" filled="true" fillcolor="#ffffff" stroked="false">
              <v:fill type="solid"/>
            </v:rect>
            <v:shape style="position:absolute;left:4246;top:1753;width:399;height:200" type="#_x0000_t202" filled="false" stroked="false">
              <v:textbox inset="0,0,0,0">
                <w:txbxContent>
                  <w:p>
                    <w:pPr>
                      <w:spacing w:line="199" w:lineRule="exact" w:before="0"/>
                      <w:ind w:left="0" w:right="0" w:firstLine="0"/>
                      <w:jc w:val="left"/>
                      <w:rPr>
                        <w:sz w:val="20"/>
                      </w:rPr>
                    </w:pPr>
                    <w:r>
                      <w:rPr>
                        <w:w w:val="99"/>
                        <w:sz w:val="20"/>
                        <w:shd w:fill="FFFFFF" w:color="auto" w:val="clear"/>
                      </w:rPr>
                      <w:t> </w:t>
                    </w:r>
                    <w:r>
                      <w:rPr>
                        <w:sz w:val="20"/>
                        <w:shd w:fill="FFFFFF" w:color="auto" w:val="clear"/>
                      </w:rPr>
                      <w:t>  I </w:t>
                    </w:r>
                  </w:p>
                </w:txbxContent>
              </v:textbox>
              <w10:wrap type="none"/>
            </v:shape>
            <v:shape style="position:absolute;left:4246;top:3284;width:549;height:200" type="#_x0000_t202" filled="false" stroked="false">
              <v:textbox inset="0,0,0,0">
                <w:txbxContent>
                  <w:p>
                    <w:pPr>
                      <w:tabs>
                        <w:tab w:pos="548"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5"/>
                        <w:sz w:val="20"/>
                        <w:shd w:fill="FFFFFF" w:color="auto" w:val="clear"/>
                      </w:rPr>
                      <w:t> </w:t>
                    </w:r>
                    <w:r>
                      <w:rPr>
                        <w:sz w:val="20"/>
                        <w:shd w:fill="FFFFFF" w:color="auto" w:val="clear"/>
                      </w:rPr>
                      <w:t>II</w:t>
                      <w:tab/>
                    </w:r>
                  </w:p>
                </w:txbxContent>
              </v:textbox>
              <w10:wrap type="none"/>
            </v:shape>
            <v:shape style="position:absolute;left:4391;top:4679;width:202;height:200" type="#_x0000_t202" filled="false" stroked="false">
              <v:textbox inset="0,0,0,0">
                <w:txbxContent>
                  <w:p>
                    <w:pPr>
                      <w:spacing w:line="199" w:lineRule="exact" w:before="0"/>
                      <w:ind w:left="0" w:right="-18" w:firstLine="0"/>
                      <w:jc w:val="left"/>
                      <w:rPr>
                        <w:sz w:val="20"/>
                      </w:rPr>
                    </w:pPr>
                    <w:r>
                      <w:rPr>
                        <w:sz w:val="20"/>
                      </w:rPr>
                      <w:t>III</w:t>
                    </w:r>
                  </w:p>
                </w:txbxContent>
              </v:textbox>
              <w10:wrap type="none"/>
            </v:shape>
            <v:shape style="position:absolute;left:4336;top:5985;width:558;height:200" type="#_x0000_t202" filled="false" stroked="false">
              <v:textbox inset="0,0,0,0">
                <w:txbxContent>
                  <w:p>
                    <w:pPr>
                      <w:tabs>
                        <w:tab w:pos="557" w:val="left" w:leader="none"/>
                      </w:tabs>
                      <w:spacing w:line="199" w:lineRule="exact" w:before="0"/>
                      <w:ind w:left="0" w:right="0" w:firstLine="0"/>
                      <w:jc w:val="left"/>
                      <w:rPr>
                        <w:sz w:val="20"/>
                      </w:rPr>
                    </w:pPr>
                    <w:r>
                      <w:rPr>
                        <w:w w:val="99"/>
                        <w:sz w:val="20"/>
                        <w:shd w:fill="FFFFFF" w:color="auto" w:val="clear"/>
                      </w:rPr>
                      <w:t> </w:t>
                    </w:r>
                    <w:r>
                      <w:rPr>
                        <w:sz w:val="20"/>
                        <w:shd w:fill="FFFFFF" w:color="auto" w:val="clear"/>
                      </w:rPr>
                      <w:t> </w:t>
                    </w:r>
                    <w:r>
                      <w:rPr>
                        <w:spacing w:val="-4"/>
                        <w:sz w:val="20"/>
                        <w:shd w:fill="FFFFFF" w:color="auto" w:val="clear"/>
                      </w:rPr>
                      <w:t> </w:t>
                    </w:r>
                    <w:r>
                      <w:rPr>
                        <w:sz w:val="20"/>
                        <w:shd w:fill="FFFFFF" w:color="auto" w:val="clear"/>
                      </w:rPr>
                      <w:t>IV</w:t>
                      <w:tab/>
                    </w:r>
                  </w:p>
                </w:txbxContent>
              </v:textbox>
              <w10:wrap type="none"/>
            </v:shape>
          </v:group>
        </w:pict>
      </w:r>
      <w:r>
        <w:rPr>
          <w:sz w:val="20"/>
        </w:rPr>
      </w:r>
    </w:p>
    <w:p>
      <w:pPr>
        <w:pStyle w:val="BodyText"/>
        <w:spacing w:before="6"/>
        <w:rPr>
          <w:sz w:val="11"/>
        </w:rPr>
      </w:pPr>
    </w:p>
    <w:p>
      <w:pPr>
        <w:spacing w:line="480" w:lineRule="auto" w:before="74"/>
        <w:ind w:left="102" w:right="163" w:firstLine="0"/>
        <w:jc w:val="left"/>
        <w:rPr>
          <w:sz w:val="20"/>
        </w:rPr>
      </w:pPr>
      <w:r>
        <w:rPr>
          <w:sz w:val="20"/>
        </w:rPr>
        <w:t>Figura 2. Agrupación de 39 cultivares de haba con base en 11 variables agronómicas. Método de agrupamiento  de pares no ponderados con medias aritméticas (Mètodo</w:t>
      </w:r>
      <w:r>
        <w:rPr>
          <w:spacing w:val="-20"/>
          <w:sz w:val="20"/>
        </w:rPr>
        <w:t> </w:t>
      </w:r>
      <w:r>
        <w:rPr>
          <w:sz w:val="20"/>
        </w:rPr>
        <w:t>UPGMA).</w:t>
      </w:r>
    </w:p>
    <w:p>
      <w:pPr>
        <w:spacing w:after="0" w:line="480" w:lineRule="auto"/>
        <w:jc w:val="left"/>
        <w:rPr>
          <w:sz w:val="20"/>
        </w:rPr>
        <w:sectPr>
          <w:pgSz w:w="12240" w:h="15840"/>
          <w:pgMar w:header="0" w:footer="1503" w:top="1420" w:bottom="1700" w:left="1600" w:right="1300"/>
        </w:sectPr>
      </w:pPr>
    </w:p>
    <w:p>
      <w:pPr>
        <w:pStyle w:val="Heading2"/>
        <w:numPr>
          <w:ilvl w:val="1"/>
          <w:numId w:val="5"/>
        </w:numPr>
        <w:tabs>
          <w:tab w:pos="3319" w:val="left" w:leader="none"/>
        </w:tabs>
        <w:spacing w:line="240" w:lineRule="auto" w:before="55" w:after="0"/>
        <w:ind w:left="3318" w:right="0" w:hanging="293"/>
        <w:jc w:val="left"/>
      </w:pPr>
      <w:r>
        <w:rPr/>
        <w:t>CONCLUSIONES</w:t>
      </w:r>
      <w:r>
        <w:rPr>
          <w:spacing w:val="-5"/>
        </w:rPr>
        <w:t> </w:t>
      </w:r>
      <w:r>
        <w:rPr/>
        <w:t>GENERALES</w:t>
      </w:r>
    </w:p>
    <w:p>
      <w:pPr>
        <w:pStyle w:val="BodyText"/>
        <w:spacing w:before="9"/>
        <w:rPr>
          <w:b/>
          <w:sz w:val="23"/>
        </w:rPr>
      </w:pPr>
    </w:p>
    <w:p>
      <w:pPr>
        <w:pStyle w:val="ListParagraph"/>
        <w:numPr>
          <w:ilvl w:val="0"/>
          <w:numId w:val="9"/>
        </w:numPr>
        <w:tabs>
          <w:tab w:pos="702" w:val="left" w:leader="none"/>
        </w:tabs>
        <w:spacing w:line="475" w:lineRule="auto" w:before="0" w:after="0"/>
        <w:ind w:left="702" w:right="112" w:hanging="360"/>
        <w:jc w:val="both"/>
        <w:rPr>
          <w:sz w:val="24"/>
        </w:rPr>
      </w:pPr>
      <w:r>
        <w:rPr>
          <w:sz w:val="24"/>
        </w:rPr>
        <w:t>Fue posible analizar la variabilidad genética entre las 39 accesiones mediante la caracterización molecular y agromorfológica, detectándose dos poblaciones molecularmente diferentes, P29 y P25; y encontrándose diferencias fenotípicas de planta y semilla en P29 y</w:t>
      </w:r>
      <w:r>
        <w:rPr>
          <w:spacing w:val="-7"/>
          <w:sz w:val="24"/>
        </w:rPr>
        <w:t> </w:t>
      </w:r>
      <w:r>
        <w:rPr>
          <w:sz w:val="24"/>
        </w:rPr>
        <w:t>P30.</w:t>
      </w:r>
    </w:p>
    <w:p>
      <w:pPr>
        <w:pStyle w:val="ListParagraph"/>
        <w:numPr>
          <w:ilvl w:val="0"/>
          <w:numId w:val="9"/>
        </w:numPr>
        <w:tabs>
          <w:tab w:pos="702" w:val="left" w:leader="none"/>
        </w:tabs>
        <w:spacing w:line="470" w:lineRule="auto" w:before="17" w:after="0"/>
        <w:ind w:left="702" w:right="116" w:hanging="360"/>
        <w:jc w:val="both"/>
        <w:rPr>
          <w:sz w:val="24"/>
        </w:rPr>
      </w:pPr>
      <w:r>
        <w:rPr>
          <w:sz w:val="24"/>
        </w:rPr>
        <w:t>Los marcadores moleculares ISSR fueron eficientes para caracterizar las accesiones, </w:t>
      </w:r>
      <w:r>
        <w:rPr>
          <w:spacing w:val="-3"/>
          <w:sz w:val="24"/>
        </w:rPr>
        <w:t>ya </w:t>
      </w:r>
      <w:r>
        <w:rPr>
          <w:sz w:val="24"/>
        </w:rPr>
        <w:t>que permitieron detectar seis grupos bien definidos, lo cual permitió hacer inferencias sobre su origen, adaptación y explicar la movilidad de los</w:t>
      </w:r>
      <w:r>
        <w:rPr>
          <w:spacing w:val="-15"/>
          <w:sz w:val="24"/>
        </w:rPr>
        <w:t> </w:t>
      </w:r>
      <w:r>
        <w:rPr>
          <w:sz w:val="24"/>
        </w:rPr>
        <w:t>materiales.</w:t>
      </w:r>
    </w:p>
    <w:p>
      <w:pPr>
        <w:pStyle w:val="ListParagraph"/>
        <w:numPr>
          <w:ilvl w:val="0"/>
          <w:numId w:val="9"/>
        </w:numPr>
        <w:tabs>
          <w:tab w:pos="702" w:val="left" w:leader="none"/>
        </w:tabs>
        <w:spacing w:line="470" w:lineRule="auto" w:before="23" w:after="0"/>
        <w:ind w:left="702" w:right="117" w:hanging="360"/>
        <w:jc w:val="both"/>
        <w:rPr>
          <w:sz w:val="24"/>
        </w:rPr>
      </w:pPr>
      <w:r>
        <w:rPr>
          <w:sz w:val="24"/>
        </w:rPr>
        <w:t>Los análisis moleculares permitieron detectar que las accesiones evaluadas poseen algunas secuencias génicas diferentes a las identificadas en accesiones de otras latitudes.</w:t>
      </w:r>
    </w:p>
    <w:p>
      <w:pPr>
        <w:pStyle w:val="ListParagraph"/>
        <w:numPr>
          <w:ilvl w:val="0"/>
          <w:numId w:val="9"/>
        </w:numPr>
        <w:tabs>
          <w:tab w:pos="702" w:val="left" w:leader="none"/>
        </w:tabs>
        <w:spacing w:line="463" w:lineRule="auto" w:before="23" w:after="0"/>
        <w:ind w:left="702" w:right="120" w:hanging="360"/>
        <w:jc w:val="both"/>
        <w:rPr>
          <w:sz w:val="24"/>
        </w:rPr>
      </w:pPr>
      <w:r>
        <w:rPr>
          <w:sz w:val="24"/>
        </w:rPr>
        <w:t>Los marcadores morfológicos permitieron corroborar la variabilidad detectada a nivel molecular.</w:t>
      </w:r>
    </w:p>
    <w:p>
      <w:pPr>
        <w:pStyle w:val="ListParagraph"/>
        <w:numPr>
          <w:ilvl w:val="0"/>
          <w:numId w:val="9"/>
        </w:numPr>
        <w:tabs>
          <w:tab w:pos="702" w:val="left" w:leader="none"/>
        </w:tabs>
        <w:spacing w:line="470" w:lineRule="auto" w:before="31" w:after="0"/>
        <w:ind w:left="702" w:right="113" w:hanging="360"/>
        <w:jc w:val="both"/>
        <w:rPr>
          <w:sz w:val="24"/>
        </w:rPr>
      </w:pPr>
      <w:r>
        <w:rPr>
          <w:sz w:val="24"/>
        </w:rPr>
        <w:t>Los análisis de componentes principales y de conglomerados permitieron identificar a los cultivares 8, 5 y 27 como superiores en rendimiento de semilla. También  se observó amplia variabilidad fenotípica en NN, PF, NFP, NVP, PVP, P100S, PSP</w:t>
      </w:r>
      <w:r>
        <w:rPr>
          <w:spacing w:val="-13"/>
          <w:sz w:val="24"/>
        </w:rPr>
        <w:t> </w:t>
      </w:r>
      <w:r>
        <w:rPr>
          <w:sz w:val="24"/>
        </w:rPr>
        <w:t>.</w:t>
      </w:r>
    </w:p>
    <w:p>
      <w:pPr>
        <w:pStyle w:val="ListParagraph"/>
        <w:numPr>
          <w:ilvl w:val="0"/>
          <w:numId w:val="9"/>
        </w:numPr>
        <w:tabs>
          <w:tab w:pos="702" w:val="left" w:leader="none"/>
        </w:tabs>
        <w:spacing w:line="475" w:lineRule="auto" w:before="23" w:after="0"/>
        <w:ind w:left="702" w:right="115" w:hanging="360"/>
        <w:jc w:val="both"/>
        <w:rPr>
          <w:sz w:val="24"/>
        </w:rPr>
      </w:pPr>
      <w:r>
        <w:rPr>
          <w:sz w:val="24"/>
        </w:rPr>
        <w:t>La combinación de la caracterización molecular y morfológica permitió detectar materiales promisorios en cuanto a caracteres asociados al rendimiento que pueden ser utilizados en programas de mejoramiento genético, encaminados a resolver las necesidades específicas de los</w:t>
      </w:r>
      <w:r>
        <w:rPr>
          <w:spacing w:val="-9"/>
          <w:sz w:val="24"/>
        </w:rPr>
        <w:t> </w:t>
      </w:r>
      <w:r>
        <w:rPr>
          <w:sz w:val="24"/>
        </w:rPr>
        <w:t>productores.</w:t>
      </w:r>
    </w:p>
    <w:p>
      <w:pPr>
        <w:spacing w:after="0" w:line="475" w:lineRule="auto"/>
        <w:jc w:val="both"/>
        <w:rPr>
          <w:sz w:val="24"/>
        </w:rPr>
        <w:sectPr>
          <w:footerReference w:type="default" r:id="rId74"/>
          <w:pgSz w:w="12240" w:h="15840"/>
          <w:pgMar w:footer="2101" w:header="0" w:top="1360" w:bottom="2300" w:left="1720" w:right="1300"/>
        </w:sectPr>
      </w:pPr>
    </w:p>
    <w:p>
      <w:pPr>
        <w:pStyle w:val="Heading2"/>
        <w:numPr>
          <w:ilvl w:val="1"/>
          <w:numId w:val="5"/>
        </w:numPr>
        <w:tabs>
          <w:tab w:pos="2832" w:val="left" w:leader="none"/>
        </w:tabs>
        <w:spacing w:line="240" w:lineRule="auto" w:before="57" w:after="0"/>
        <w:ind w:left="2831" w:right="0" w:hanging="386"/>
        <w:jc w:val="left"/>
      </w:pPr>
      <w:r>
        <w:rPr/>
        <w:t>LITERATURA</w:t>
      </w:r>
      <w:r>
        <w:rPr>
          <w:spacing w:val="-10"/>
        </w:rPr>
        <w:t> </w:t>
      </w:r>
      <w:r>
        <w:rPr/>
        <w:t>COMPLEMENTARIA</w:t>
      </w:r>
    </w:p>
    <w:p>
      <w:pPr>
        <w:pStyle w:val="BodyText"/>
        <w:rPr>
          <w:b/>
        </w:rPr>
      </w:pPr>
    </w:p>
    <w:p>
      <w:pPr>
        <w:pStyle w:val="BodyText"/>
        <w:spacing w:line="482" w:lineRule="auto" w:before="192"/>
        <w:ind w:left="102" w:right="115" w:firstLine="707"/>
        <w:jc w:val="both"/>
      </w:pPr>
      <w:r>
        <w:rPr/>
        <w:t>Crepón, K., Marget P., Peeyronnet C., Carrouée B., Arese P., Duc G. </w:t>
      </w:r>
      <w:r>
        <w:rPr>
          <w:b/>
        </w:rPr>
        <w:t>2010</w:t>
      </w:r>
      <w:r>
        <w:rPr/>
        <w:t>. Nutritional value of faba bean (</w:t>
      </w:r>
      <w:r>
        <w:rPr>
          <w:i/>
        </w:rPr>
        <w:t>Vicia faba </w:t>
      </w:r>
      <w:r>
        <w:rPr/>
        <w:t>L.) seed for feed and food. Field Crops Research 115: 329-339.</w:t>
      </w:r>
    </w:p>
    <w:p>
      <w:pPr>
        <w:pStyle w:val="BodyText"/>
        <w:spacing w:line="482" w:lineRule="auto" w:before="204"/>
        <w:ind w:left="102" w:right="119" w:firstLine="707"/>
        <w:jc w:val="both"/>
      </w:pPr>
      <w:r>
        <w:rPr/>
        <w:t>Cubero, J.I. </w:t>
      </w:r>
      <w:r>
        <w:rPr>
          <w:b/>
        </w:rPr>
        <w:t>1974</w:t>
      </w:r>
      <w:r>
        <w:rPr/>
        <w:t>. On the evolution of </w:t>
      </w:r>
      <w:r>
        <w:rPr>
          <w:i/>
        </w:rPr>
        <w:t>Vicia faba </w:t>
      </w:r>
      <w:r>
        <w:rPr/>
        <w:t>L. Theorethical Applied Genetics 45 (2):47-51.</w:t>
      </w:r>
    </w:p>
    <w:p>
      <w:pPr>
        <w:pStyle w:val="BodyText"/>
        <w:spacing w:before="206"/>
        <w:ind w:left="810" w:right="101"/>
        <w:rPr>
          <w:i/>
        </w:rPr>
      </w:pPr>
      <w:r>
        <w:rPr/>
        <w:t>Doyle, J.J., and J.L. Doyle. 1990. Isolation of plant DNA from fresh tissue. </w:t>
      </w:r>
      <w:r>
        <w:rPr>
          <w:i/>
        </w:rPr>
        <w:t>Focus</w:t>
      </w:r>
    </w:p>
    <w:p>
      <w:pPr>
        <w:pStyle w:val="BodyText"/>
        <w:spacing w:before="3"/>
        <w:rPr>
          <w:i/>
        </w:rPr>
      </w:pPr>
    </w:p>
    <w:p>
      <w:pPr>
        <w:pStyle w:val="BodyText"/>
        <w:ind w:left="102" w:right="101"/>
        <w:rPr>
          <w:rFonts w:ascii="Arial"/>
          <w:sz w:val="22"/>
        </w:rPr>
      </w:pPr>
      <w:r>
        <w:rPr/>
        <w:t>12:13-15</w:t>
      </w:r>
      <w:r>
        <w:rPr>
          <w:rFonts w:ascii="Arial"/>
          <w:sz w:val="22"/>
        </w:rPr>
        <w:t>.</w:t>
      </w:r>
    </w:p>
    <w:p>
      <w:pPr>
        <w:pStyle w:val="BodyText"/>
        <w:rPr>
          <w:rFonts w:ascii="Arial"/>
        </w:rPr>
      </w:pPr>
    </w:p>
    <w:p>
      <w:pPr>
        <w:pStyle w:val="BodyText"/>
        <w:spacing w:line="480" w:lineRule="auto" w:before="197"/>
        <w:ind w:left="102" w:right="113" w:firstLine="707"/>
        <w:jc w:val="both"/>
      </w:pPr>
      <w:r>
        <w:rPr/>
        <w:t>INIFAP. </w:t>
      </w:r>
      <w:r>
        <w:rPr>
          <w:b/>
        </w:rPr>
        <w:t>2013</w:t>
      </w:r>
      <w:r>
        <w:rPr/>
        <w:t>. Potencial productivo de especies agrícolas de importancia socioeconómica en México. Instituto Nacional de Investigaciones Forestales, Agrícolas y Pecuarias (INIFAP). ISBN: 978-607-425-766-3. INIFAP, Campo Experimental, Toluca, México.</w:t>
      </w:r>
    </w:p>
    <w:p>
      <w:pPr>
        <w:pStyle w:val="BodyText"/>
        <w:spacing w:line="480" w:lineRule="auto" w:before="207"/>
        <w:ind w:left="102" w:right="114" w:firstLine="707"/>
        <w:jc w:val="both"/>
      </w:pPr>
      <w:r>
        <w:rPr/>
        <w:t>Díaz-Ruíz, R., Delgado-Alvarado A., Herrera-Cabrera B. E., Sandoval-Castro E. </w:t>
      </w:r>
      <w:r>
        <w:rPr>
          <w:b/>
        </w:rPr>
        <w:t>2006</w:t>
      </w:r>
      <w:r>
        <w:rPr/>
        <w:t>. Germplasm of faba bean (</w:t>
      </w:r>
      <w:r>
        <w:rPr>
          <w:i/>
        </w:rPr>
        <w:t>Vicia faba </w:t>
      </w:r>
      <w:r>
        <w:rPr/>
        <w:t>L.) in México. In: International Workshop on faba bean breeding and agronomy. Instituto de Investigación y Formación Agraria y Pesquera. Junta de Andalucía, Córdoba, España. 188-190 pp.</w:t>
      </w:r>
    </w:p>
    <w:p>
      <w:pPr>
        <w:pStyle w:val="BodyText"/>
        <w:spacing w:line="482" w:lineRule="auto" w:before="209"/>
        <w:ind w:left="102" w:right="113" w:firstLine="707"/>
        <w:jc w:val="both"/>
      </w:pPr>
      <w:r>
        <w:rPr/>
        <w:t>Ellwood, S., Phan H., Jordan M., Hane J., Torres A., Ávila C., Cruz-Izquierdo S., Oliver R. </w:t>
      </w:r>
      <w:r>
        <w:rPr>
          <w:b/>
        </w:rPr>
        <w:t>2008</w:t>
      </w:r>
      <w:r>
        <w:rPr/>
        <w:t>. Construction of a comparative genetic map in faba bean (</w:t>
      </w:r>
      <w:r>
        <w:rPr>
          <w:i/>
        </w:rPr>
        <w:t>Vicia faba </w:t>
      </w:r>
      <w:r>
        <w:rPr/>
        <w:t>L.); conservation of genome structure with Lens culinaris. BMC Genom 9(1):380.</w:t>
      </w:r>
    </w:p>
    <w:p>
      <w:pPr>
        <w:pStyle w:val="BodyText"/>
        <w:spacing w:line="482" w:lineRule="auto" w:before="204"/>
        <w:ind w:left="102" w:right="118" w:firstLine="707"/>
        <w:jc w:val="both"/>
      </w:pPr>
      <w:r>
        <w:rPr/>
        <w:t>FAOSTAT. </w:t>
      </w:r>
      <w:r>
        <w:rPr>
          <w:b/>
        </w:rPr>
        <w:t>2013</w:t>
      </w:r>
      <w:r>
        <w:rPr/>
        <w:t>. Base de datos estadísticos de la FAO. (disponible en línea). http//</w:t>
      </w:r>
      <w:hyperlink r:id="rId76">
        <w:r>
          <w:rPr/>
          <w:t>www.faostat.fao.org/.site/567.</w:t>
        </w:r>
      </w:hyperlink>
      <w:r>
        <w:rPr/>
        <w:t> Fecha de consulta: Noviembre de 2013.</w:t>
      </w:r>
    </w:p>
    <w:p>
      <w:pPr>
        <w:spacing w:after="0" w:line="482" w:lineRule="auto"/>
        <w:jc w:val="both"/>
        <w:sectPr>
          <w:footerReference w:type="default" r:id="rId75"/>
          <w:pgSz w:w="12240" w:h="15840"/>
          <w:pgMar w:footer="1556" w:header="0" w:top="1360" w:bottom="1740" w:left="1600" w:right="1300"/>
          <w:pgNumType w:start="80"/>
        </w:sectPr>
      </w:pPr>
    </w:p>
    <w:p>
      <w:pPr>
        <w:pStyle w:val="BodyText"/>
        <w:spacing w:line="482" w:lineRule="auto" w:before="50"/>
        <w:ind w:left="102" w:right="115" w:firstLine="707"/>
        <w:jc w:val="both"/>
      </w:pPr>
      <w:r>
        <w:rPr/>
        <w:t>Flores, F., Nadal S., Solis I., Winkler J., Sass O., Stoddard F.L., Link W., Raffiot B., Muel F. and Rubiales D. </w:t>
      </w:r>
      <w:r>
        <w:rPr>
          <w:b/>
        </w:rPr>
        <w:t>2012</w:t>
      </w:r>
      <w:r>
        <w:rPr/>
        <w:t>. Faba bean adaptation to autumn sowing under European climates. Agronomy for Sustainable Development 32 (3):727-734.</w:t>
      </w:r>
    </w:p>
    <w:p>
      <w:pPr>
        <w:pStyle w:val="BodyText"/>
        <w:spacing w:line="480" w:lineRule="auto" w:before="204"/>
        <w:ind w:left="102" w:right="118" w:firstLine="707"/>
        <w:jc w:val="both"/>
      </w:pPr>
      <w:r>
        <w:rPr/>
        <w:t>Kalia, P., and Sood, S. </w:t>
      </w:r>
      <w:r>
        <w:rPr>
          <w:b/>
        </w:rPr>
        <w:t>2004</w:t>
      </w:r>
      <w:r>
        <w:rPr/>
        <w:t>. Genetic variation association analyses for pod yield and other agronomic and quality characters in and Indian Himalayan collection of broad bean (</w:t>
      </w:r>
      <w:r>
        <w:rPr>
          <w:i/>
        </w:rPr>
        <w:t>Vicia faba </w:t>
      </w:r>
      <w:r>
        <w:rPr/>
        <w:t>L.). J. Breed. Genet. 36(2):55-61.</w:t>
      </w:r>
    </w:p>
    <w:p>
      <w:pPr>
        <w:spacing w:line="480" w:lineRule="auto" w:before="207"/>
        <w:ind w:left="102" w:right="112" w:firstLine="707"/>
        <w:jc w:val="both"/>
        <w:rPr>
          <w:sz w:val="24"/>
        </w:rPr>
      </w:pPr>
      <w:r>
        <w:rPr>
          <w:sz w:val="24"/>
        </w:rPr>
        <w:t>Lawes, D.A., Bond D.A., and Poulsen M.H.</w:t>
      </w:r>
      <w:r>
        <w:rPr>
          <w:b/>
          <w:sz w:val="24"/>
        </w:rPr>
        <w:t>1983</w:t>
      </w:r>
      <w:r>
        <w:rPr>
          <w:sz w:val="24"/>
        </w:rPr>
        <w:t>. Classification, Origin, Breeding Methods and Objectives, In: </w:t>
      </w:r>
      <w:r>
        <w:rPr>
          <w:i/>
          <w:sz w:val="24"/>
        </w:rPr>
        <w:t>Faba bean (Vicia faba </w:t>
      </w:r>
      <w:r>
        <w:rPr>
          <w:sz w:val="24"/>
        </w:rPr>
        <w:t>L.</w:t>
      </w:r>
      <w:r>
        <w:rPr>
          <w:i/>
          <w:sz w:val="24"/>
        </w:rPr>
        <w:t>), A basis for improvement</w:t>
      </w:r>
      <w:r>
        <w:rPr>
          <w:sz w:val="24"/>
        </w:rPr>
        <w:t>, (Ed.): P.D. Hebblethwaite.Butterworths, London.</w:t>
      </w:r>
    </w:p>
    <w:p>
      <w:pPr>
        <w:pStyle w:val="BodyText"/>
        <w:spacing w:line="480" w:lineRule="auto" w:before="209"/>
        <w:ind w:left="102" w:right="117" w:firstLine="707"/>
        <w:jc w:val="both"/>
      </w:pPr>
      <w:r>
        <w:rPr/>
        <w:t>Li-Juan, L., Zhao-hai Y., Zhow-jie Z., Ming-shi X.,and Han-qing Y.</w:t>
      </w:r>
      <w:r>
        <w:rPr>
          <w:b/>
        </w:rPr>
        <w:t>1993</w:t>
      </w:r>
      <w:r>
        <w:rPr/>
        <w:t>. Faba bean in China: State-of-the-art review. International Center for Agricultural Research in the Dry Areas Aleppo, Syria.</w:t>
      </w:r>
    </w:p>
    <w:p>
      <w:pPr>
        <w:pStyle w:val="BodyText"/>
        <w:spacing w:line="480" w:lineRule="auto" w:before="207"/>
        <w:ind w:left="102" w:right="115" w:firstLine="707"/>
        <w:jc w:val="both"/>
      </w:pPr>
      <w:r>
        <w:rPr/>
        <w:t>Mohammed, O. A. A., Osman, T. Y. S., Awok, O. </w:t>
      </w:r>
      <w:r>
        <w:rPr>
          <w:b/>
        </w:rPr>
        <w:t>2010</w:t>
      </w:r>
      <w:r>
        <w:rPr/>
        <w:t>. Performance of faba beans </w:t>
      </w:r>
      <w:r>
        <w:rPr>
          <w:i/>
        </w:rPr>
        <w:t>(Vicia faba </w:t>
      </w:r>
      <w:r>
        <w:rPr/>
        <w:t>L.) cultivars grown in new agro-ecological region of Sudan (Southern Sudan). Australian J. Basie Appl. Sci. 4(11):5516-5521.</w:t>
      </w:r>
    </w:p>
    <w:p>
      <w:pPr>
        <w:pStyle w:val="BodyText"/>
        <w:spacing w:line="480" w:lineRule="auto" w:before="207"/>
        <w:ind w:left="102" w:right="117" w:firstLine="707"/>
        <w:jc w:val="both"/>
      </w:pPr>
      <w:r>
        <w:rPr/>
        <w:t>Nadal, S., Moreno M.T., y Cubero J. I. </w:t>
      </w:r>
      <w:r>
        <w:rPr>
          <w:b/>
        </w:rPr>
        <w:t>2004</w:t>
      </w:r>
      <w:r>
        <w:rPr/>
        <w:t>. Haba (</w:t>
      </w:r>
      <w:r>
        <w:rPr>
          <w:i/>
        </w:rPr>
        <w:t>Vicia faba </w:t>
      </w:r>
      <w:r>
        <w:rPr/>
        <w:t>L.). pp. 211-229 In: Las leguminosas de grano en la agricultura moderna. Ediciones Mundi Prensa, Barcelona, España, 318 p.</w:t>
      </w:r>
    </w:p>
    <w:p>
      <w:pPr>
        <w:spacing w:after="0" w:line="480" w:lineRule="auto"/>
        <w:jc w:val="both"/>
        <w:sectPr>
          <w:pgSz w:w="12240" w:h="15840"/>
          <w:pgMar w:header="0" w:footer="1556" w:top="1360" w:bottom="1740" w:left="1600" w:right="1300"/>
        </w:sectPr>
      </w:pPr>
    </w:p>
    <w:p>
      <w:pPr>
        <w:pStyle w:val="BodyText"/>
        <w:spacing w:line="482" w:lineRule="auto" w:before="50"/>
        <w:ind w:left="102" w:right="116" w:firstLine="707"/>
        <w:jc w:val="both"/>
      </w:pPr>
      <w:r>
        <w:rPr/>
        <w:t>Ortíz, C., Solorzano V.E., y Mendoza O.L.E. </w:t>
      </w:r>
      <w:r>
        <w:rPr>
          <w:b/>
        </w:rPr>
        <w:t>1983</w:t>
      </w:r>
      <w:r>
        <w:rPr/>
        <w:t>. Comportamiento de caracteres agronómicos y fisiotécnicos de diez colecciones de haba (</w:t>
      </w:r>
      <w:r>
        <w:rPr>
          <w:i/>
        </w:rPr>
        <w:t>Vicia faba </w:t>
      </w:r>
      <w:r>
        <w:rPr/>
        <w:t>L.) bajo diferentes condiciones ambientales. Agrociencia 55:101-114.</w:t>
      </w:r>
    </w:p>
    <w:p>
      <w:pPr>
        <w:pStyle w:val="BodyText"/>
        <w:spacing w:line="480" w:lineRule="auto" w:before="204"/>
        <w:ind w:left="102" w:right="116" w:firstLine="707"/>
        <w:jc w:val="both"/>
      </w:pPr>
      <w:r>
        <w:rPr/>
        <w:t>Pearce, S., Knox M., Ellis T., Flavell A., and A Kumar. </w:t>
      </w:r>
      <w:r>
        <w:rPr>
          <w:b/>
        </w:rPr>
        <w:t>2000</w:t>
      </w:r>
      <w:r>
        <w:rPr/>
        <w:t>. Pea Tyl- copia group retrotransposons: transpositional activity and use as markers to study genetic diversity in Pisum. Molecular Genetics and Genomics 263 (6):898-907.</w:t>
      </w:r>
    </w:p>
    <w:p>
      <w:pPr>
        <w:pStyle w:val="BodyText"/>
        <w:spacing w:line="480" w:lineRule="auto" w:before="207"/>
        <w:ind w:left="102" w:right="120" w:firstLine="707"/>
        <w:jc w:val="both"/>
      </w:pPr>
      <w:r>
        <w:rPr/>
        <w:t>Pérez, L.D. de J., y González, H. A. </w:t>
      </w:r>
      <w:r>
        <w:rPr>
          <w:b/>
        </w:rPr>
        <w:t>2003</w:t>
      </w:r>
      <w:r>
        <w:rPr/>
        <w:t>. Cultivo y mejoramiento de haba.  1ª. Edición. Colección de Ciencias Agropecuarias, Serie: Agronomía. Universidad Autónoma del Estado de México. 101 p.</w:t>
      </w:r>
    </w:p>
    <w:p>
      <w:pPr>
        <w:pStyle w:val="BodyText"/>
        <w:spacing w:line="480" w:lineRule="auto" w:before="209"/>
        <w:ind w:left="102" w:right="115" w:firstLine="707"/>
        <w:jc w:val="both"/>
      </w:pPr>
      <w:r>
        <w:rPr/>
        <w:t>SIAP. </w:t>
      </w:r>
      <w:r>
        <w:rPr>
          <w:b/>
        </w:rPr>
        <w:t>2009</w:t>
      </w:r>
      <w:r>
        <w:rPr/>
        <w:t>. Servicio de Información Agroalimentaria y Pesquera (SIAP). Producción Agrícola por Estados. Secretaría de Agricultura, Ganadería, Desarrollo Rural, Pesca y Alimentación.</w:t>
      </w:r>
    </w:p>
    <w:p>
      <w:pPr>
        <w:pStyle w:val="BodyText"/>
        <w:spacing w:line="482" w:lineRule="auto" w:before="207"/>
        <w:ind w:left="102" w:right="119" w:firstLine="707"/>
        <w:jc w:val="both"/>
      </w:pPr>
      <w:r>
        <w:rPr/>
        <w:t>Stewart, C., and L. Via. </w:t>
      </w:r>
      <w:r>
        <w:rPr>
          <w:b/>
        </w:rPr>
        <w:t>1993</w:t>
      </w:r>
      <w:r>
        <w:rPr/>
        <w:t>. A rapid CTAB ADN isolation technique useful for RAPD fingerprinting and other PCR Aplications Biotechniques 14: 748–749.</w:t>
      </w:r>
    </w:p>
    <w:p>
      <w:pPr>
        <w:pStyle w:val="BodyText"/>
        <w:spacing w:line="480" w:lineRule="auto" w:before="204"/>
        <w:ind w:left="102" w:right="116" w:firstLine="707"/>
        <w:jc w:val="both"/>
      </w:pPr>
      <w:r>
        <w:rPr/>
        <w:t>Yujiao, L., and Wanwei H. </w:t>
      </w:r>
      <w:r>
        <w:rPr>
          <w:b/>
        </w:rPr>
        <w:t>2010</w:t>
      </w:r>
      <w:r>
        <w:rPr/>
        <w:t>. Genetic diversity of Faba bean germplasms in Quinghai and core germplasm identified based on AFLP analysis. Legume Genomics and Genetics. Vol. 1. 1:1-6.</w:t>
      </w:r>
    </w:p>
    <w:p>
      <w:pPr>
        <w:pStyle w:val="BodyText"/>
        <w:spacing w:before="9"/>
        <w:rPr>
          <w:sz w:val="21"/>
        </w:rPr>
      </w:pPr>
    </w:p>
    <w:p>
      <w:pPr>
        <w:pStyle w:val="BodyText"/>
        <w:spacing w:line="477" w:lineRule="auto"/>
        <w:ind w:left="102" w:right="120" w:firstLine="707"/>
        <w:jc w:val="both"/>
      </w:pPr>
      <w:r>
        <w:rPr/>
        <w:t>Zeid, M., SchonC.C., and Link, W. </w:t>
      </w:r>
      <w:r>
        <w:rPr>
          <w:b/>
        </w:rPr>
        <w:t>2003</w:t>
      </w:r>
      <w:r>
        <w:rPr/>
        <w:t>. Genetic diversity in recent elite faba bean lines using AFLP markers. Theorethical Applied Genetics 107 (7): 1304-1314.</w:t>
      </w:r>
    </w:p>
    <w:p>
      <w:pPr>
        <w:spacing w:after="0" w:line="477" w:lineRule="auto"/>
        <w:jc w:val="both"/>
        <w:sectPr>
          <w:footerReference w:type="default" r:id="rId77"/>
          <w:pgSz w:w="12240" w:h="15840"/>
          <w:pgMar w:footer="2230" w:header="0" w:top="1360" w:bottom="2420" w:left="1600" w:right="1300"/>
        </w:sectPr>
      </w:pPr>
    </w:p>
    <w:p>
      <w:pPr>
        <w:pStyle w:val="Heading2"/>
        <w:spacing w:before="55"/>
        <w:ind w:left="3151"/>
        <w:jc w:val="left"/>
      </w:pPr>
      <w:r>
        <w:rPr/>
        <w:t>LISTA DE TABLAS ANEXAS</w:t>
      </w:r>
    </w:p>
    <w:p>
      <w:pPr>
        <w:pStyle w:val="BodyText"/>
        <w:rPr>
          <w:b/>
        </w:rPr>
      </w:pPr>
    </w:p>
    <w:p>
      <w:pPr>
        <w:pStyle w:val="BodyText"/>
        <w:rPr>
          <w:b/>
        </w:rPr>
      </w:pPr>
    </w:p>
    <w:p>
      <w:pPr>
        <w:pStyle w:val="BodyText"/>
        <w:spacing w:before="8"/>
        <w:rPr>
          <w:b/>
          <w:sz w:val="20"/>
        </w:rPr>
      </w:pPr>
    </w:p>
    <w:p>
      <w:pPr>
        <w:pStyle w:val="BodyText"/>
        <w:ind w:left="182"/>
      </w:pPr>
      <w:r>
        <w:rPr>
          <w:b/>
        </w:rPr>
        <w:t>Tabla 1. </w:t>
      </w:r>
      <w:r>
        <w:rPr/>
        <w:t>Lecturas de absorbancia y concentración de ADN determinada.</w:t>
      </w:r>
    </w:p>
    <w:p>
      <w:pPr>
        <w:pStyle w:val="BodyText"/>
        <w:spacing w:before="4"/>
        <w:rPr>
          <w:sz w:val="25"/>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46"/>
        <w:gridCol w:w="1869"/>
        <w:gridCol w:w="1725"/>
        <w:gridCol w:w="1496"/>
        <w:gridCol w:w="1767"/>
      </w:tblGrid>
      <w:tr>
        <w:trPr>
          <w:trHeight w:val="234" w:hRule="exact"/>
        </w:trPr>
        <w:tc>
          <w:tcPr>
            <w:tcW w:w="8303" w:type="dxa"/>
            <w:gridSpan w:val="5"/>
          </w:tcPr>
          <w:p>
            <w:pPr>
              <w:pStyle w:val="TableParagraph"/>
              <w:tabs>
                <w:tab w:pos="887" w:val="left" w:leader="none"/>
                <w:tab w:pos="8302" w:val="left" w:leader="none"/>
              </w:tabs>
              <w:spacing w:line="204" w:lineRule="exact"/>
              <w:ind w:left="14" w:right="-1"/>
              <w:rPr>
                <w:b/>
                <w:sz w:val="20"/>
              </w:rPr>
            </w:pPr>
            <w:r>
              <w:rPr>
                <w:b/>
                <w:w w:val="99"/>
                <w:sz w:val="20"/>
                <w:u w:val="single"/>
              </w:rPr>
              <w:t> </w:t>
            </w:r>
            <w:r>
              <w:rPr>
                <w:b/>
                <w:sz w:val="20"/>
                <w:u w:val="single"/>
              </w:rPr>
              <w:tab/>
              <w:t>LECTURAS DE ABSORBANCIA PARA LA CUANTIFICACIÓN DE</w:t>
            </w:r>
            <w:r>
              <w:rPr>
                <w:b/>
                <w:spacing w:val="-17"/>
                <w:sz w:val="20"/>
                <w:u w:val="single"/>
              </w:rPr>
              <w:t> </w:t>
            </w:r>
            <w:r>
              <w:rPr>
                <w:b/>
                <w:sz w:val="20"/>
                <w:u w:val="single"/>
              </w:rPr>
              <w:t>DNA</w:t>
              <w:tab/>
            </w:r>
          </w:p>
        </w:tc>
      </w:tr>
      <w:tr>
        <w:trPr>
          <w:trHeight w:val="709" w:hRule="exact"/>
        </w:trPr>
        <w:tc>
          <w:tcPr>
            <w:tcW w:w="1446" w:type="dxa"/>
            <w:tcBorders>
              <w:bottom w:val="single" w:sz="8" w:space="0" w:color="000000"/>
            </w:tcBorders>
          </w:tcPr>
          <w:p>
            <w:pPr>
              <w:pStyle w:val="TableParagraph"/>
              <w:spacing w:before="8"/>
              <w:rPr>
                <w:sz w:val="20"/>
              </w:rPr>
            </w:pPr>
          </w:p>
          <w:p>
            <w:pPr>
              <w:pStyle w:val="TableParagraph"/>
              <w:ind w:left="233" w:right="172"/>
              <w:jc w:val="center"/>
              <w:rPr>
                <w:b/>
                <w:sz w:val="20"/>
              </w:rPr>
            </w:pPr>
            <w:r>
              <w:rPr>
                <w:b/>
                <w:sz w:val="20"/>
              </w:rPr>
              <w:t>MUESTRA</w:t>
            </w:r>
          </w:p>
        </w:tc>
        <w:tc>
          <w:tcPr>
            <w:tcW w:w="1869" w:type="dxa"/>
            <w:tcBorders>
              <w:bottom w:val="single" w:sz="8" w:space="0" w:color="000000"/>
            </w:tcBorders>
          </w:tcPr>
          <w:p>
            <w:pPr>
              <w:pStyle w:val="TableParagraph"/>
              <w:spacing w:before="8"/>
              <w:ind w:left="193" w:right="259"/>
              <w:jc w:val="center"/>
              <w:rPr>
                <w:b/>
                <w:sz w:val="20"/>
              </w:rPr>
            </w:pPr>
            <w:r>
              <w:rPr>
                <w:b/>
                <w:sz w:val="20"/>
              </w:rPr>
              <w:t>LONGITUD DE ONDA</w:t>
            </w:r>
          </w:p>
          <w:p>
            <w:pPr>
              <w:pStyle w:val="TableParagraph"/>
              <w:ind w:left="193" w:right="259"/>
              <w:jc w:val="center"/>
              <w:rPr>
                <w:b/>
                <w:sz w:val="20"/>
              </w:rPr>
            </w:pPr>
            <w:r>
              <w:rPr>
                <w:b/>
                <w:sz w:val="20"/>
              </w:rPr>
              <w:t>λ 260</w:t>
            </w:r>
          </w:p>
        </w:tc>
        <w:tc>
          <w:tcPr>
            <w:tcW w:w="1725" w:type="dxa"/>
            <w:tcBorders>
              <w:bottom w:val="single" w:sz="8" w:space="0" w:color="000000"/>
            </w:tcBorders>
          </w:tcPr>
          <w:p>
            <w:pPr>
              <w:pStyle w:val="TableParagraph"/>
              <w:spacing w:before="8"/>
              <w:rPr>
                <w:sz w:val="20"/>
              </w:rPr>
            </w:pPr>
          </w:p>
          <w:p>
            <w:pPr>
              <w:pStyle w:val="TableParagraph"/>
              <w:ind w:left="242" w:right="356"/>
              <w:jc w:val="center"/>
              <w:rPr>
                <w:b/>
                <w:sz w:val="20"/>
              </w:rPr>
            </w:pPr>
            <w:r>
              <w:rPr>
                <w:b/>
                <w:sz w:val="20"/>
              </w:rPr>
              <w:t>[DNA]µg/µL</w:t>
            </w:r>
          </w:p>
        </w:tc>
        <w:tc>
          <w:tcPr>
            <w:tcW w:w="1496" w:type="dxa"/>
            <w:tcBorders>
              <w:bottom w:val="single" w:sz="8" w:space="0" w:color="000000"/>
            </w:tcBorders>
          </w:tcPr>
          <w:p>
            <w:pPr>
              <w:pStyle w:val="TableParagraph"/>
              <w:spacing w:before="8"/>
              <w:rPr>
                <w:sz w:val="20"/>
              </w:rPr>
            </w:pPr>
          </w:p>
          <w:p>
            <w:pPr>
              <w:pStyle w:val="TableParagraph"/>
              <w:ind w:left="357" w:right="234"/>
              <w:jc w:val="center"/>
              <w:rPr>
                <w:b/>
                <w:sz w:val="20"/>
              </w:rPr>
            </w:pPr>
            <w:r>
              <w:rPr>
                <w:b/>
                <w:sz w:val="20"/>
              </w:rPr>
              <w:t>DNA (µL)</w:t>
            </w:r>
          </w:p>
        </w:tc>
        <w:tc>
          <w:tcPr>
            <w:tcW w:w="1767" w:type="dxa"/>
            <w:tcBorders>
              <w:bottom w:val="single" w:sz="8" w:space="0" w:color="000000"/>
            </w:tcBorders>
          </w:tcPr>
          <w:p>
            <w:pPr>
              <w:pStyle w:val="TableParagraph"/>
              <w:spacing w:before="8"/>
              <w:ind w:left="254" w:right="129"/>
              <w:jc w:val="center"/>
              <w:rPr>
                <w:b/>
                <w:sz w:val="20"/>
              </w:rPr>
            </w:pPr>
            <w:r>
              <w:rPr>
                <w:b/>
                <w:sz w:val="20"/>
              </w:rPr>
              <w:t>AGUA GRADO MOLECULAR (µL)</w:t>
            </w:r>
          </w:p>
        </w:tc>
      </w:tr>
      <w:tr>
        <w:trPr>
          <w:trHeight w:val="277" w:hRule="exact"/>
        </w:trPr>
        <w:tc>
          <w:tcPr>
            <w:tcW w:w="1446" w:type="dxa"/>
            <w:tcBorders>
              <w:top w:val="single" w:sz="8" w:space="0" w:color="000000"/>
            </w:tcBorders>
          </w:tcPr>
          <w:p>
            <w:pPr>
              <w:pStyle w:val="TableParagraph"/>
              <w:spacing w:before="15"/>
              <w:ind w:left="64"/>
              <w:jc w:val="center"/>
              <w:rPr>
                <w:sz w:val="20"/>
              </w:rPr>
            </w:pPr>
            <w:r>
              <w:rPr>
                <w:w w:val="99"/>
                <w:sz w:val="20"/>
              </w:rPr>
              <w:t>1</w:t>
            </w:r>
          </w:p>
        </w:tc>
        <w:tc>
          <w:tcPr>
            <w:tcW w:w="1869" w:type="dxa"/>
            <w:tcBorders>
              <w:top w:val="single" w:sz="8" w:space="0" w:color="000000"/>
            </w:tcBorders>
          </w:tcPr>
          <w:p>
            <w:pPr>
              <w:pStyle w:val="TableParagraph"/>
              <w:spacing w:before="15"/>
              <w:ind w:left="673"/>
              <w:rPr>
                <w:sz w:val="20"/>
              </w:rPr>
            </w:pPr>
            <w:r>
              <w:rPr>
                <w:sz w:val="20"/>
              </w:rPr>
              <w:t>0.141</w:t>
            </w:r>
          </w:p>
        </w:tc>
        <w:tc>
          <w:tcPr>
            <w:tcW w:w="1725" w:type="dxa"/>
            <w:tcBorders>
              <w:top w:val="single" w:sz="8" w:space="0" w:color="000000"/>
            </w:tcBorders>
          </w:tcPr>
          <w:p>
            <w:pPr>
              <w:pStyle w:val="TableParagraph"/>
              <w:spacing w:before="19"/>
              <w:ind w:left="242" w:right="355"/>
              <w:jc w:val="center"/>
              <w:rPr>
                <w:b/>
                <w:sz w:val="20"/>
              </w:rPr>
            </w:pPr>
            <w:r>
              <w:rPr>
                <w:b/>
                <w:sz w:val="20"/>
              </w:rPr>
              <w:t>0.705</w:t>
            </w:r>
          </w:p>
        </w:tc>
        <w:tc>
          <w:tcPr>
            <w:tcW w:w="1496" w:type="dxa"/>
            <w:tcBorders>
              <w:top w:val="single" w:sz="8" w:space="0" w:color="000000"/>
            </w:tcBorders>
          </w:tcPr>
          <w:p>
            <w:pPr>
              <w:pStyle w:val="TableParagraph"/>
              <w:spacing w:before="15"/>
              <w:ind w:left="357" w:right="228"/>
              <w:jc w:val="center"/>
              <w:rPr>
                <w:sz w:val="20"/>
              </w:rPr>
            </w:pPr>
            <w:r>
              <w:rPr>
                <w:sz w:val="20"/>
              </w:rPr>
              <w:t>7.09</w:t>
            </w:r>
          </w:p>
        </w:tc>
        <w:tc>
          <w:tcPr>
            <w:tcW w:w="1767" w:type="dxa"/>
            <w:tcBorders>
              <w:top w:val="single" w:sz="8" w:space="0" w:color="000000"/>
            </w:tcBorders>
          </w:tcPr>
          <w:p>
            <w:pPr>
              <w:pStyle w:val="TableParagraph"/>
              <w:spacing w:before="15"/>
              <w:ind w:right="542"/>
              <w:jc w:val="right"/>
              <w:rPr>
                <w:sz w:val="20"/>
              </w:rPr>
            </w:pPr>
            <w:r>
              <w:rPr>
                <w:w w:val="95"/>
                <w:sz w:val="20"/>
              </w:rPr>
              <w:t>492.91</w:t>
            </w:r>
          </w:p>
        </w:tc>
      </w:tr>
      <w:tr>
        <w:trPr>
          <w:trHeight w:val="248" w:hRule="exact"/>
        </w:trPr>
        <w:tc>
          <w:tcPr>
            <w:tcW w:w="1446" w:type="dxa"/>
          </w:tcPr>
          <w:p>
            <w:pPr>
              <w:pStyle w:val="TableParagraph"/>
              <w:spacing w:line="225" w:lineRule="exact"/>
              <w:ind w:left="64"/>
              <w:jc w:val="center"/>
              <w:rPr>
                <w:sz w:val="20"/>
              </w:rPr>
            </w:pPr>
            <w:r>
              <w:rPr>
                <w:w w:val="99"/>
                <w:sz w:val="20"/>
              </w:rPr>
              <w:t>2</w:t>
            </w:r>
          </w:p>
        </w:tc>
        <w:tc>
          <w:tcPr>
            <w:tcW w:w="1869" w:type="dxa"/>
          </w:tcPr>
          <w:p>
            <w:pPr>
              <w:pStyle w:val="TableParagraph"/>
              <w:spacing w:line="225" w:lineRule="exact"/>
              <w:ind w:left="673"/>
              <w:rPr>
                <w:sz w:val="20"/>
              </w:rPr>
            </w:pPr>
            <w:r>
              <w:rPr>
                <w:sz w:val="20"/>
              </w:rPr>
              <w:t>0.174</w:t>
            </w:r>
          </w:p>
        </w:tc>
        <w:tc>
          <w:tcPr>
            <w:tcW w:w="1725" w:type="dxa"/>
          </w:tcPr>
          <w:p>
            <w:pPr>
              <w:pStyle w:val="TableParagraph"/>
              <w:ind w:left="242" w:right="355"/>
              <w:jc w:val="center"/>
              <w:rPr>
                <w:b/>
                <w:sz w:val="20"/>
              </w:rPr>
            </w:pPr>
            <w:r>
              <w:rPr>
                <w:b/>
                <w:sz w:val="20"/>
              </w:rPr>
              <w:t>0.870</w:t>
            </w:r>
          </w:p>
        </w:tc>
        <w:tc>
          <w:tcPr>
            <w:tcW w:w="1496" w:type="dxa"/>
          </w:tcPr>
          <w:p>
            <w:pPr>
              <w:pStyle w:val="TableParagraph"/>
              <w:spacing w:line="225" w:lineRule="exact"/>
              <w:ind w:left="357" w:right="228"/>
              <w:jc w:val="center"/>
              <w:rPr>
                <w:sz w:val="20"/>
              </w:rPr>
            </w:pPr>
            <w:r>
              <w:rPr>
                <w:sz w:val="20"/>
              </w:rPr>
              <w:t>5.74</w:t>
            </w:r>
          </w:p>
        </w:tc>
        <w:tc>
          <w:tcPr>
            <w:tcW w:w="1767" w:type="dxa"/>
          </w:tcPr>
          <w:p>
            <w:pPr>
              <w:pStyle w:val="TableParagraph"/>
              <w:spacing w:line="225" w:lineRule="exact"/>
              <w:ind w:right="542"/>
              <w:jc w:val="right"/>
              <w:rPr>
                <w:sz w:val="20"/>
              </w:rPr>
            </w:pPr>
            <w:r>
              <w:rPr>
                <w:w w:val="95"/>
                <w:sz w:val="20"/>
              </w:rPr>
              <w:t>494.26</w:t>
            </w:r>
          </w:p>
        </w:tc>
      </w:tr>
      <w:tr>
        <w:trPr>
          <w:trHeight w:val="250" w:hRule="exact"/>
        </w:trPr>
        <w:tc>
          <w:tcPr>
            <w:tcW w:w="1446" w:type="dxa"/>
          </w:tcPr>
          <w:p>
            <w:pPr>
              <w:pStyle w:val="TableParagraph"/>
              <w:spacing w:line="226" w:lineRule="exact"/>
              <w:ind w:left="64"/>
              <w:jc w:val="center"/>
              <w:rPr>
                <w:sz w:val="20"/>
              </w:rPr>
            </w:pPr>
            <w:r>
              <w:rPr>
                <w:w w:val="99"/>
                <w:sz w:val="20"/>
              </w:rPr>
              <w:t>3</w:t>
            </w:r>
          </w:p>
        </w:tc>
        <w:tc>
          <w:tcPr>
            <w:tcW w:w="1869" w:type="dxa"/>
          </w:tcPr>
          <w:p>
            <w:pPr>
              <w:pStyle w:val="TableParagraph"/>
              <w:spacing w:line="226" w:lineRule="exact"/>
              <w:ind w:left="673"/>
              <w:rPr>
                <w:sz w:val="20"/>
              </w:rPr>
            </w:pPr>
            <w:r>
              <w:rPr>
                <w:sz w:val="20"/>
              </w:rPr>
              <w:t>0.101</w:t>
            </w:r>
          </w:p>
        </w:tc>
        <w:tc>
          <w:tcPr>
            <w:tcW w:w="1725" w:type="dxa"/>
          </w:tcPr>
          <w:p>
            <w:pPr>
              <w:pStyle w:val="TableParagraph"/>
              <w:spacing w:before="1"/>
              <w:ind w:left="242" w:right="355"/>
              <w:jc w:val="center"/>
              <w:rPr>
                <w:b/>
                <w:sz w:val="20"/>
              </w:rPr>
            </w:pPr>
            <w:r>
              <w:rPr>
                <w:b/>
                <w:sz w:val="20"/>
              </w:rPr>
              <w:t>0.505</w:t>
            </w:r>
          </w:p>
        </w:tc>
        <w:tc>
          <w:tcPr>
            <w:tcW w:w="1496" w:type="dxa"/>
          </w:tcPr>
          <w:p>
            <w:pPr>
              <w:pStyle w:val="TableParagraph"/>
              <w:spacing w:line="226" w:lineRule="exact"/>
              <w:ind w:left="357" w:right="228"/>
              <w:jc w:val="center"/>
              <w:rPr>
                <w:sz w:val="20"/>
              </w:rPr>
            </w:pPr>
            <w:r>
              <w:rPr>
                <w:sz w:val="20"/>
              </w:rPr>
              <w:t>9.90</w:t>
            </w:r>
          </w:p>
        </w:tc>
        <w:tc>
          <w:tcPr>
            <w:tcW w:w="1767" w:type="dxa"/>
          </w:tcPr>
          <w:p>
            <w:pPr>
              <w:pStyle w:val="TableParagraph"/>
              <w:spacing w:line="226" w:lineRule="exact"/>
              <w:ind w:right="542"/>
              <w:jc w:val="right"/>
              <w:rPr>
                <w:sz w:val="20"/>
              </w:rPr>
            </w:pPr>
            <w:r>
              <w:rPr>
                <w:w w:val="95"/>
                <w:sz w:val="20"/>
              </w:rPr>
              <w:t>490.10</w:t>
            </w:r>
          </w:p>
        </w:tc>
      </w:tr>
      <w:tr>
        <w:trPr>
          <w:trHeight w:val="250" w:hRule="exact"/>
        </w:trPr>
        <w:tc>
          <w:tcPr>
            <w:tcW w:w="1446" w:type="dxa"/>
          </w:tcPr>
          <w:p>
            <w:pPr>
              <w:pStyle w:val="TableParagraph"/>
              <w:spacing w:line="226" w:lineRule="exact"/>
              <w:ind w:left="64"/>
              <w:jc w:val="center"/>
              <w:rPr>
                <w:sz w:val="20"/>
              </w:rPr>
            </w:pPr>
            <w:r>
              <w:rPr>
                <w:w w:val="99"/>
                <w:sz w:val="20"/>
              </w:rPr>
              <w:t>4</w:t>
            </w:r>
          </w:p>
        </w:tc>
        <w:tc>
          <w:tcPr>
            <w:tcW w:w="1869" w:type="dxa"/>
          </w:tcPr>
          <w:p>
            <w:pPr>
              <w:pStyle w:val="TableParagraph"/>
              <w:spacing w:line="226" w:lineRule="exact"/>
              <w:ind w:left="673"/>
              <w:rPr>
                <w:sz w:val="20"/>
              </w:rPr>
            </w:pPr>
            <w:r>
              <w:rPr>
                <w:sz w:val="20"/>
              </w:rPr>
              <w:t>0.078</w:t>
            </w:r>
          </w:p>
        </w:tc>
        <w:tc>
          <w:tcPr>
            <w:tcW w:w="1725" w:type="dxa"/>
          </w:tcPr>
          <w:p>
            <w:pPr>
              <w:pStyle w:val="TableParagraph"/>
              <w:spacing w:before="1"/>
              <w:ind w:left="242" w:right="355"/>
              <w:jc w:val="center"/>
              <w:rPr>
                <w:b/>
                <w:sz w:val="20"/>
              </w:rPr>
            </w:pPr>
            <w:r>
              <w:rPr>
                <w:b/>
                <w:sz w:val="20"/>
              </w:rPr>
              <w:t>0.390</w:t>
            </w:r>
          </w:p>
        </w:tc>
        <w:tc>
          <w:tcPr>
            <w:tcW w:w="1496" w:type="dxa"/>
          </w:tcPr>
          <w:p>
            <w:pPr>
              <w:pStyle w:val="TableParagraph"/>
              <w:spacing w:line="226" w:lineRule="exact"/>
              <w:ind w:left="357" w:right="228"/>
              <w:jc w:val="center"/>
              <w:rPr>
                <w:sz w:val="20"/>
              </w:rPr>
            </w:pPr>
            <w:r>
              <w:rPr>
                <w:sz w:val="20"/>
              </w:rPr>
              <w:t>12.82</w:t>
            </w:r>
          </w:p>
        </w:tc>
        <w:tc>
          <w:tcPr>
            <w:tcW w:w="1767" w:type="dxa"/>
          </w:tcPr>
          <w:p>
            <w:pPr>
              <w:pStyle w:val="TableParagraph"/>
              <w:spacing w:line="226" w:lineRule="exact"/>
              <w:ind w:right="542"/>
              <w:jc w:val="right"/>
              <w:rPr>
                <w:sz w:val="20"/>
              </w:rPr>
            </w:pPr>
            <w:r>
              <w:rPr>
                <w:w w:val="95"/>
                <w:sz w:val="20"/>
              </w:rPr>
              <w:t>487.18</w:t>
            </w:r>
          </w:p>
        </w:tc>
      </w:tr>
      <w:tr>
        <w:trPr>
          <w:trHeight w:val="249" w:hRule="exact"/>
        </w:trPr>
        <w:tc>
          <w:tcPr>
            <w:tcW w:w="1446" w:type="dxa"/>
          </w:tcPr>
          <w:p>
            <w:pPr>
              <w:pStyle w:val="TableParagraph"/>
              <w:spacing w:line="227" w:lineRule="exact"/>
              <w:ind w:left="64"/>
              <w:jc w:val="center"/>
              <w:rPr>
                <w:sz w:val="20"/>
              </w:rPr>
            </w:pPr>
            <w:r>
              <w:rPr>
                <w:w w:val="99"/>
                <w:sz w:val="20"/>
              </w:rPr>
              <w:t>5</w:t>
            </w:r>
          </w:p>
        </w:tc>
        <w:tc>
          <w:tcPr>
            <w:tcW w:w="1869" w:type="dxa"/>
          </w:tcPr>
          <w:p>
            <w:pPr>
              <w:pStyle w:val="TableParagraph"/>
              <w:spacing w:line="227" w:lineRule="exact"/>
              <w:ind w:left="673"/>
              <w:rPr>
                <w:sz w:val="20"/>
              </w:rPr>
            </w:pPr>
            <w:r>
              <w:rPr>
                <w:sz w:val="20"/>
              </w:rPr>
              <w:t>0.184</w:t>
            </w:r>
          </w:p>
        </w:tc>
        <w:tc>
          <w:tcPr>
            <w:tcW w:w="1725" w:type="dxa"/>
          </w:tcPr>
          <w:p>
            <w:pPr>
              <w:pStyle w:val="TableParagraph"/>
              <w:spacing w:before="1"/>
              <w:ind w:left="242" w:right="355"/>
              <w:jc w:val="center"/>
              <w:rPr>
                <w:b/>
                <w:sz w:val="20"/>
              </w:rPr>
            </w:pPr>
            <w:r>
              <w:rPr>
                <w:b/>
                <w:sz w:val="20"/>
              </w:rPr>
              <w:t>0.920</w:t>
            </w:r>
          </w:p>
        </w:tc>
        <w:tc>
          <w:tcPr>
            <w:tcW w:w="1496" w:type="dxa"/>
          </w:tcPr>
          <w:p>
            <w:pPr>
              <w:pStyle w:val="TableParagraph"/>
              <w:spacing w:line="227" w:lineRule="exact"/>
              <w:ind w:left="357" w:right="228"/>
              <w:jc w:val="center"/>
              <w:rPr>
                <w:sz w:val="20"/>
              </w:rPr>
            </w:pPr>
            <w:r>
              <w:rPr>
                <w:sz w:val="20"/>
              </w:rPr>
              <w:t>5.43</w:t>
            </w:r>
          </w:p>
        </w:tc>
        <w:tc>
          <w:tcPr>
            <w:tcW w:w="1767" w:type="dxa"/>
          </w:tcPr>
          <w:p>
            <w:pPr>
              <w:pStyle w:val="TableParagraph"/>
              <w:spacing w:line="227" w:lineRule="exact"/>
              <w:ind w:right="542"/>
              <w:jc w:val="right"/>
              <w:rPr>
                <w:sz w:val="20"/>
              </w:rPr>
            </w:pPr>
            <w:r>
              <w:rPr>
                <w:w w:val="95"/>
                <w:sz w:val="20"/>
              </w:rPr>
              <w:t>494.57</w:t>
            </w:r>
          </w:p>
        </w:tc>
      </w:tr>
      <w:tr>
        <w:trPr>
          <w:trHeight w:val="248" w:hRule="exact"/>
        </w:trPr>
        <w:tc>
          <w:tcPr>
            <w:tcW w:w="1446" w:type="dxa"/>
          </w:tcPr>
          <w:p>
            <w:pPr>
              <w:pStyle w:val="TableParagraph"/>
              <w:spacing w:line="225" w:lineRule="exact"/>
              <w:ind w:left="64"/>
              <w:jc w:val="center"/>
              <w:rPr>
                <w:sz w:val="20"/>
              </w:rPr>
            </w:pPr>
            <w:r>
              <w:rPr>
                <w:w w:val="99"/>
                <w:sz w:val="20"/>
              </w:rPr>
              <w:t>6</w:t>
            </w:r>
          </w:p>
        </w:tc>
        <w:tc>
          <w:tcPr>
            <w:tcW w:w="1869" w:type="dxa"/>
          </w:tcPr>
          <w:p>
            <w:pPr>
              <w:pStyle w:val="TableParagraph"/>
              <w:spacing w:line="225" w:lineRule="exact"/>
              <w:ind w:left="673"/>
              <w:rPr>
                <w:sz w:val="20"/>
              </w:rPr>
            </w:pPr>
            <w:r>
              <w:rPr>
                <w:sz w:val="20"/>
              </w:rPr>
              <w:t>0.128</w:t>
            </w:r>
          </w:p>
        </w:tc>
        <w:tc>
          <w:tcPr>
            <w:tcW w:w="1725" w:type="dxa"/>
          </w:tcPr>
          <w:p>
            <w:pPr>
              <w:pStyle w:val="TableParagraph"/>
              <w:ind w:left="242" w:right="355"/>
              <w:jc w:val="center"/>
              <w:rPr>
                <w:b/>
                <w:sz w:val="20"/>
              </w:rPr>
            </w:pPr>
            <w:r>
              <w:rPr>
                <w:b/>
                <w:sz w:val="20"/>
              </w:rPr>
              <w:t>0.640</w:t>
            </w:r>
          </w:p>
        </w:tc>
        <w:tc>
          <w:tcPr>
            <w:tcW w:w="1496" w:type="dxa"/>
          </w:tcPr>
          <w:p>
            <w:pPr>
              <w:pStyle w:val="TableParagraph"/>
              <w:spacing w:line="225" w:lineRule="exact"/>
              <w:ind w:left="357" w:right="228"/>
              <w:jc w:val="center"/>
              <w:rPr>
                <w:sz w:val="20"/>
              </w:rPr>
            </w:pPr>
            <w:r>
              <w:rPr>
                <w:sz w:val="20"/>
              </w:rPr>
              <w:t>7.81</w:t>
            </w:r>
          </w:p>
        </w:tc>
        <w:tc>
          <w:tcPr>
            <w:tcW w:w="1767" w:type="dxa"/>
          </w:tcPr>
          <w:p>
            <w:pPr>
              <w:pStyle w:val="TableParagraph"/>
              <w:spacing w:line="225" w:lineRule="exact"/>
              <w:ind w:right="542"/>
              <w:jc w:val="right"/>
              <w:rPr>
                <w:sz w:val="20"/>
              </w:rPr>
            </w:pPr>
            <w:r>
              <w:rPr>
                <w:w w:val="95"/>
                <w:sz w:val="20"/>
              </w:rPr>
              <w:t>492.19</w:t>
            </w:r>
          </w:p>
        </w:tc>
      </w:tr>
      <w:tr>
        <w:trPr>
          <w:trHeight w:val="250" w:hRule="exact"/>
        </w:trPr>
        <w:tc>
          <w:tcPr>
            <w:tcW w:w="1446" w:type="dxa"/>
          </w:tcPr>
          <w:p>
            <w:pPr>
              <w:pStyle w:val="TableParagraph"/>
              <w:spacing w:line="226" w:lineRule="exact"/>
              <w:ind w:left="64"/>
              <w:jc w:val="center"/>
              <w:rPr>
                <w:sz w:val="20"/>
              </w:rPr>
            </w:pPr>
            <w:r>
              <w:rPr>
                <w:w w:val="99"/>
                <w:sz w:val="20"/>
              </w:rPr>
              <w:t>7</w:t>
            </w:r>
          </w:p>
        </w:tc>
        <w:tc>
          <w:tcPr>
            <w:tcW w:w="1869" w:type="dxa"/>
          </w:tcPr>
          <w:p>
            <w:pPr>
              <w:pStyle w:val="TableParagraph"/>
              <w:spacing w:line="226" w:lineRule="exact"/>
              <w:ind w:left="673"/>
              <w:rPr>
                <w:sz w:val="20"/>
              </w:rPr>
            </w:pPr>
            <w:r>
              <w:rPr>
                <w:sz w:val="20"/>
              </w:rPr>
              <w:t>0.160</w:t>
            </w:r>
          </w:p>
        </w:tc>
        <w:tc>
          <w:tcPr>
            <w:tcW w:w="1725" w:type="dxa"/>
          </w:tcPr>
          <w:p>
            <w:pPr>
              <w:pStyle w:val="TableParagraph"/>
              <w:spacing w:before="1"/>
              <w:ind w:left="242" w:right="355"/>
              <w:jc w:val="center"/>
              <w:rPr>
                <w:b/>
                <w:sz w:val="20"/>
              </w:rPr>
            </w:pPr>
            <w:r>
              <w:rPr>
                <w:b/>
                <w:sz w:val="20"/>
              </w:rPr>
              <w:t>0.800</w:t>
            </w:r>
          </w:p>
        </w:tc>
        <w:tc>
          <w:tcPr>
            <w:tcW w:w="1496" w:type="dxa"/>
          </w:tcPr>
          <w:p>
            <w:pPr>
              <w:pStyle w:val="TableParagraph"/>
              <w:spacing w:line="226" w:lineRule="exact"/>
              <w:ind w:left="357" w:right="228"/>
              <w:jc w:val="center"/>
              <w:rPr>
                <w:sz w:val="20"/>
              </w:rPr>
            </w:pPr>
            <w:r>
              <w:rPr>
                <w:sz w:val="20"/>
              </w:rPr>
              <w:t>6.25</w:t>
            </w:r>
          </w:p>
        </w:tc>
        <w:tc>
          <w:tcPr>
            <w:tcW w:w="1767" w:type="dxa"/>
          </w:tcPr>
          <w:p>
            <w:pPr>
              <w:pStyle w:val="TableParagraph"/>
              <w:spacing w:line="226" w:lineRule="exact"/>
              <w:ind w:right="542"/>
              <w:jc w:val="right"/>
              <w:rPr>
                <w:sz w:val="20"/>
              </w:rPr>
            </w:pPr>
            <w:r>
              <w:rPr>
                <w:w w:val="95"/>
                <w:sz w:val="20"/>
              </w:rPr>
              <w:t>493.75</w:t>
            </w:r>
          </w:p>
        </w:tc>
      </w:tr>
      <w:tr>
        <w:trPr>
          <w:trHeight w:val="250" w:hRule="exact"/>
        </w:trPr>
        <w:tc>
          <w:tcPr>
            <w:tcW w:w="1446" w:type="dxa"/>
          </w:tcPr>
          <w:p>
            <w:pPr>
              <w:pStyle w:val="TableParagraph"/>
              <w:spacing w:line="226" w:lineRule="exact"/>
              <w:ind w:left="64"/>
              <w:jc w:val="center"/>
              <w:rPr>
                <w:sz w:val="20"/>
              </w:rPr>
            </w:pPr>
            <w:r>
              <w:rPr>
                <w:w w:val="99"/>
                <w:sz w:val="20"/>
              </w:rPr>
              <w:t>8</w:t>
            </w:r>
          </w:p>
        </w:tc>
        <w:tc>
          <w:tcPr>
            <w:tcW w:w="1869" w:type="dxa"/>
          </w:tcPr>
          <w:p>
            <w:pPr>
              <w:pStyle w:val="TableParagraph"/>
              <w:spacing w:line="226" w:lineRule="exact"/>
              <w:ind w:left="673"/>
              <w:rPr>
                <w:sz w:val="20"/>
              </w:rPr>
            </w:pPr>
            <w:r>
              <w:rPr>
                <w:sz w:val="20"/>
              </w:rPr>
              <w:t>0.117</w:t>
            </w:r>
          </w:p>
        </w:tc>
        <w:tc>
          <w:tcPr>
            <w:tcW w:w="1725" w:type="dxa"/>
          </w:tcPr>
          <w:p>
            <w:pPr>
              <w:pStyle w:val="TableParagraph"/>
              <w:spacing w:before="1"/>
              <w:ind w:left="242" w:right="355"/>
              <w:jc w:val="center"/>
              <w:rPr>
                <w:b/>
                <w:sz w:val="20"/>
              </w:rPr>
            </w:pPr>
            <w:r>
              <w:rPr>
                <w:b/>
                <w:sz w:val="20"/>
              </w:rPr>
              <w:t>0.585</w:t>
            </w:r>
          </w:p>
        </w:tc>
        <w:tc>
          <w:tcPr>
            <w:tcW w:w="1496" w:type="dxa"/>
          </w:tcPr>
          <w:p>
            <w:pPr>
              <w:pStyle w:val="TableParagraph"/>
              <w:spacing w:line="226" w:lineRule="exact"/>
              <w:ind w:left="357" w:right="228"/>
              <w:jc w:val="center"/>
              <w:rPr>
                <w:sz w:val="20"/>
              </w:rPr>
            </w:pPr>
            <w:r>
              <w:rPr>
                <w:sz w:val="20"/>
              </w:rPr>
              <w:t>8.54</w:t>
            </w:r>
          </w:p>
        </w:tc>
        <w:tc>
          <w:tcPr>
            <w:tcW w:w="1767" w:type="dxa"/>
          </w:tcPr>
          <w:p>
            <w:pPr>
              <w:pStyle w:val="TableParagraph"/>
              <w:spacing w:line="226" w:lineRule="exact"/>
              <w:ind w:right="542"/>
              <w:jc w:val="right"/>
              <w:rPr>
                <w:sz w:val="20"/>
              </w:rPr>
            </w:pPr>
            <w:r>
              <w:rPr>
                <w:w w:val="95"/>
                <w:sz w:val="20"/>
              </w:rPr>
              <w:t>491.46</w:t>
            </w:r>
          </w:p>
        </w:tc>
      </w:tr>
      <w:tr>
        <w:trPr>
          <w:trHeight w:val="248" w:hRule="exact"/>
        </w:trPr>
        <w:tc>
          <w:tcPr>
            <w:tcW w:w="1446" w:type="dxa"/>
          </w:tcPr>
          <w:p>
            <w:pPr>
              <w:pStyle w:val="TableParagraph"/>
              <w:spacing w:line="226" w:lineRule="exact"/>
              <w:ind w:left="64"/>
              <w:jc w:val="center"/>
              <w:rPr>
                <w:sz w:val="20"/>
              </w:rPr>
            </w:pPr>
            <w:r>
              <w:rPr>
                <w:w w:val="99"/>
                <w:sz w:val="20"/>
              </w:rPr>
              <w:t>9</w:t>
            </w:r>
          </w:p>
        </w:tc>
        <w:tc>
          <w:tcPr>
            <w:tcW w:w="1869" w:type="dxa"/>
          </w:tcPr>
          <w:p>
            <w:pPr>
              <w:pStyle w:val="TableParagraph"/>
              <w:spacing w:line="226" w:lineRule="exact"/>
              <w:ind w:left="673"/>
              <w:rPr>
                <w:sz w:val="20"/>
              </w:rPr>
            </w:pPr>
            <w:r>
              <w:rPr>
                <w:sz w:val="20"/>
              </w:rPr>
              <w:t>0.091</w:t>
            </w:r>
          </w:p>
        </w:tc>
        <w:tc>
          <w:tcPr>
            <w:tcW w:w="1725" w:type="dxa"/>
          </w:tcPr>
          <w:p>
            <w:pPr>
              <w:pStyle w:val="TableParagraph"/>
              <w:spacing w:before="1"/>
              <w:ind w:left="242" w:right="355"/>
              <w:jc w:val="center"/>
              <w:rPr>
                <w:b/>
                <w:sz w:val="20"/>
              </w:rPr>
            </w:pPr>
            <w:r>
              <w:rPr>
                <w:b/>
                <w:sz w:val="20"/>
              </w:rPr>
              <w:t>0.455</w:t>
            </w:r>
          </w:p>
        </w:tc>
        <w:tc>
          <w:tcPr>
            <w:tcW w:w="1496" w:type="dxa"/>
          </w:tcPr>
          <w:p>
            <w:pPr>
              <w:pStyle w:val="TableParagraph"/>
              <w:spacing w:line="226" w:lineRule="exact"/>
              <w:ind w:left="357" w:right="228"/>
              <w:jc w:val="center"/>
              <w:rPr>
                <w:sz w:val="20"/>
              </w:rPr>
            </w:pPr>
            <w:r>
              <w:rPr>
                <w:sz w:val="20"/>
              </w:rPr>
              <w:t>10.98</w:t>
            </w:r>
          </w:p>
        </w:tc>
        <w:tc>
          <w:tcPr>
            <w:tcW w:w="1767" w:type="dxa"/>
          </w:tcPr>
          <w:p>
            <w:pPr>
              <w:pStyle w:val="TableParagraph"/>
              <w:spacing w:line="226" w:lineRule="exact"/>
              <w:ind w:right="542"/>
              <w:jc w:val="right"/>
              <w:rPr>
                <w:sz w:val="20"/>
              </w:rPr>
            </w:pPr>
            <w:r>
              <w:rPr>
                <w:w w:val="95"/>
                <w:sz w:val="20"/>
              </w:rPr>
              <w:t>489.02</w:t>
            </w:r>
          </w:p>
        </w:tc>
      </w:tr>
      <w:tr>
        <w:trPr>
          <w:trHeight w:val="248" w:hRule="exact"/>
        </w:trPr>
        <w:tc>
          <w:tcPr>
            <w:tcW w:w="1446" w:type="dxa"/>
          </w:tcPr>
          <w:p>
            <w:pPr>
              <w:pStyle w:val="TableParagraph"/>
              <w:spacing w:line="225" w:lineRule="exact"/>
              <w:ind w:left="233" w:right="167"/>
              <w:jc w:val="center"/>
              <w:rPr>
                <w:sz w:val="20"/>
              </w:rPr>
            </w:pPr>
            <w:r>
              <w:rPr>
                <w:sz w:val="20"/>
              </w:rPr>
              <w:t>10</w:t>
            </w:r>
          </w:p>
        </w:tc>
        <w:tc>
          <w:tcPr>
            <w:tcW w:w="1869" w:type="dxa"/>
          </w:tcPr>
          <w:p>
            <w:pPr>
              <w:pStyle w:val="TableParagraph"/>
              <w:spacing w:line="225" w:lineRule="exact"/>
              <w:ind w:left="673"/>
              <w:rPr>
                <w:sz w:val="20"/>
              </w:rPr>
            </w:pPr>
            <w:r>
              <w:rPr>
                <w:sz w:val="20"/>
              </w:rPr>
              <w:t>0.171</w:t>
            </w:r>
          </w:p>
        </w:tc>
        <w:tc>
          <w:tcPr>
            <w:tcW w:w="1725" w:type="dxa"/>
          </w:tcPr>
          <w:p>
            <w:pPr>
              <w:pStyle w:val="TableParagraph"/>
              <w:ind w:left="242" w:right="355"/>
              <w:jc w:val="center"/>
              <w:rPr>
                <w:b/>
                <w:sz w:val="20"/>
              </w:rPr>
            </w:pPr>
            <w:r>
              <w:rPr>
                <w:b/>
                <w:sz w:val="20"/>
              </w:rPr>
              <w:t>0.885</w:t>
            </w:r>
          </w:p>
        </w:tc>
        <w:tc>
          <w:tcPr>
            <w:tcW w:w="1496" w:type="dxa"/>
          </w:tcPr>
          <w:p>
            <w:pPr>
              <w:pStyle w:val="TableParagraph"/>
              <w:spacing w:line="225" w:lineRule="exact"/>
              <w:ind w:left="357" w:right="228"/>
              <w:jc w:val="center"/>
              <w:rPr>
                <w:sz w:val="20"/>
              </w:rPr>
            </w:pPr>
            <w:r>
              <w:rPr>
                <w:sz w:val="20"/>
              </w:rPr>
              <w:t>5.84</w:t>
            </w:r>
          </w:p>
        </w:tc>
        <w:tc>
          <w:tcPr>
            <w:tcW w:w="1767" w:type="dxa"/>
          </w:tcPr>
          <w:p>
            <w:pPr>
              <w:pStyle w:val="TableParagraph"/>
              <w:spacing w:line="225" w:lineRule="exact"/>
              <w:ind w:right="542"/>
              <w:jc w:val="right"/>
              <w:rPr>
                <w:sz w:val="20"/>
              </w:rPr>
            </w:pPr>
            <w:r>
              <w:rPr>
                <w:w w:val="95"/>
                <w:sz w:val="20"/>
              </w:rPr>
              <w:t>494.16</w:t>
            </w:r>
          </w:p>
        </w:tc>
      </w:tr>
      <w:tr>
        <w:trPr>
          <w:trHeight w:val="250" w:hRule="exact"/>
        </w:trPr>
        <w:tc>
          <w:tcPr>
            <w:tcW w:w="1446" w:type="dxa"/>
          </w:tcPr>
          <w:p>
            <w:pPr>
              <w:pStyle w:val="TableParagraph"/>
              <w:spacing w:line="226" w:lineRule="exact"/>
              <w:ind w:left="233" w:right="167"/>
              <w:jc w:val="center"/>
              <w:rPr>
                <w:sz w:val="20"/>
              </w:rPr>
            </w:pPr>
            <w:r>
              <w:rPr>
                <w:sz w:val="20"/>
              </w:rPr>
              <w:t>11</w:t>
            </w:r>
          </w:p>
        </w:tc>
        <w:tc>
          <w:tcPr>
            <w:tcW w:w="1869" w:type="dxa"/>
          </w:tcPr>
          <w:p>
            <w:pPr>
              <w:pStyle w:val="TableParagraph"/>
              <w:spacing w:line="226" w:lineRule="exact"/>
              <w:ind w:left="673"/>
              <w:rPr>
                <w:sz w:val="20"/>
              </w:rPr>
            </w:pPr>
            <w:r>
              <w:rPr>
                <w:sz w:val="20"/>
              </w:rPr>
              <w:t>0.143</w:t>
            </w:r>
          </w:p>
        </w:tc>
        <w:tc>
          <w:tcPr>
            <w:tcW w:w="1725" w:type="dxa"/>
          </w:tcPr>
          <w:p>
            <w:pPr>
              <w:pStyle w:val="TableParagraph"/>
              <w:spacing w:before="1"/>
              <w:ind w:left="242" w:right="355"/>
              <w:jc w:val="center"/>
              <w:rPr>
                <w:b/>
                <w:sz w:val="20"/>
              </w:rPr>
            </w:pPr>
            <w:r>
              <w:rPr>
                <w:b/>
                <w:sz w:val="20"/>
              </w:rPr>
              <w:t>0.715</w:t>
            </w:r>
          </w:p>
        </w:tc>
        <w:tc>
          <w:tcPr>
            <w:tcW w:w="1496" w:type="dxa"/>
          </w:tcPr>
          <w:p>
            <w:pPr>
              <w:pStyle w:val="TableParagraph"/>
              <w:spacing w:line="226" w:lineRule="exact"/>
              <w:ind w:left="357" w:right="228"/>
              <w:jc w:val="center"/>
              <w:rPr>
                <w:sz w:val="20"/>
              </w:rPr>
            </w:pPr>
            <w:r>
              <w:rPr>
                <w:sz w:val="20"/>
              </w:rPr>
              <w:t>6.99</w:t>
            </w:r>
          </w:p>
        </w:tc>
        <w:tc>
          <w:tcPr>
            <w:tcW w:w="1767" w:type="dxa"/>
          </w:tcPr>
          <w:p>
            <w:pPr>
              <w:pStyle w:val="TableParagraph"/>
              <w:spacing w:line="226" w:lineRule="exact"/>
              <w:ind w:right="542"/>
              <w:jc w:val="right"/>
              <w:rPr>
                <w:sz w:val="20"/>
              </w:rPr>
            </w:pPr>
            <w:r>
              <w:rPr>
                <w:w w:val="95"/>
                <w:sz w:val="20"/>
              </w:rPr>
              <w:t>493.01</w:t>
            </w:r>
          </w:p>
        </w:tc>
      </w:tr>
      <w:tr>
        <w:trPr>
          <w:trHeight w:val="250" w:hRule="exact"/>
        </w:trPr>
        <w:tc>
          <w:tcPr>
            <w:tcW w:w="1446" w:type="dxa"/>
          </w:tcPr>
          <w:p>
            <w:pPr>
              <w:pStyle w:val="TableParagraph"/>
              <w:spacing w:line="226" w:lineRule="exact"/>
              <w:ind w:left="233" w:right="167"/>
              <w:jc w:val="center"/>
              <w:rPr>
                <w:sz w:val="20"/>
              </w:rPr>
            </w:pPr>
            <w:r>
              <w:rPr>
                <w:sz w:val="20"/>
              </w:rPr>
              <w:t>12</w:t>
            </w:r>
          </w:p>
        </w:tc>
        <w:tc>
          <w:tcPr>
            <w:tcW w:w="1869" w:type="dxa"/>
          </w:tcPr>
          <w:p>
            <w:pPr>
              <w:pStyle w:val="TableParagraph"/>
              <w:spacing w:line="226" w:lineRule="exact"/>
              <w:ind w:left="673"/>
              <w:rPr>
                <w:sz w:val="20"/>
              </w:rPr>
            </w:pPr>
            <w:r>
              <w:rPr>
                <w:sz w:val="20"/>
              </w:rPr>
              <w:t>0.077</w:t>
            </w:r>
          </w:p>
        </w:tc>
        <w:tc>
          <w:tcPr>
            <w:tcW w:w="1725" w:type="dxa"/>
          </w:tcPr>
          <w:p>
            <w:pPr>
              <w:pStyle w:val="TableParagraph"/>
              <w:spacing w:before="1"/>
              <w:ind w:left="242" w:right="355"/>
              <w:jc w:val="center"/>
              <w:rPr>
                <w:b/>
                <w:sz w:val="20"/>
              </w:rPr>
            </w:pPr>
            <w:r>
              <w:rPr>
                <w:b/>
                <w:sz w:val="20"/>
              </w:rPr>
              <w:t>0.385</w:t>
            </w:r>
          </w:p>
        </w:tc>
        <w:tc>
          <w:tcPr>
            <w:tcW w:w="1496" w:type="dxa"/>
          </w:tcPr>
          <w:p>
            <w:pPr>
              <w:pStyle w:val="TableParagraph"/>
              <w:spacing w:line="226" w:lineRule="exact"/>
              <w:ind w:left="357" w:right="228"/>
              <w:jc w:val="center"/>
              <w:rPr>
                <w:sz w:val="20"/>
              </w:rPr>
            </w:pPr>
            <w:r>
              <w:rPr>
                <w:sz w:val="20"/>
              </w:rPr>
              <w:t>12.98</w:t>
            </w:r>
          </w:p>
        </w:tc>
        <w:tc>
          <w:tcPr>
            <w:tcW w:w="1767" w:type="dxa"/>
          </w:tcPr>
          <w:p>
            <w:pPr>
              <w:pStyle w:val="TableParagraph"/>
              <w:spacing w:line="226" w:lineRule="exact"/>
              <w:ind w:right="542"/>
              <w:jc w:val="right"/>
              <w:rPr>
                <w:sz w:val="20"/>
              </w:rPr>
            </w:pPr>
            <w:r>
              <w:rPr>
                <w:w w:val="95"/>
                <w:sz w:val="20"/>
              </w:rPr>
              <w:t>487.02</w:t>
            </w:r>
          </w:p>
        </w:tc>
      </w:tr>
      <w:tr>
        <w:trPr>
          <w:trHeight w:val="248" w:hRule="exact"/>
        </w:trPr>
        <w:tc>
          <w:tcPr>
            <w:tcW w:w="1446" w:type="dxa"/>
          </w:tcPr>
          <w:p>
            <w:pPr>
              <w:pStyle w:val="TableParagraph"/>
              <w:spacing w:line="226" w:lineRule="exact"/>
              <w:ind w:left="233" w:right="167"/>
              <w:jc w:val="center"/>
              <w:rPr>
                <w:sz w:val="20"/>
              </w:rPr>
            </w:pPr>
            <w:r>
              <w:rPr>
                <w:sz w:val="20"/>
              </w:rPr>
              <w:t>13</w:t>
            </w:r>
          </w:p>
        </w:tc>
        <w:tc>
          <w:tcPr>
            <w:tcW w:w="1869" w:type="dxa"/>
          </w:tcPr>
          <w:p>
            <w:pPr>
              <w:pStyle w:val="TableParagraph"/>
              <w:spacing w:line="226" w:lineRule="exact"/>
              <w:ind w:left="673"/>
              <w:rPr>
                <w:sz w:val="20"/>
              </w:rPr>
            </w:pPr>
            <w:r>
              <w:rPr>
                <w:sz w:val="20"/>
              </w:rPr>
              <w:t>0.095</w:t>
            </w:r>
          </w:p>
        </w:tc>
        <w:tc>
          <w:tcPr>
            <w:tcW w:w="1725" w:type="dxa"/>
          </w:tcPr>
          <w:p>
            <w:pPr>
              <w:pStyle w:val="TableParagraph"/>
              <w:spacing w:before="1"/>
              <w:ind w:left="242" w:right="355"/>
              <w:jc w:val="center"/>
              <w:rPr>
                <w:b/>
                <w:sz w:val="20"/>
              </w:rPr>
            </w:pPr>
            <w:r>
              <w:rPr>
                <w:b/>
                <w:sz w:val="20"/>
              </w:rPr>
              <w:t>0.475</w:t>
            </w:r>
          </w:p>
        </w:tc>
        <w:tc>
          <w:tcPr>
            <w:tcW w:w="1496" w:type="dxa"/>
          </w:tcPr>
          <w:p>
            <w:pPr>
              <w:pStyle w:val="TableParagraph"/>
              <w:spacing w:line="226" w:lineRule="exact"/>
              <w:ind w:left="357" w:right="228"/>
              <w:jc w:val="center"/>
              <w:rPr>
                <w:sz w:val="20"/>
              </w:rPr>
            </w:pPr>
            <w:r>
              <w:rPr>
                <w:sz w:val="20"/>
              </w:rPr>
              <w:t>10.52</w:t>
            </w:r>
          </w:p>
        </w:tc>
        <w:tc>
          <w:tcPr>
            <w:tcW w:w="1767" w:type="dxa"/>
          </w:tcPr>
          <w:p>
            <w:pPr>
              <w:pStyle w:val="TableParagraph"/>
              <w:spacing w:line="226" w:lineRule="exact"/>
              <w:ind w:right="542"/>
              <w:jc w:val="right"/>
              <w:rPr>
                <w:sz w:val="20"/>
              </w:rPr>
            </w:pPr>
            <w:r>
              <w:rPr>
                <w:w w:val="95"/>
                <w:sz w:val="20"/>
              </w:rPr>
              <w:t>489.48</w:t>
            </w:r>
          </w:p>
        </w:tc>
      </w:tr>
      <w:tr>
        <w:trPr>
          <w:trHeight w:val="248" w:hRule="exact"/>
        </w:trPr>
        <w:tc>
          <w:tcPr>
            <w:tcW w:w="1446" w:type="dxa"/>
          </w:tcPr>
          <w:p>
            <w:pPr>
              <w:pStyle w:val="TableParagraph"/>
              <w:spacing w:line="225" w:lineRule="exact"/>
              <w:ind w:left="233" w:right="167"/>
              <w:jc w:val="center"/>
              <w:rPr>
                <w:sz w:val="20"/>
              </w:rPr>
            </w:pPr>
            <w:r>
              <w:rPr>
                <w:sz w:val="20"/>
              </w:rPr>
              <w:t>14</w:t>
            </w:r>
          </w:p>
        </w:tc>
        <w:tc>
          <w:tcPr>
            <w:tcW w:w="1869" w:type="dxa"/>
          </w:tcPr>
          <w:p>
            <w:pPr>
              <w:pStyle w:val="TableParagraph"/>
              <w:spacing w:line="225" w:lineRule="exact"/>
              <w:ind w:left="673"/>
              <w:rPr>
                <w:sz w:val="20"/>
              </w:rPr>
            </w:pPr>
            <w:r>
              <w:rPr>
                <w:sz w:val="20"/>
              </w:rPr>
              <w:t>0.143</w:t>
            </w:r>
          </w:p>
        </w:tc>
        <w:tc>
          <w:tcPr>
            <w:tcW w:w="1725" w:type="dxa"/>
          </w:tcPr>
          <w:p>
            <w:pPr>
              <w:pStyle w:val="TableParagraph"/>
              <w:ind w:left="242" w:right="355"/>
              <w:jc w:val="center"/>
              <w:rPr>
                <w:b/>
                <w:sz w:val="20"/>
              </w:rPr>
            </w:pPr>
            <w:r>
              <w:rPr>
                <w:b/>
                <w:sz w:val="20"/>
              </w:rPr>
              <w:t>0.715</w:t>
            </w:r>
          </w:p>
        </w:tc>
        <w:tc>
          <w:tcPr>
            <w:tcW w:w="1496" w:type="dxa"/>
          </w:tcPr>
          <w:p>
            <w:pPr>
              <w:pStyle w:val="TableParagraph"/>
              <w:spacing w:line="225" w:lineRule="exact"/>
              <w:ind w:left="357" w:right="228"/>
              <w:jc w:val="center"/>
              <w:rPr>
                <w:sz w:val="20"/>
              </w:rPr>
            </w:pPr>
            <w:r>
              <w:rPr>
                <w:sz w:val="20"/>
              </w:rPr>
              <w:t>6.99</w:t>
            </w:r>
          </w:p>
        </w:tc>
        <w:tc>
          <w:tcPr>
            <w:tcW w:w="1767" w:type="dxa"/>
          </w:tcPr>
          <w:p>
            <w:pPr>
              <w:pStyle w:val="TableParagraph"/>
              <w:spacing w:line="225" w:lineRule="exact"/>
              <w:ind w:right="542"/>
              <w:jc w:val="right"/>
              <w:rPr>
                <w:sz w:val="20"/>
              </w:rPr>
            </w:pPr>
            <w:r>
              <w:rPr>
                <w:w w:val="95"/>
                <w:sz w:val="20"/>
              </w:rPr>
              <w:t>493.01</w:t>
            </w:r>
          </w:p>
        </w:tc>
      </w:tr>
      <w:tr>
        <w:trPr>
          <w:trHeight w:val="250" w:hRule="exact"/>
        </w:trPr>
        <w:tc>
          <w:tcPr>
            <w:tcW w:w="1446" w:type="dxa"/>
          </w:tcPr>
          <w:p>
            <w:pPr>
              <w:pStyle w:val="TableParagraph"/>
              <w:spacing w:line="226" w:lineRule="exact"/>
              <w:ind w:left="233" w:right="167"/>
              <w:jc w:val="center"/>
              <w:rPr>
                <w:sz w:val="20"/>
              </w:rPr>
            </w:pPr>
            <w:r>
              <w:rPr>
                <w:sz w:val="20"/>
              </w:rPr>
              <w:t>15</w:t>
            </w:r>
          </w:p>
        </w:tc>
        <w:tc>
          <w:tcPr>
            <w:tcW w:w="1869" w:type="dxa"/>
          </w:tcPr>
          <w:p>
            <w:pPr>
              <w:pStyle w:val="TableParagraph"/>
              <w:spacing w:line="226" w:lineRule="exact"/>
              <w:ind w:left="673"/>
              <w:rPr>
                <w:sz w:val="20"/>
              </w:rPr>
            </w:pPr>
            <w:r>
              <w:rPr>
                <w:sz w:val="20"/>
              </w:rPr>
              <w:t>0.135</w:t>
            </w:r>
          </w:p>
        </w:tc>
        <w:tc>
          <w:tcPr>
            <w:tcW w:w="1725" w:type="dxa"/>
          </w:tcPr>
          <w:p>
            <w:pPr>
              <w:pStyle w:val="TableParagraph"/>
              <w:spacing w:before="1"/>
              <w:ind w:left="242" w:right="355"/>
              <w:jc w:val="center"/>
              <w:rPr>
                <w:b/>
                <w:sz w:val="20"/>
              </w:rPr>
            </w:pPr>
            <w:r>
              <w:rPr>
                <w:b/>
                <w:sz w:val="20"/>
              </w:rPr>
              <w:t>0.675</w:t>
            </w:r>
          </w:p>
        </w:tc>
        <w:tc>
          <w:tcPr>
            <w:tcW w:w="1496" w:type="dxa"/>
          </w:tcPr>
          <w:p>
            <w:pPr>
              <w:pStyle w:val="TableParagraph"/>
              <w:spacing w:line="226" w:lineRule="exact"/>
              <w:ind w:left="357" w:right="228"/>
              <w:jc w:val="center"/>
              <w:rPr>
                <w:sz w:val="20"/>
              </w:rPr>
            </w:pPr>
            <w:r>
              <w:rPr>
                <w:sz w:val="20"/>
              </w:rPr>
              <w:t>7.40</w:t>
            </w:r>
          </w:p>
        </w:tc>
        <w:tc>
          <w:tcPr>
            <w:tcW w:w="1767" w:type="dxa"/>
          </w:tcPr>
          <w:p>
            <w:pPr>
              <w:pStyle w:val="TableParagraph"/>
              <w:spacing w:line="226" w:lineRule="exact"/>
              <w:ind w:right="593"/>
              <w:jc w:val="right"/>
              <w:rPr>
                <w:sz w:val="20"/>
              </w:rPr>
            </w:pPr>
            <w:r>
              <w:rPr>
                <w:sz w:val="20"/>
              </w:rPr>
              <w:t>492.6</w:t>
            </w:r>
          </w:p>
        </w:tc>
      </w:tr>
      <w:tr>
        <w:trPr>
          <w:trHeight w:val="250" w:hRule="exact"/>
        </w:trPr>
        <w:tc>
          <w:tcPr>
            <w:tcW w:w="1446" w:type="dxa"/>
          </w:tcPr>
          <w:p>
            <w:pPr>
              <w:pStyle w:val="TableParagraph"/>
              <w:spacing w:line="226" w:lineRule="exact"/>
              <w:ind w:left="233" w:right="167"/>
              <w:jc w:val="center"/>
              <w:rPr>
                <w:sz w:val="20"/>
              </w:rPr>
            </w:pPr>
            <w:r>
              <w:rPr>
                <w:sz w:val="20"/>
              </w:rPr>
              <w:t>16</w:t>
            </w:r>
          </w:p>
        </w:tc>
        <w:tc>
          <w:tcPr>
            <w:tcW w:w="1869" w:type="dxa"/>
          </w:tcPr>
          <w:p>
            <w:pPr>
              <w:pStyle w:val="TableParagraph"/>
              <w:spacing w:line="226" w:lineRule="exact"/>
              <w:ind w:left="673"/>
              <w:rPr>
                <w:sz w:val="20"/>
              </w:rPr>
            </w:pPr>
            <w:r>
              <w:rPr>
                <w:sz w:val="20"/>
              </w:rPr>
              <w:t>0.152</w:t>
            </w:r>
          </w:p>
        </w:tc>
        <w:tc>
          <w:tcPr>
            <w:tcW w:w="1725" w:type="dxa"/>
          </w:tcPr>
          <w:p>
            <w:pPr>
              <w:pStyle w:val="TableParagraph"/>
              <w:spacing w:before="1"/>
              <w:ind w:left="242" w:right="355"/>
              <w:jc w:val="center"/>
              <w:rPr>
                <w:b/>
                <w:sz w:val="20"/>
              </w:rPr>
            </w:pPr>
            <w:r>
              <w:rPr>
                <w:b/>
                <w:sz w:val="20"/>
              </w:rPr>
              <w:t>0.760</w:t>
            </w:r>
          </w:p>
        </w:tc>
        <w:tc>
          <w:tcPr>
            <w:tcW w:w="1496" w:type="dxa"/>
          </w:tcPr>
          <w:p>
            <w:pPr>
              <w:pStyle w:val="TableParagraph"/>
              <w:spacing w:line="226" w:lineRule="exact"/>
              <w:ind w:left="357" w:right="228"/>
              <w:jc w:val="center"/>
              <w:rPr>
                <w:sz w:val="20"/>
              </w:rPr>
            </w:pPr>
            <w:r>
              <w:rPr>
                <w:sz w:val="20"/>
              </w:rPr>
              <w:t>6.57</w:t>
            </w:r>
          </w:p>
        </w:tc>
        <w:tc>
          <w:tcPr>
            <w:tcW w:w="1767" w:type="dxa"/>
          </w:tcPr>
          <w:p>
            <w:pPr>
              <w:pStyle w:val="TableParagraph"/>
              <w:spacing w:line="226" w:lineRule="exact"/>
              <w:ind w:right="542"/>
              <w:jc w:val="right"/>
              <w:rPr>
                <w:sz w:val="20"/>
              </w:rPr>
            </w:pPr>
            <w:r>
              <w:rPr>
                <w:w w:val="95"/>
                <w:sz w:val="20"/>
              </w:rPr>
              <w:t>493.43</w:t>
            </w:r>
          </w:p>
        </w:tc>
      </w:tr>
      <w:tr>
        <w:trPr>
          <w:trHeight w:val="248" w:hRule="exact"/>
        </w:trPr>
        <w:tc>
          <w:tcPr>
            <w:tcW w:w="1446" w:type="dxa"/>
          </w:tcPr>
          <w:p>
            <w:pPr>
              <w:pStyle w:val="TableParagraph"/>
              <w:spacing w:line="226" w:lineRule="exact"/>
              <w:ind w:left="233" w:right="167"/>
              <w:jc w:val="center"/>
              <w:rPr>
                <w:sz w:val="20"/>
              </w:rPr>
            </w:pPr>
            <w:r>
              <w:rPr>
                <w:sz w:val="20"/>
              </w:rPr>
              <w:t>17</w:t>
            </w:r>
          </w:p>
        </w:tc>
        <w:tc>
          <w:tcPr>
            <w:tcW w:w="1869" w:type="dxa"/>
          </w:tcPr>
          <w:p>
            <w:pPr>
              <w:pStyle w:val="TableParagraph"/>
              <w:spacing w:line="226" w:lineRule="exact"/>
              <w:ind w:left="673"/>
              <w:rPr>
                <w:sz w:val="20"/>
              </w:rPr>
            </w:pPr>
            <w:r>
              <w:rPr>
                <w:sz w:val="20"/>
              </w:rPr>
              <w:t>0.181</w:t>
            </w:r>
          </w:p>
        </w:tc>
        <w:tc>
          <w:tcPr>
            <w:tcW w:w="1725" w:type="dxa"/>
          </w:tcPr>
          <w:p>
            <w:pPr>
              <w:pStyle w:val="TableParagraph"/>
              <w:spacing w:before="1"/>
              <w:ind w:left="242" w:right="355"/>
              <w:jc w:val="center"/>
              <w:rPr>
                <w:b/>
                <w:sz w:val="20"/>
              </w:rPr>
            </w:pPr>
            <w:r>
              <w:rPr>
                <w:b/>
                <w:sz w:val="20"/>
              </w:rPr>
              <w:t>0.905</w:t>
            </w:r>
          </w:p>
        </w:tc>
        <w:tc>
          <w:tcPr>
            <w:tcW w:w="1496" w:type="dxa"/>
          </w:tcPr>
          <w:p>
            <w:pPr>
              <w:pStyle w:val="TableParagraph"/>
              <w:spacing w:line="226" w:lineRule="exact"/>
              <w:ind w:left="357" w:right="228"/>
              <w:jc w:val="center"/>
              <w:rPr>
                <w:sz w:val="20"/>
              </w:rPr>
            </w:pPr>
            <w:r>
              <w:rPr>
                <w:sz w:val="20"/>
              </w:rPr>
              <w:t>5.52</w:t>
            </w:r>
          </w:p>
        </w:tc>
        <w:tc>
          <w:tcPr>
            <w:tcW w:w="1767" w:type="dxa"/>
          </w:tcPr>
          <w:p>
            <w:pPr>
              <w:pStyle w:val="TableParagraph"/>
              <w:spacing w:line="226" w:lineRule="exact"/>
              <w:ind w:right="542"/>
              <w:jc w:val="right"/>
              <w:rPr>
                <w:sz w:val="20"/>
              </w:rPr>
            </w:pPr>
            <w:r>
              <w:rPr>
                <w:w w:val="95"/>
                <w:sz w:val="20"/>
              </w:rPr>
              <w:t>494.48</w:t>
            </w:r>
          </w:p>
        </w:tc>
      </w:tr>
      <w:tr>
        <w:trPr>
          <w:trHeight w:val="249" w:hRule="exact"/>
        </w:trPr>
        <w:tc>
          <w:tcPr>
            <w:tcW w:w="1446" w:type="dxa"/>
          </w:tcPr>
          <w:p>
            <w:pPr>
              <w:pStyle w:val="TableParagraph"/>
              <w:spacing w:line="225" w:lineRule="exact"/>
              <w:ind w:left="233" w:right="167"/>
              <w:jc w:val="center"/>
              <w:rPr>
                <w:sz w:val="20"/>
              </w:rPr>
            </w:pPr>
            <w:r>
              <w:rPr>
                <w:sz w:val="20"/>
              </w:rPr>
              <w:t>18</w:t>
            </w:r>
          </w:p>
        </w:tc>
        <w:tc>
          <w:tcPr>
            <w:tcW w:w="1869" w:type="dxa"/>
          </w:tcPr>
          <w:p>
            <w:pPr>
              <w:pStyle w:val="TableParagraph"/>
              <w:spacing w:line="225" w:lineRule="exact"/>
              <w:ind w:left="673"/>
              <w:rPr>
                <w:sz w:val="20"/>
              </w:rPr>
            </w:pPr>
            <w:r>
              <w:rPr>
                <w:sz w:val="20"/>
              </w:rPr>
              <w:t>0.162</w:t>
            </w:r>
          </w:p>
        </w:tc>
        <w:tc>
          <w:tcPr>
            <w:tcW w:w="1725" w:type="dxa"/>
          </w:tcPr>
          <w:p>
            <w:pPr>
              <w:pStyle w:val="TableParagraph"/>
              <w:ind w:left="242" w:right="355"/>
              <w:jc w:val="center"/>
              <w:rPr>
                <w:b/>
                <w:sz w:val="20"/>
              </w:rPr>
            </w:pPr>
            <w:r>
              <w:rPr>
                <w:b/>
                <w:sz w:val="20"/>
              </w:rPr>
              <w:t>0.810</w:t>
            </w:r>
          </w:p>
        </w:tc>
        <w:tc>
          <w:tcPr>
            <w:tcW w:w="1496" w:type="dxa"/>
          </w:tcPr>
          <w:p>
            <w:pPr>
              <w:pStyle w:val="TableParagraph"/>
              <w:spacing w:line="225" w:lineRule="exact"/>
              <w:ind w:left="357" w:right="228"/>
              <w:jc w:val="center"/>
              <w:rPr>
                <w:sz w:val="20"/>
              </w:rPr>
            </w:pPr>
            <w:r>
              <w:rPr>
                <w:sz w:val="20"/>
              </w:rPr>
              <w:t>6.17</w:t>
            </w:r>
          </w:p>
        </w:tc>
        <w:tc>
          <w:tcPr>
            <w:tcW w:w="1767" w:type="dxa"/>
          </w:tcPr>
          <w:p>
            <w:pPr>
              <w:pStyle w:val="TableParagraph"/>
              <w:spacing w:line="225" w:lineRule="exact"/>
              <w:ind w:right="542"/>
              <w:jc w:val="right"/>
              <w:rPr>
                <w:sz w:val="20"/>
              </w:rPr>
            </w:pPr>
            <w:r>
              <w:rPr>
                <w:w w:val="95"/>
                <w:sz w:val="20"/>
              </w:rPr>
              <w:t>493.83</w:t>
            </w:r>
          </w:p>
        </w:tc>
      </w:tr>
      <w:tr>
        <w:trPr>
          <w:trHeight w:val="250" w:hRule="exact"/>
        </w:trPr>
        <w:tc>
          <w:tcPr>
            <w:tcW w:w="1446" w:type="dxa"/>
          </w:tcPr>
          <w:p>
            <w:pPr>
              <w:pStyle w:val="TableParagraph"/>
              <w:spacing w:line="227" w:lineRule="exact"/>
              <w:ind w:left="233" w:right="167"/>
              <w:jc w:val="center"/>
              <w:rPr>
                <w:sz w:val="20"/>
              </w:rPr>
            </w:pPr>
            <w:r>
              <w:rPr>
                <w:sz w:val="20"/>
              </w:rPr>
              <w:t>19</w:t>
            </w:r>
          </w:p>
        </w:tc>
        <w:tc>
          <w:tcPr>
            <w:tcW w:w="1869" w:type="dxa"/>
          </w:tcPr>
          <w:p>
            <w:pPr>
              <w:pStyle w:val="TableParagraph"/>
              <w:spacing w:line="227" w:lineRule="exact"/>
              <w:ind w:left="673"/>
              <w:rPr>
                <w:sz w:val="20"/>
              </w:rPr>
            </w:pPr>
            <w:r>
              <w:rPr>
                <w:sz w:val="20"/>
              </w:rPr>
              <w:t>0.146</w:t>
            </w:r>
          </w:p>
        </w:tc>
        <w:tc>
          <w:tcPr>
            <w:tcW w:w="1725" w:type="dxa"/>
          </w:tcPr>
          <w:p>
            <w:pPr>
              <w:pStyle w:val="TableParagraph"/>
              <w:spacing w:before="1"/>
              <w:ind w:left="242" w:right="355"/>
              <w:jc w:val="center"/>
              <w:rPr>
                <w:b/>
                <w:sz w:val="20"/>
              </w:rPr>
            </w:pPr>
            <w:r>
              <w:rPr>
                <w:b/>
                <w:sz w:val="20"/>
              </w:rPr>
              <w:t>0.730</w:t>
            </w:r>
          </w:p>
        </w:tc>
        <w:tc>
          <w:tcPr>
            <w:tcW w:w="1496" w:type="dxa"/>
          </w:tcPr>
          <w:p>
            <w:pPr>
              <w:pStyle w:val="TableParagraph"/>
              <w:spacing w:line="227" w:lineRule="exact"/>
              <w:ind w:left="357" w:right="228"/>
              <w:jc w:val="center"/>
              <w:rPr>
                <w:sz w:val="20"/>
              </w:rPr>
            </w:pPr>
            <w:r>
              <w:rPr>
                <w:sz w:val="20"/>
              </w:rPr>
              <w:t>6.84</w:t>
            </w:r>
          </w:p>
        </w:tc>
        <w:tc>
          <w:tcPr>
            <w:tcW w:w="1767" w:type="dxa"/>
          </w:tcPr>
          <w:p>
            <w:pPr>
              <w:pStyle w:val="TableParagraph"/>
              <w:spacing w:line="227" w:lineRule="exact"/>
              <w:ind w:right="542"/>
              <w:jc w:val="right"/>
              <w:rPr>
                <w:sz w:val="20"/>
              </w:rPr>
            </w:pPr>
            <w:r>
              <w:rPr>
                <w:w w:val="95"/>
                <w:sz w:val="20"/>
              </w:rPr>
              <w:t>493.16</w:t>
            </w:r>
          </w:p>
        </w:tc>
      </w:tr>
      <w:tr>
        <w:trPr>
          <w:trHeight w:val="250" w:hRule="exact"/>
        </w:trPr>
        <w:tc>
          <w:tcPr>
            <w:tcW w:w="1446" w:type="dxa"/>
          </w:tcPr>
          <w:p>
            <w:pPr>
              <w:pStyle w:val="TableParagraph"/>
              <w:spacing w:line="226" w:lineRule="exact"/>
              <w:ind w:left="233" w:right="167"/>
              <w:jc w:val="center"/>
              <w:rPr>
                <w:sz w:val="20"/>
              </w:rPr>
            </w:pPr>
            <w:r>
              <w:rPr>
                <w:sz w:val="20"/>
              </w:rPr>
              <w:t>20</w:t>
            </w:r>
          </w:p>
        </w:tc>
        <w:tc>
          <w:tcPr>
            <w:tcW w:w="1869" w:type="dxa"/>
          </w:tcPr>
          <w:p>
            <w:pPr>
              <w:pStyle w:val="TableParagraph"/>
              <w:spacing w:line="226" w:lineRule="exact"/>
              <w:ind w:left="673"/>
              <w:rPr>
                <w:sz w:val="20"/>
              </w:rPr>
            </w:pPr>
            <w:r>
              <w:rPr>
                <w:sz w:val="20"/>
              </w:rPr>
              <w:t>0.199</w:t>
            </w:r>
          </w:p>
        </w:tc>
        <w:tc>
          <w:tcPr>
            <w:tcW w:w="1725" w:type="dxa"/>
          </w:tcPr>
          <w:p>
            <w:pPr>
              <w:pStyle w:val="TableParagraph"/>
              <w:spacing w:before="1"/>
              <w:ind w:left="242" w:right="355"/>
              <w:jc w:val="center"/>
              <w:rPr>
                <w:b/>
                <w:sz w:val="20"/>
              </w:rPr>
            </w:pPr>
            <w:r>
              <w:rPr>
                <w:b/>
                <w:sz w:val="20"/>
              </w:rPr>
              <w:t>0.995</w:t>
            </w:r>
          </w:p>
        </w:tc>
        <w:tc>
          <w:tcPr>
            <w:tcW w:w="1496" w:type="dxa"/>
          </w:tcPr>
          <w:p>
            <w:pPr>
              <w:pStyle w:val="TableParagraph"/>
              <w:spacing w:line="226" w:lineRule="exact"/>
              <w:ind w:left="357" w:right="228"/>
              <w:jc w:val="center"/>
              <w:rPr>
                <w:sz w:val="20"/>
              </w:rPr>
            </w:pPr>
            <w:r>
              <w:rPr>
                <w:sz w:val="20"/>
              </w:rPr>
              <w:t>5.02</w:t>
            </w:r>
          </w:p>
        </w:tc>
        <w:tc>
          <w:tcPr>
            <w:tcW w:w="1767" w:type="dxa"/>
          </w:tcPr>
          <w:p>
            <w:pPr>
              <w:pStyle w:val="TableParagraph"/>
              <w:spacing w:line="226" w:lineRule="exact"/>
              <w:ind w:right="542"/>
              <w:jc w:val="right"/>
              <w:rPr>
                <w:sz w:val="20"/>
              </w:rPr>
            </w:pPr>
            <w:r>
              <w:rPr>
                <w:w w:val="95"/>
                <w:sz w:val="20"/>
              </w:rPr>
              <w:t>494.98</w:t>
            </w:r>
          </w:p>
        </w:tc>
      </w:tr>
      <w:tr>
        <w:trPr>
          <w:trHeight w:val="248" w:hRule="exact"/>
        </w:trPr>
        <w:tc>
          <w:tcPr>
            <w:tcW w:w="1446" w:type="dxa"/>
          </w:tcPr>
          <w:p>
            <w:pPr>
              <w:pStyle w:val="TableParagraph"/>
              <w:spacing w:line="226" w:lineRule="exact"/>
              <w:ind w:left="233" w:right="167"/>
              <w:jc w:val="center"/>
              <w:rPr>
                <w:sz w:val="20"/>
              </w:rPr>
            </w:pPr>
            <w:r>
              <w:rPr>
                <w:sz w:val="20"/>
              </w:rPr>
              <w:t>21</w:t>
            </w:r>
          </w:p>
        </w:tc>
        <w:tc>
          <w:tcPr>
            <w:tcW w:w="1869" w:type="dxa"/>
          </w:tcPr>
          <w:p>
            <w:pPr>
              <w:pStyle w:val="TableParagraph"/>
              <w:spacing w:line="226" w:lineRule="exact"/>
              <w:ind w:left="673"/>
              <w:rPr>
                <w:sz w:val="20"/>
              </w:rPr>
            </w:pPr>
            <w:r>
              <w:rPr>
                <w:sz w:val="20"/>
              </w:rPr>
              <w:t>0.200</w:t>
            </w:r>
          </w:p>
        </w:tc>
        <w:tc>
          <w:tcPr>
            <w:tcW w:w="1725" w:type="dxa"/>
          </w:tcPr>
          <w:p>
            <w:pPr>
              <w:pStyle w:val="TableParagraph"/>
              <w:spacing w:before="1"/>
              <w:ind w:left="242" w:right="355"/>
              <w:jc w:val="center"/>
              <w:rPr>
                <w:b/>
                <w:sz w:val="20"/>
              </w:rPr>
            </w:pPr>
            <w:r>
              <w:rPr>
                <w:b/>
                <w:sz w:val="20"/>
              </w:rPr>
              <w:t>1.00</w:t>
            </w:r>
          </w:p>
        </w:tc>
        <w:tc>
          <w:tcPr>
            <w:tcW w:w="1496" w:type="dxa"/>
          </w:tcPr>
          <w:p>
            <w:pPr>
              <w:pStyle w:val="TableParagraph"/>
              <w:spacing w:line="226" w:lineRule="exact"/>
              <w:ind w:left="357" w:right="228"/>
              <w:jc w:val="center"/>
              <w:rPr>
                <w:sz w:val="20"/>
              </w:rPr>
            </w:pPr>
            <w:r>
              <w:rPr>
                <w:sz w:val="20"/>
              </w:rPr>
              <w:t>5.00</w:t>
            </w:r>
          </w:p>
        </w:tc>
        <w:tc>
          <w:tcPr>
            <w:tcW w:w="1767" w:type="dxa"/>
          </w:tcPr>
          <w:p>
            <w:pPr>
              <w:pStyle w:val="TableParagraph"/>
              <w:spacing w:line="226" w:lineRule="exact"/>
              <w:ind w:right="542"/>
              <w:jc w:val="right"/>
              <w:rPr>
                <w:sz w:val="20"/>
              </w:rPr>
            </w:pPr>
            <w:r>
              <w:rPr>
                <w:w w:val="95"/>
                <w:sz w:val="20"/>
              </w:rPr>
              <w:t>495.00</w:t>
            </w:r>
          </w:p>
        </w:tc>
      </w:tr>
      <w:tr>
        <w:trPr>
          <w:trHeight w:val="248" w:hRule="exact"/>
        </w:trPr>
        <w:tc>
          <w:tcPr>
            <w:tcW w:w="1446" w:type="dxa"/>
          </w:tcPr>
          <w:p>
            <w:pPr>
              <w:pStyle w:val="TableParagraph"/>
              <w:spacing w:line="225" w:lineRule="exact"/>
              <w:ind w:left="233" w:right="167"/>
              <w:jc w:val="center"/>
              <w:rPr>
                <w:sz w:val="20"/>
              </w:rPr>
            </w:pPr>
            <w:r>
              <w:rPr>
                <w:sz w:val="20"/>
              </w:rPr>
              <w:t>22</w:t>
            </w:r>
          </w:p>
        </w:tc>
        <w:tc>
          <w:tcPr>
            <w:tcW w:w="1869" w:type="dxa"/>
          </w:tcPr>
          <w:p>
            <w:pPr>
              <w:pStyle w:val="TableParagraph"/>
              <w:spacing w:line="225" w:lineRule="exact"/>
              <w:ind w:left="673"/>
              <w:rPr>
                <w:sz w:val="20"/>
              </w:rPr>
            </w:pPr>
            <w:r>
              <w:rPr>
                <w:sz w:val="20"/>
              </w:rPr>
              <w:t>0.161</w:t>
            </w:r>
          </w:p>
        </w:tc>
        <w:tc>
          <w:tcPr>
            <w:tcW w:w="1725" w:type="dxa"/>
          </w:tcPr>
          <w:p>
            <w:pPr>
              <w:pStyle w:val="TableParagraph"/>
              <w:ind w:left="242" w:right="355"/>
              <w:jc w:val="center"/>
              <w:rPr>
                <w:b/>
                <w:sz w:val="20"/>
              </w:rPr>
            </w:pPr>
            <w:r>
              <w:rPr>
                <w:b/>
                <w:sz w:val="20"/>
              </w:rPr>
              <w:t>0.805</w:t>
            </w:r>
          </w:p>
        </w:tc>
        <w:tc>
          <w:tcPr>
            <w:tcW w:w="1496" w:type="dxa"/>
          </w:tcPr>
          <w:p>
            <w:pPr>
              <w:pStyle w:val="TableParagraph"/>
              <w:spacing w:line="225" w:lineRule="exact"/>
              <w:ind w:left="357" w:right="228"/>
              <w:jc w:val="center"/>
              <w:rPr>
                <w:sz w:val="20"/>
              </w:rPr>
            </w:pPr>
            <w:r>
              <w:rPr>
                <w:sz w:val="20"/>
              </w:rPr>
              <w:t>6.21</w:t>
            </w:r>
          </w:p>
        </w:tc>
        <w:tc>
          <w:tcPr>
            <w:tcW w:w="1767" w:type="dxa"/>
          </w:tcPr>
          <w:p>
            <w:pPr>
              <w:pStyle w:val="TableParagraph"/>
              <w:spacing w:line="225" w:lineRule="exact"/>
              <w:ind w:right="542"/>
              <w:jc w:val="right"/>
              <w:rPr>
                <w:sz w:val="20"/>
              </w:rPr>
            </w:pPr>
            <w:r>
              <w:rPr>
                <w:w w:val="95"/>
                <w:sz w:val="20"/>
              </w:rPr>
              <w:t>493.79</w:t>
            </w:r>
          </w:p>
        </w:tc>
      </w:tr>
      <w:tr>
        <w:trPr>
          <w:trHeight w:val="250" w:hRule="exact"/>
        </w:trPr>
        <w:tc>
          <w:tcPr>
            <w:tcW w:w="1446" w:type="dxa"/>
          </w:tcPr>
          <w:p>
            <w:pPr>
              <w:pStyle w:val="TableParagraph"/>
              <w:spacing w:line="226" w:lineRule="exact"/>
              <w:ind w:left="233" w:right="167"/>
              <w:jc w:val="center"/>
              <w:rPr>
                <w:sz w:val="20"/>
              </w:rPr>
            </w:pPr>
            <w:r>
              <w:rPr>
                <w:sz w:val="20"/>
              </w:rPr>
              <w:t>23</w:t>
            </w:r>
          </w:p>
        </w:tc>
        <w:tc>
          <w:tcPr>
            <w:tcW w:w="1869" w:type="dxa"/>
          </w:tcPr>
          <w:p>
            <w:pPr>
              <w:pStyle w:val="TableParagraph"/>
              <w:spacing w:line="226" w:lineRule="exact"/>
              <w:ind w:left="673"/>
              <w:rPr>
                <w:sz w:val="20"/>
              </w:rPr>
            </w:pPr>
            <w:r>
              <w:rPr>
                <w:sz w:val="20"/>
              </w:rPr>
              <w:t>0.174</w:t>
            </w:r>
          </w:p>
        </w:tc>
        <w:tc>
          <w:tcPr>
            <w:tcW w:w="1725" w:type="dxa"/>
          </w:tcPr>
          <w:p>
            <w:pPr>
              <w:pStyle w:val="TableParagraph"/>
              <w:spacing w:before="1"/>
              <w:ind w:left="242" w:right="355"/>
              <w:jc w:val="center"/>
              <w:rPr>
                <w:b/>
                <w:sz w:val="20"/>
              </w:rPr>
            </w:pPr>
            <w:r>
              <w:rPr>
                <w:b/>
                <w:sz w:val="20"/>
              </w:rPr>
              <w:t>0.870</w:t>
            </w:r>
          </w:p>
        </w:tc>
        <w:tc>
          <w:tcPr>
            <w:tcW w:w="1496" w:type="dxa"/>
          </w:tcPr>
          <w:p>
            <w:pPr>
              <w:pStyle w:val="TableParagraph"/>
              <w:spacing w:line="226" w:lineRule="exact"/>
              <w:ind w:left="357" w:right="228"/>
              <w:jc w:val="center"/>
              <w:rPr>
                <w:sz w:val="20"/>
              </w:rPr>
            </w:pPr>
            <w:r>
              <w:rPr>
                <w:sz w:val="20"/>
              </w:rPr>
              <w:t>5.74</w:t>
            </w:r>
          </w:p>
        </w:tc>
        <w:tc>
          <w:tcPr>
            <w:tcW w:w="1767" w:type="dxa"/>
          </w:tcPr>
          <w:p>
            <w:pPr>
              <w:pStyle w:val="TableParagraph"/>
              <w:spacing w:line="226" w:lineRule="exact"/>
              <w:ind w:right="542"/>
              <w:jc w:val="right"/>
              <w:rPr>
                <w:sz w:val="20"/>
              </w:rPr>
            </w:pPr>
            <w:r>
              <w:rPr>
                <w:w w:val="95"/>
                <w:sz w:val="20"/>
              </w:rPr>
              <w:t>494.26</w:t>
            </w:r>
          </w:p>
        </w:tc>
      </w:tr>
      <w:tr>
        <w:trPr>
          <w:trHeight w:val="248" w:hRule="exact"/>
        </w:trPr>
        <w:tc>
          <w:tcPr>
            <w:tcW w:w="1446" w:type="dxa"/>
          </w:tcPr>
          <w:p>
            <w:pPr>
              <w:pStyle w:val="TableParagraph"/>
              <w:spacing w:line="226" w:lineRule="exact"/>
              <w:ind w:left="233" w:right="167"/>
              <w:jc w:val="center"/>
              <w:rPr>
                <w:sz w:val="20"/>
              </w:rPr>
            </w:pPr>
            <w:r>
              <w:rPr>
                <w:sz w:val="20"/>
              </w:rPr>
              <w:t>24</w:t>
            </w:r>
          </w:p>
        </w:tc>
        <w:tc>
          <w:tcPr>
            <w:tcW w:w="1869" w:type="dxa"/>
          </w:tcPr>
          <w:p>
            <w:pPr>
              <w:pStyle w:val="TableParagraph"/>
              <w:spacing w:line="226" w:lineRule="exact"/>
              <w:ind w:left="673"/>
              <w:rPr>
                <w:sz w:val="20"/>
              </w:rPr>
            </w:pPr>
            <w:r>
              <w:rPr>
                <w:sz w:val="20"/>
              </w:rPr>
              <w:t>0.150</w:t>
            </w:r>
          </w:p>
        </w:tc>
        <w:tc>
          <w:tcPr>
            <w:tcW w:w="1725" w:type="dxa"/>
          </w:tcPr>
          <w:p>
            <w:pPr>
              <w:pStyle w:val="TableParagraph"/>
              <w:spacing w:before="1"/>
              <w:ind w:left="242" w:right="355"/>
              <w:jc w:val="center"/>
              <w:rPr>
                <w:b/>
                <w:sz w:val="20"/>
              </w:rPr>
            </w:pPr>
            <w:r>
              <w:rPr>
                <w:b/>
                <w:sz w:val="20"/>
              </w:rPr>
              <w:t>0.750</w:t>
            </w:r>
          </w:p>
        </w:tc>
        <w:tc>
          <w:tcPr>
            <w:tcW w:w="1496" w:type="dxa"/>
          </w:tcPr>
          <w:p>
            <w:pPr>
              <w:pStyle w:val="TableParagraph"/>
              <w:spacing w:line="226" w:lineRule="exact"/>
              <w:ind w:left="357" w:right="228"/>
              <w:jc w:val="center"/>
              <w:rPr>
                <w:sz w:val="20"/>
              </w:rPr>
            </w:pPr>
            <w:r>
              <w:rPr>
                <w:sz w:val="20"/>
              </w:rPr>
              <w:t>6.66</w:t>
            </w:r>
          </w:p>
        </w:tc>
        <w:tc>
          <w:tcPr>
            <w:tcW w:w="1767" w:type="dxa"/>
          </w:tcPr>
          <w:p>
            <w:pPr>
              <w:pStyle w:val="TableParagraph"/>
              <w:spacing w:line="226" w:lineRule="exact"/>
              <w:ind w:right="542"/>
              <w:jc w:val="right"/>
              <w:rPr>
                <w:sz w:val="20"/>
              </w:rPr>
            </w:pPr>
            <w:r>
              <w:rPr>
                <w:w w:val="95"/>
                <w:sz w:val="20"/>
              </w:rPr>
              <w:t>493.34</w:t>
            </w:r>
          </w:p>
        </w:tc>
      </w:tr>
      <w:tr>
        <w:trPr>
          <w:trHeight w:val="248" w:hRule="exact"/>
        </w:trPr>
        <w:tc>
          <w:tcPr>
            <w:tcW w:w="1446" w:type="dxa"/>
          </w:tcPr>
          <w:p>
            <w:pPr>
              <w:pStyle w:val="TableParagraph"/>
              <w:spacing w:line="225" w:lineRule="exact"/>
              <w:ind w:left="233" w:right="167"/>
              <w:jc w:val="center"/>
              <w:rPr>
                <w:sz w:val="20"/>
              </w:rPr>
            </w:pPr>
            <w:r>
              <w:rPr>
                <w:sz w:val="20"/>
              </w:rPr>
              <w:t>25</w:t>
            </w:r>
          </w:p>
        </w:tc>
        <w:tc>
          <w:tcPr>
            <w:tcW w:w="1869" w:type="dxa"/>
          </w:tcPr>
          <w:p>
            <w:pPr>
              <w:pStyle w:val="TableParagraph"/>
              <w:spacing w:line="225" w:lineRule="exact"/>
              <w:ind w:left="673"/>
              <w:rPr>
                <w:sz w:val="20"/>
              </w:rPr>
            </w:pPr>
            <w:r>
              <w:rPr>
                <w:sz w:val="20"/>
              </w:rPr>
              <w:t>0.140</w:t>
            </w:r>
          </w:p>
        </w:tc>
        <w:tc>
          <w:tcPr>
            <w:tcW w:w="1725" w:type="dxa"/>
          </w:tcPr>
          <w:p>
            <w:pPr>
              <w:pStyle w:val="TableParagraph"/>
              <w:ind w:left="242" w:right="355"/>
              <w:jc w:val="center"/>
              <w:rPr>
                <w:b/>
                <w:sz w:val="20"/>
              </w:rPr>
            </w:pPr>
            <w:r>
              <w:rPr>
                <w:b/>
                <w:sz w:val="20"/>
              </w:rPr>
              <w:t>0.700</w:t>
            </w:r>
          </w:p>
        </w:tc>
        <w:tc>
          <w:tcPr>
            <w:tcW w:w="1496" w:type="dxa"/>
          </w:tcPr>
          <w:p>
            <w:pPr>
              <w:pStyle w:val="TableParagraph"/>
              <w:spacing w:line="225" w:lineRule="exact"/>
              <w:ind w:left="357" w:right="228"/>
              <w:jc w:val="center"/>
              <w:rPr>
                <w:sz w:val="20"/>
              </w:rPr>
            </w:pPr>
            <w:r>
              <w:rPr>
                <w:sz w:val="20"/>
              </w:rPr>
              <w:t>7.14</w:t>
            </w:r>
          </w:p>
        </w:tc>
        <w:tc>
          <w:tcPr>
            <w:tcW w:w="1767" w:type="dxa"/>
          </w:tcPr>
          <w:p>
            <w:pPr>
              <w:pStyle w:val="TableParagraph"/>
              <w:spacing w:line="225" w:lineRule="exact"/>
              <w:ind w:right="542"/>
              <w:jc w:val="right"/>
              <w:rPr>
                <w:sz w:val="20"/>
              </w:rPr>
            </w:pPr>
            <w:r>
              <w:rPr>
                <w:w w:val="95"/>
                <w:sz w:val="20"/>
              </w:rPr>
              <w:t>492.86</w:t>
            </w:r>
          </w:p>
        </w:tc>
      </w:tr>
      <w:tr>
        <w:trPr>
          <w:trHeight w:val="250" w:hRule="exact"/>
        </w:trPr>
        <w:tc>
          <w:tcPr>
            <w:tcW w:w="1446" w:type="dxa"/>
          </w:tcPr>
          <w:p>
            <w:pPr>
              <w:pStyle w:val="TableParagraph"/>
              <w:spacing w:line="226" w:lineRule="exact"/>
              <w:ind w:left="233" w:right="167"/>
              <w:jc w:val="center"/>
              <w:rPr>
                <w:sz w:val="20"/>
              </w:rPr>
            </w:pPr>
            <w:r>
              <w:rPr>
                <w:sz w:val="20"/>
              </w:rPr>
              <w:t>26</w:t>
            </w:r>
          </w:p>
        </w:tc>
        <w:tc>
          <w:tcPr>
            <w:tcW w:w="1869" w:type="dxa"/>
          </w:tcPr>
          <w:p>
            <w:pPr>
              <w:pStyle w:val="TableParagraph"/>
              <w:spacing w:line="226" w:lineRule="exact"/>
              <w:ind w:left="673"/>
              <w:rPr>
                <w:sz w:val="20"/>
              </w:rPr>
            </w:pPr>
            <w:r>
              <w:rPr>
                <w:sz w:val="20"/>
              </w:rPr>
              <w:t>0.101</w:t>
            </w:r>
          </w:p>
        </w:tc>
        <w:tc>
          <w:tcPr>
            <w:tcW w:w="1725" w:type="dxa"/>
          </w:tcPr>
          <w:p>
            <w:pPr>
              <w:pStyle w:val="TableParagraph"/>
              <w:spacing w:before="1"/>
              <w:ind w:left="242" w:right="355"/>
              <w:jc w:val="center"/>
              <w:rPr>
                <w:b/>
                <w:sz w:val="20"/>
              </w:rPr>
            </w:pPr>
            <w:r>
              <w:rPr>
                <w:b/>
                <w:sz w:val="20"/>
              </w:rPr>
              <w:t>0.505</w:t>
            </w:r>
          </w:p>
        </w:tc>
        <w:tc>
          <w:tcPr>
            <w:tcW w:w="1496" w:type="dxa"/>
          </w:tcPr>
          <w:p>
            <w:pPr>
              <w:pStyle w:val="TableParagraph"/>
              <w:spacing w:line="226" w:lineRule="exact"/>
              <w:ind w:left="357" w:right="228"/>
              <w:jc w:val="center"/>
              <w:rPr>
                <w:sz w:val="20"/>
              </w:rPr>
            </w:pPr>
            <w:r>
              <w:rPr>
                <w:sz w:val="20"/>
              </w:rPr>
              <w:t>9.90</w:t>
            </w:r>
          </w:p>
        </w:tc>
        <w:tc>
          <w:tcPr>
            <w:tcW w:w="1767" w:type="dxa"/>
          </w:tcPr>
          <w:p>
            <w:pPr>
              <w:pStyle w:val="TableParagraph"/>
              <w:spacing w:line="226" w:lineRule="exact"/>
              <w:ind w:right="542"/>
              <w:jc w:val="right"/>
              <w:rPr>
                <w:sz w:val="20"/>
              </w:rPr>
            </w:pPr>
            <w:r>
              <w:rPr>
                <w:w w:val="95"/>
                <w:sz w:val="20"/>
              </w:rPr>
              <w:t>490.10</w:t>
            </w:r>
          </w:p>
        </w:tc>
      </w:tr>
      <w:tr>
        <w:trPr>
          <w:trHeight w:val="250" w:hRule="exact"/>
        </w:trPr>
        <w:tc>
          <w:tcPr>
            <w:tcW w:w="1446" w:type="dxa"/>
          </w:tcPr>
          <w:p>
            <w:pPr>
              <w:pStyle w:val="TableParagraph"/>
              <w:spacing w:line="226" w:lineRule="exact"/>
              <w:ind w:left="233" w:right="167"/>
              <w:jc w:val="center"/>
              <w:rPr>
                <w:sz w:val="20"/>
              </w:rPr>
            </w:pPr>
            <w:r>
              <w:rPr>
                <w:sz w:val="20"/>
              </w:rPr>
              <w:t>27</w:t>
            </w:r>
          </w:p>
        </w:tc>
        <w:tc>
          <w:tcPr>
            <w:tcW w:w="1869" w:type="dxa"/>
          </w:tcPr>
          <w:p>
            <w:pPr>
              <w:pStyle w:val="TableParagraph"/>
              <w:spacing w:line="226" w:lineRule="exact"/>
              <w:ind w:left="673"/>
              <w:rPr>
                <w:sz w:val="20"/>
              </w:rPr>
            </w:pPr>
            <w:r>
              <w:rPr>
                <w:sz w:val="20"/>
              </w:rPr>
              <w:t>0.166</w:t>
            </w:r>
          </w:p>
        </w:tc>
        <w:tc>
          <w:tcPr>
            <w:tcW w:w="1725" w:type="dxa"/>
          </w:tcPr>
          <w:p>
            <w:pPr>
              <w:pStyle w:val="TableParagraph"/>
              <w:spacing w:before="1"/>
              <w:ind w:left="242" w:right="355"/>
              <w:jc w:val="center"/>
              <w:rPr>
                <w:b/>
                <w:sz w:val="20"/>
              </w:rPr>
            </w:pPr>
            <w:r>
              <w:rPr>
                <w:b/>
                <w:sz w:val="20"/>
              </w:rPr>
              <w:t>0.830</w:t>
            </w:r>
          </w:p>
        </w:tc>
        <w:tc>
          <w:tcPr>
            <w:tcW w:w="1496" w:type="dxa"/>
          </w:tcPr>
          <w:p>
            <w:pPr>
              <w:pStyle w:val="TableParagraph"/>
              <w:spacing w:line="226" w:lineRule="exact"/>
              <w:ind w:left="357" w:right="228"/>
              <w:jc w:val="center"/>
              <w:rPr>
                <w:sz w:val="20"/>
              </w:rPr>
            </w:pPr>
            <w:r>
              <w:rPr>
                <w:sz w:val="20"/>
              </w:rPr>
              <w:t>6.02</w:t>
            </w:r>
          </w:p>
        </w:tc>
        <w:tc>
          <w:tcPr>
            <w:tcW w:w="1767" w:type="dxa"/>
          </w:tcPr>
          <w:p>
            <w:pPr>
              <w:pStyle w:val="TableParagraph"/>
              <w:spacing w:line="226" w:lineRule="exact"/>
              <w:ind w:right="542"/>
              <w:jc w:val="right"/>
              <w:rPr>
                <w:sz w:val="20"/>
              </w:rPr>
            </w:pPr>
            <w:r>
              <w:rPr>
                <w:w w:val="95"/>
                <w:sz w:val="20"/>
              </w:rPr>
              <w:t>493.98</w:t>
            </w:r>
          </w:p>
        </w:tc>
      </w:tr>
      <w:tr>
        <w:trPr>
          <w:trHeight w:val="248" w:hRule="exact"/>
        </w:trPr>
        <w:tc>
          <w:tcPr>
            <w:tcW w:w="1446" w:type="dxa"/>
          </w:tcPr>
          <w:p>
            <w:pPr>
              <w:pStyle w:val="TableParagraph"/>
              <w:spacing w:line="226" w:lineRule="exact"/>
              <w:ind w:left="233" w:right="167"/>
              <w:jc w:val="center"/>
              <w:rPr>
                <w:sz w:val="20"/>
              </w:rPr>
            </w:pPr>
            <w:r>
              <w:rPr>
                <w:sz w:val="20"/>
              </w:rPr>
              <w:t>28</w:t>
            </w:r>
          </w:p>
        </w:tc>
        <w:tc>
          <w:tcPr>
            <w:tcW w:w="1869" w:type="dxa"/>
          </w:tcPr>
          <w:p>
            <w:pPr>
              <w:pStyle w:val="TableParagraph"/>
              <w:spacing w:line="226" w:lineRule="exact"/>
              <w:ind w:left="673"/>
              <w:rPr>
                <w:sz w:val="20"/>
              </w:rPr>
            </w:pPr>
            <w:r>
              <w:rPr>
                <w:sz w:val="20"/>
              </w:rPr>
              <w:t>0.214</w:t>
            </w:r>
          </w:p>
        </w:tc>
        <w:tc>
          <w:tcPr>
            <w:tcW w:w="1725" w:type="dxa"/>
          </w:tcPr>
          <w:p>
            <w:pPr>
              <w:pStyle w:val="TableParagraph"/>
              <w:spacing w:before="1"/>
              <w:ind w:left="242" w:right="355"/>
              <w:jc w:val="center"/>
              <w:rPr>
                <w:b/>
                <w:sz w:val="20"/>
              </w:rPr>
            </w:pPr>
            <w:r>
              <w:rPr>
                <w:b/>
                <w:sz w:val="20"/>
              </w:rPr>
              <w:t>1.07</w:t>
            </w:r>
          </w:p>
        </w:tc>
        <w:tc>
          <w:tcPr>
            <w:tcW w:w="1496" w:type="dxa"/>
          </w:tcPr>
          <w:p>
            <w:pPr>
              <w:pStyle w:val="TableParagraph"/>
              <w:spacing w:line="226" w:lineRule="exact"/>
              <w:ind w:left="357" w:right="228"/>
              <w:jc w:val="center"/>
              <w:rPr>
                <w:sz w:val="20"/>
              </w:rPr>
            </w:pPr>
            <w:r>
              <w:rPr>
                <w:sz w:val="20"/>
              </w:rPr>
              <w:t>4.67</w:t>
            </w:r>
          </w:p>
        </w:tc>
        <w:tc>
          <w:tcPr>
            <w:tcW w:w="1767" w:type="dxa"/>
          </w:tcPr>
          <w:p>
            <w:pPr>
              <w:pStyle w:val="TableParagraph"/>
              <w:spacing w:line="226" w:lineRule="exact"/>
              <w:ind w:right="542"/>
              <w:jc w:val="right"/>
              <w:rPr>
                <w:sz w:val="20"/>
              </w:rPr>
            </w:pPr>
            <w:r>
              <w:rPr>
                <w:w w:val="95"/>
                <w:sz w:val="20"/>
              </w:rPr>
              <w:t>495.33</w:t>
            </w:r>
          </w:p>
        </w:tc>
      </w:tr>
      <w:tr>
        <w:trPr>
          <w:trHeight w:val="248" w:hRule="exact"/>
        </w:trPr>
        <w:tc>
          <w:tcPr>
            <w:tcW w:w="1446" w:type="dxa"/>
          </w:tcPr>
          <w:p>
            <w:pPr>
              <w:pStyle w:val="TableParagraph"/>
              <w:spacing w:line="225" w:lineRule="exact"/>
              <w:ind w:left="233" w:right="167"/>
              <w:jc w:val="center"/>
              <w:rPr>
                <w:sz w:val="20"/>
              </w:rPr>
            </w:pPr>
            <w:r>
              <w:rPr>
                <w:sz w:val="20"/>
              </w:rPr>
              <w:t>29</w:t>
            </w:r>
          </w:p>
        </w:tc>
        <w:tc>
          <w:tcPr>
            <w:tcW w:w="1869" w:type="dxa"/>
          </w:tcPr>
          <w:p>
            <w:pPr>
              <w:pStyle w:val="TableParagraph"/>
              <w:spacing w:line="225" w:lineRule="exact"/>
              <w:ind w:left="673"/>
              <w:rPr>
                <w:sz w:val="20"/>
              </w:rPr>
            </w:pPr>
            <w:r>
              <w:rPr>
                <w:sz w:val="20"/>
              </w:rPr>
              <w:t>0.163</w:t>
            </w:r>
          </w:p>
        </w:tc>
        <w:tc>
          <w:tcPr>
            <w:tcW w:w="1725" w:type="dxa"/>
          </w:tcPr>
          <w:p>
            <w:pPr>
              <w:pStyle w:val="TableParagraph"/>
              <w:ind w:left="242" w:right="355"/>
              <w:jc w:val="center"/>
              <w:rPr>
                <w:b/>
                <w:sz w:val="20"/>
              </w:rPr>
            </w:pPr>
            <w:r>
              <w:rPr>
                <w:b/>
                <w:sz w:val="20"/>
              </w:rPr>
              <w:t>0.815</w:t>
            </w:r>
          </w:p>
        </w:tc>
        <w:tc>
          <w:tcPr>
            <w:tcW w:w="1496" w:type="dxa"/>
          </w:tcPr>
          <w:p>
            <w:pPr>
              <w:pStyle w:val="TableParagraph"/>
              <w:spacing w:line="225" w:lineRule="exact"/>
              <w:ind w:left="357" w:right="228"/>
              <w:jc w:val="center"/>
              <w:rPr>
                <w:sz w:val="20"/>
              </w:rPr>
            </w:pPr>
            <w:r>
              <w:rPr>
                <w:sz w:val="20"/>
              </w:rPr>
              <w:t>6.13</w:t>
            </w:r>
          </w:p>
        </w:tc>
        <w:tc>
          <w:tcPr>
            <w:tcW w:w="1767" w:type="dxa"/>
          </w:tcPr>
          <w:p>
            <w:pPr>
              <w:pStyle w:val="TableParagraph"/>
              <w:spacing w:line="225" w:lineRule="exact"/>
              <w:ind w:right="542"/>
              <w:jc w:val="right"/>
              <w:rPr>
                <w:sz w:val="20"/>
              </w:rPr>
            </w:pPr>
            <w:r>
              <w:rPr>
                <w:w w:val="95"/>
                <w:sz w:val="20"/>
              </w:rPr>
              <w:t>493.87</w:t>
            </w:r>
          </w:p>
        </w:tc>
      </w:tr>
      <w:tr>
        <w:trPr>
          <w:trHeight w:val="250" w:hRule="exact"/>
        </w:trPr>
        <w:tc>
          <w:tcPr>
            <w:tcW w:w="1446" w:type="dxa"/>
          </w:tcPr>
          <w:p>
            <w:pPr>
              <w:pStyle w:val="TableParagraph"/>
              <w:spacing w:line="226" w:lineRule="exact"/>
              <w:ind w:left="233" w:right="167"/>
              <w:jc w:val="center"/>
              <w:rPr>
                <w:sz w:val="20"/>
              </w:rPr>
            </w:pPr>
            <w:r>
              <w:rPr>
                <w:sz w:val="20"/>
              </w:rPr>
              <w:t>30</w:t>
            </w:r>
          </w:p>
        </w:tc>
        <w:tc>
          <w:tcPr>
            <w:tcW w:w="1869" w:type="dxa"/>
          </w:tcPr>
          <w:p>
            <w:pPr>
              <w:pStyle w:val="TableParagraph"/>
              <w:spacing w:line="226" w:lineRule="exact"/>
              <w:ind w:left="673"/>
              <w:rPr>
                <w:sz w:val="20"/>
              </w:rPr>
            </w:pPr>
            <w:r>
              <w:rPr>
                <w:sz w:val="20"/>
              </w:rPr>
              <w:t>0.154</w:t>
            </w:r>
          </w:p>
        </w:tc>
        <w:tc>
          <w:tcPr>
            <w:tcW w:w="1725" w:type="dxa"/>
          </w:tcPr>
          <w:p>
            <w:pPr>
              <w:pStyle w:val="TableParagraph"/>
              <w:spacing w:before="1"/>
              <w:ind w:left="242" w:right="355"/>
              <w:jc w:val="center"/>
              <w:rPr>
                <w:b/>
                <w:sz w:val="20"/>
              </w:rPr>
            </w:pPr>
            <w:r>
              <w:rPr>
                <w:b/>
                <w:sz w:val="20"/>
              </w:rPr>
              <w:t>0.770</w:t>
            </w:r>
          </w:p>
        </w:tc>
        <w:tc>
          <w:tcPr>
            <w:tcW w:w="1496" w:type="dxa"/>
          </w:tcPr>
          <w:p>
            <w:pPr>
              <w:pStyle w:val="TableParagraph"/>
              <w:spacing w:line="226" w:lineRule="exact"/>
              <w:ind w:left="357" w:right="228"/>
              <w:jc w:val="center"/>
              <w:rPr>
                <w:sz w:val="20"/>
              </w:rPr>
            </w:pPr>
            <w:r>
              <w:rPr>
                <w:sz w:val="20"/>
              </w:rPr>
              <w:t>6.49</w:t>
            </w:r>
          </w:p>
        </w:tc>
        <w:tc>
          <w:tcPr>
            <w:tcW w:w="1767" w:type="dxa"/>
          </w:tcPr>
          <w:p>
            <w:pPr>
              <w:pStyle w:val="TableParagraph"/>
              <w:spacing w:line="226" w:lineRule="exact"/>
              <w:ind w:right="542"/>
              <w:jc w:val="right"/>
              <w:rPr>
                <w:sz w:val="20"/>
              </w:rPr>
            </w:pPr>
            <w:r>
              <w:rPr>
                <w:w w:val="95"/>
                <w:sz w:val="20"/>
              </w:rPr>
              <w:t>493.51</w:t>
            </w:r>
          </w:p>
        </w:tc>
      </w:tr>
      <w:tr>
        <w:trPr>
          <w:trHeight w:val="250" w:hRule="exact"/>
        </w:trPr>
        <w:tc>
          <w:tcPr>
            <w:tcW w:w="1446" w:type="dxa"/>
          </w:tcPr>
          <w:p>
            <w:pPr>
              <w:pStyle w:val="TableParagraph"/>
              <w:spacing w:line="226" w:lineRule="exact"/>
              <w:ind w:left="233" w:right="167"/>
              <w:jc w:val="center"/>
              <w:rPr>
                <w:sz w:val="20"/>
              </w:rPr>
            </w:pPr>
            <w:r>
              <w:rPr>
                <w:sz w:val="20"/>
              </w:rPr>
              <w:t>31</w:t>
            </w:r>
          </w:p>
        </w:tc>
        <w:tc>
          <w:tcPr>
            <w:tcW w:w="1869" w:type="dxa"/>
          </w:tcPr>
          <w:p>
            <w:pPr>
              <w:pStyle w:val="TableParagraph"/>
              <w:spacing w:line="226" w:lineRule="exact"/>
              <w:ind w:left="673"/>
              <w:rPr>
                <w:sz w:val="20"/>
              </w:rPr>
            </w:pPr>
            <w:r>
              <w:rPr>
                <w:sz w:val="20"/>
              </w:rPr>
              <w:t>0.188</w:t>
            </w:r>
          </w:p>
        </w:tc>
        <w:tc>
          <w:tcPr>
            <w:tcW w:w="1725" w:type="dxa"/>
          </w:tcPr>
          <w:p>
            <w:pPr>
              <w:pStyle w:val="TableParagraph"/>
              <w:spacing w:before="1"/>
              <w:ind w:left="242" w:right="355"/>
              <w:jc w:val="center"/>
              <w:rPr>
                <w:b/>
                <w:sz w:val="20"/>
              </w:rPr>
            </w:pPr>
            <w:r>
              <w:rPr>
                <w:b/>
                <w:sz w:val="20"/>
              </w:rPr>
              <w:t>0.940</w:t>
            </w:r>
          </w:p>
        </w:tc>
        <w:tc>
          <w:tcPr>
            <w:tcW w:w="1496" w:type="dxa"/>
          </w:tcPr>
          <w:p>
            <w:pPr>
              <w:pStyle w:val="TableParagraph"/>
              <w:spacing w:line="226" w:lineRule="exact"/>
              <w:ind w:left="357" w:right="228"/>
              <w:jc w:val="center"/>
              <w:rPr>
                <w:sz w:val="20"/>
              </w:rPr>
            </w:pPr>
            <w:r>
              <w:rPr>
                <w:sz w:val="20"/>
              </w:rPr>
              <w:t>5.31</w:t>
            </w:r>
          </w:p>
        </w:tc>
        <w:tc>
          <w:tcPr>
            <w:tcW w:w="1767" w:type="dxa"/>
          </w:tcPr>
          <w:p>
            <w:pPr>
              <w:pStyle w:val="TableParagraph"/>
              <w:spacing w:line="226" w:lineRule="exact"/>
              <w:ind w:right="542"/>
              <w:jc w:val="right"/>
              <w:rPr>
                <w:sz w:val="20"/>
              </w:rPr>
            </w:pPr>
            <w:r>
              <w:rPr>
                <w:w w:val="95"/>
                <w:sz w:val="20"/>
              </w:rPr>
              <w:t>494.69</w:t>
            </w:r>
          </w:p>
        </w:tc>
      </w:tr>
      <w:tr>
        <w:trPr>
          <w:trHeight w:val="249" w:hRule="exact"/>
        </w:trPr>
        <w:tc>
          <w:tcPr>
            <w:tcW w:w="1446" w:type="dxa"/>
          </w:tcPr>
          <w:p>
            <w:pPr>
              <w:pStyle w:val="TableParagraph"/>
              <w:spacing w:line="226" w:lineRule="exact"/>
              <w:ind w:left="233" w:right="167"/>
              <w:jc w:val="center"/>
              <w:rPr>
                <w:sz w:val="20"/>
              </w:rPr>
            </w:pPr>
            <w:r>
              <w:rPr>
                <w:sz w:val="20"/>
              </w:rPr>
              <w:t>32</w:t>
            </w:r>
          </w:p>
        </w:tc>
        <w:tc>
          <w:tcPr>
            <w:tcW w:w="1869" w:type="dxa"/>
          </w:tcPr>
          <w:p>
            <w:pPr>
              <w:pStyle w:val="TableParagraph"/>
              <w:spacing w:line="226" w:lineRule="exact"/>
              <w:ind w:left="673"/>
              <w:rPr>
                <w:sz w:val="20"/>
              </w:rPr>
            </w:pPr>
            <w:r>
              <w:rPr>
                <w:sz w:val="20"/>
              </w:rPr>
              <w:t>0.247</w:t>
            </w:r>
          </w:p>
        </w:tc>
        <w:tc>
          <w:tcPr>
            <w:tcW w:w="1725" w:type="dxa"/>
          </w:tcPr>
          <w:p>
            <w:pPr>
              <w:pStyle w:val="TableParagraph"/>
              <w:spacing w:before="1"/>
              <w:ind w:left="242" w:right="355"/>
              <w:jc w:val="center"/>
              <w:rPr>
                <w:b/>
                <w:sz w:val="20"/>
              </w:rPr>
            </w:pPr>
            <w:r>
              <w:rPr>
                <w:b/>
                <w:sz w:val="20"/>
              </w:rPr>
              <w:t>1.235</w:t>
            </w:r>
          </w:p>
        </w:tc>
        <w:tc>
          <w:tcPr>
            <w:tcW w:w="1496" w:type="dxa"/>
          </w:tcPr>
          <w:p>
            <w:pPr>
              <w:pStyle w:val="TableParagraph"/>
              <w:spacing w:line="226" w:lineRule="exact"/>
              <w:ind w:left="357" w:right="228"/>
              <w:jc w:val="center"/>
              <w:rPr>
                <w:sz w:val="20"/>
              </w:rPr>
            </w:pPr>
            <w:r>
              <w:rPr>
                <w:sz w:val="20"/>
              </w:rPr>
              <w:t>4.04</w:t>
            </w:r>
          </w:p>
        </w:tc>
        <w:tc>
          <w:tcPr>
            <w:tcW w:w="1767" w:type="dxa"/>
          </w:tcPr>
          <w:p>
            <w:pPr>
              <w:pStyle w:val="TableParagraph"/>
              <w:spacing w:line="226" w:lineRule="exact"/>
              <w:ind w:right="542"/>
              <w:jc w:val="right"/>
              <w:rPr>
                <w:sz w:val="20"/>
              </w:rPr>
            </w:pPr>
            <w:r>
              <w:rPr>
                <w:w w:val="95"/>
                <w:sz w:val="20"/>
              </w:rPr>
              <w:t>495.96</w:t>
            </w:r>
          </w:p>
        </w:tc>
      </w:tr>
      <w:tr>
        <w:trPr>
          <w:trHeight w:val="249" w:hRule="exact"/>
        </w:trPr>
        <w:tc>
          <w:tcPr>
            <w:tcW w:w="1446" w:type="dxa"/>
          </w:tcPr>
          <w:p>
            <w:pPr>
              <w:pStyle w:val="TableParagraph"/>
              <w:spacing w:line="225" w:lineRule="exact"/>
              <w:ind w:left="233" w:right="167"/>
              <w:jc w:val="center"/>
              <w:rPr>
                <w:sz w:val="20"/>
              </w:rPr>
            </w:pPr>
            <w:r>
              <w:rPr>
                <w:sz w:val="20"/>
              </w:rPr>
              <w:t>33</w:t>
            </w:r>
          </w:p>
        </w:tc>
        <w:tc>
          <w:tcPr>
            <w:tcW w:w="1869" w:type="dxa"/>
          </w:tcPr>
          <w:p>
            <w:pPr>
              <w:pStyle w:val="TableParagraph"/>
              <w:spacing w:line="225" w:lineRule="exact"/>
              <w:ind w:left="673"/>
              <w:rPr>
                <w:sz w:val="20"/>
              </w:rPr>
            </w:pPr>
            <w:r>
              <w:rPr>
                <w:sz w:val="20"/>
              </w:rPr>
              <w:t>0.224</w:t>
            </w:r>
          </w:p>
        </w:tc>
        <w:tc>
          <w:tcPr>
            <w:tcW w:w="1725" w:type="dxa"/>
          </w:tcPr>
          <w:p>
            <w:pPr>
              <w:pStyle w:val="TableParagraph"/>
              <w:ind w:left="242" w:right="355"/>
              <w:jc w:val="center"/>
              <w:rPr>
                <w:b/>
                <w:sz w:val="20"/>
              </w:rPr>
            </w:pPr>
            <w:r>
              <w:rPr>
                <w:b/>
                <w:sz w:val="20"/>
              </w:rPr>
              <w:t>1.120</w:t>
            </w:r>
          </w:p>
        </w:tc>
        <w:tc>
          <w:tcPr>
            <w:tcW w:w="1496" w:type="dxa"/>
          </w:tcPr>
          <w:p>
            <w:pPr>
              <w:pStyle w:val="TableParagraph"/>
              <w:spacing w:line="225" w:lineRule="exact"/>
              <w:ind w:left="357" w:right="228"/>
              <w:jc w:val="center"/>
              <w:rPr>
                <w:sz w:val="20"/>
              </w:rPr>
            </w:pPr>
            <w:r>
              <w:rPr>
                <w:sz w:val="20"/>
              </w:rPr>
              <w:t>4.46</w:t>
            </w:r>
          </w:p>
        </w:tc>
        <w:tc>
          <w:tcPr>
            <w:tcW w:w="1767" w:type="dxa"/>
          </w:tcPr>
          <w:p>
            <w:pPr>
              <w:pStyle w:val="TableParagraph"/>
              <w:spacing w:line="225" w:lineRule="exact"/>
              <w:ind w:right="542"/>
              <w:jc w:val="right"/>
              <w:rPr>
                <w:sz w:val="20"/>
              </w:rPr>
            </w:pPr>
            <w:r>
              <w:rPr>
                <w:w w:val="95"/>
                <w:sz w:val="20"/>
              </w:rPr>
              <w:t>495.54</w:t>
            </w:r>
          </w:p>
        </w:tc>
      </w:tr>
      <w:tr>
        <w:trPr>
          <w:trHeight w:val="250" w:hRule="exact"/>
        </w:trPr>
        <w:tc>
          <w:tcPr>
            <w:tcW w:w="1446" w:type="dxa"/>
          </w:tcPr>
          <w:p>
            <w:pPr>
              <w:pStyle w:val="TableParagraph"/>
              <w:spacing w:line="226" w:lineRule="exact"/>
              <w:ind w:left="233" w:right="167"/>
              <w:jc w:val="center"/>
              <w:rPr>
                <w:sz w:val="20"/>
              </w:rPr>
            </w:pPr>
            <w:r>
              <w:rPr>
                <w:sz w:val="20"/>
              </w:rPr>
              <w:t>34</w:t>
            </w:r>
          </w:p>
        </w:tc>
        <w:tc>
          <w:tcPr>
            <w:tcW w:w="1869" w:type="dxa"/>
          </w:tcPr>
          <w:p>
            <w:pPr>
              <w:pStyle w:val="TableParagraph"/>
              <w:spacing w:line="226" w:lineRule="exact"/>
              <w:ind w:left="673"/>
              <w:rPr>
                <w:sz w:val="20"/>
              </w:rPr>
            </w:pPr>
            <w:r>
              <w:rPr>
                <w:sz w:val="20"/>
              </w:rPr>
              <w:t>0.213</w:t>
            </w:r>
          </w:p>
        </w:tc>
        <w:tc>
          <w:tcPr>
            <w:tcW w:w="1725" w:type="dxa"/>
          </w:tcPr>
          <w:p>
            <w:pPr>
              <w:pStyle w:val="TableParagraph"/>
              <w:spacing w:before="1"/>
              <w:ind w:left="242" w:right="355"/>
              <w:jc w:val="center"/>
              <w:rPr>
                <w:b/>
                <w:sz w:val="20"/>
              </w:rPr>
            </w:pPr>
            <w:r>
              <w:rPr>
                <w:b/>
                <w:sz w:val="20"/>
              </w:rPr>
              <w:t>1.065</w:t>
            </w:r>
          </w:p>
        </w:tc>
        <w:tc>
          <w:tcPr>
            <w:tcW w:w="1496" w:type="dxa"/>
          </w:tcPr>
          <w:p>
            <w:pPr>
              <w:pStyle w:val="TableParagraph"/>
              <w:spacing w:line="226" w:lineRule="exact"/>
              <w:ind w:left="357" w:right="228"/>
              <w:jc w:val="center"/>
              <w:rPr>
                <w:sz w:val="20"/>
              </w:rPr>
            </w:pPr>
            <w:r>
              <w:rPr>
                <w:sz w:val="20"/>
              </w:rPr>
              <w:t>4.69</w:t>
            </w:r>
          </w:p>
        </w:tc>
        <w:tc>
          <w:tcPr>
            <w:tcW w:w="1767" w:type="dxa"/>
          </w:tcPr>
          <w:p>
            <w:pPr>
              <w:pStyle w:val="TableParagraph"/>
              <w:spacing w:line="226" w:lineRule="exact"/>
              <w:ind w:right="542"/>
              <w:jc w:val="right"/>
              <w:rPr>
                <w:sz w:val="20"/>
              </w:rPr>
            </w:pPr>
            <w:r>
              <w:rPr>
                <w:w w:val="95"/>
                <w:sz w:val="20"/>
              </w:rPr>
              <w:t>495.31</w:t>
            </w:r>
          </w:p>
        </w:tc>
      </w:tr>
      <w:tr>
        <w:trPr>
          <w:trHeight w:val="250" w:hRule="exact"/>
        </w:trPr>
        <w:tc>
          <w:tcPr>
            <w:tcW w:w="1446" w:type="dxa"/>
          </w:tcPr>
          <w:p>
            <w:pPr>
              <w:pStyle w:val="TableParagraph"/>
              <w:spacing w:line="226" w:lineRule="exact"/>
              <w:ind w:left="233" w:right="167"/>
              <w:jc w:val="center"/>
              <w:rPr>
                <w:sz w:val="20"/>
              </w:rPr>
            </w:pPr>
            <w:r>
              <w:rPr>
                <w:sz w:val="20"/>
              </w:rPr>
              <w:t>35</w:t>
            </w:r>
          </w:p>
        </w:tc>
        <w:tc>
          <w:tcPr>
            <w:tcW w:w="1869" w:type="dxa"/>
          </w:tcPr>
          <w:p>
            <w:pPr>
              <w:pStyle w:val="TableParagraph"/>
              <w:spacing w:line="226" w:lineRule="exact"/>
              <w:ind w:left="673"/>
              <w:rPr>
                <w:sz w:val="20"/>
              </w:rPr>
            </w:pPr>
            <w:r>
              <w:rPr>
                <w:sz w:val="20"/>
              </w:rPr>
              <w:t>0.201</w:t>
            </w:r>
          </w:p>
        </w:tc>
        <w:tc>
          <w:tcPr>
            <w:tcW w:w="1725" w:type="dxa"/>
          </w:tcPr>
          <w:p>
            <w:pPr>
              <w:pStyle w:val="TableParagraph"/>
              <w:spacing w:before="1"/>
              <w:ind w:left="242" w:right="355"/>
              <w:jc w:val="center"/>
              <w:rPr>
                <w:b/>
                <w:sz w:val="20"/>
              </w:rPr>
            </w:pPr>
            <w:r>
              <w:rPr>
                <w:b/>
                <w:sz w:val="20"/>
              </w:rPr>
              <w:t>1.005</w:t>
            </w:r>
          </w:p>
        </w:tc>
        <w:tc>
          <w:tcPr>
            <w:tcW w:w="1496" w:type="dxa"/>
          </w:tcPr>
          <w:p>
            <w:pPr>
              <w:pStyle w:val="TableParagraph"/>
              <w:spacing w:line="226" w:lineRule="exact"/>
              <w:ind w:left="357" w:right="228"/>
              <w:jc w:val="center"/>
              <w:rPr>
                <w:sz w:val="20"/>
              </w:rPr>
            </w:pPr>
            <w:r>
              <w:rPr>
                <w:sz w:val="20"/>
              </w:rPr>
              <w:t>4.97</w:t>
            </w:r>
          </w:p>
        </w:tc>
        <w:tc>
          <w:tcPr>
            <w:tcW w:w="1767" w:type="dxa"/>
          </w:tcPr>
          <w:p>
            <w:pPr>
              <w:pStyle w:val="TableParagraph"/>
              <w:spacing w:line="226" w:lineRule="exact"/>
              <w:ind w:right="542"/>
              <w:jc w:val="right"/>
              <w:rPr>
                <w:sz w:val="20"/>
              </w:rPr>
            </w:pPr>
            <w:r>
              <w:rPr>
                <w:w w:val="95"/>
                <w:sz w:val="20"/>
              </w:rPr>
              <w:t>495.03</w:t>
            </w:r>
          </w:p>
        </w:tc>
      </w:tr>
      <w:tr>
        <w:trPr>
          <w:trHeight w:val="248" w:hRule="exact"/>
        </w:trPr>
        <w:tc>
          <w:tcPr>
            <w:tcW w:w="1446" w:type="dxa"/>
          </w:tcPr>
          <w:p>
            <w:pPr>
              <w:pStyle w:val="TableParagraph"/>
              <w:spacing w:line="226" w:lineRule="exact"/>
              <w:ind w:left="233" w:right="167"/>
              <w:jc w:val="center"/>
              <w:rPr>
                <w:sz w:val="20"/>
              </w:rPr>
            </w:pPr>
            <w:r>
              <w:rPr>
                <w:sz w:val="20"/>
              </w:rPr>
              <w:t>36</w:t>
            </w:r>
          </w:p>
        </w:tc>
        <w:tc>
          <w:tcPr>
            <w:tcW w:w="1869" w:type="dxa"/>
          </w:tcPr>
          <w:p>
            <w:pPr>
              <w:pStyle w:val="TableParagraph"/>
              <w:spacing w:line="226" w:lineRule="exact"/>
              <w:ind w:left="673"/>
              <w:rPr>
                <w:sz w:val="20"/>
              </w:rPr>
            </w:pPr>
            <w:r>
              <w:rPr>
                <w:sz w:val="20"/>
              </w:rPr>
              <w:t>0.204</w:t>
            </w:r>
          </w:p>
        </w:tc>
        <w:tc>
          <w:tcPr>
            <w:tcW w:w="1725" w:type="dxa"/>
          </w:tcPr>
          <w:p>
            <w:pPr>
              <w:pStyle w:val="TableParagraph"/>
              <w:spacing w:before="1"/>
              <w:ind w:left="242" w:right="355"/>
              <w:jc w:val="center"/>
              <w:rPr>
                <w:b/>
                <w:sz w:val="20"/>
              </w:rPr>
            </w:pPr>
            <w:r>
              <w:rPr>
                <w:b/>
                <w:sz w:val="20"/>
              </w:rPr>
              <w:t>1.020</w:t>
            </w:r>
          </w:p>
        </w:tc>
        <w:tc>
          <w:tcPr>
            <w:tcW w:w="1496" w:type="dxa"/>
          </w:tcPr>
          <w:p>
            <w:pPr>
              <w:pStyle w:val="TableParagraph"/>
              <w:spacing w:line="226" w:lineRule="exact"/>
              <w:ind w:left="357" w:right="228"/>
              <w:jc w:val="center"/>
              <w:rPr>
                <w:sz w:val="20"/>
              </w:rPr>
            </w:pPr>
            <w:r>
              <w:rPr>
                <w:sz w:val="20"/>
              </w:rPr>
              <w:t>4.90</w:t>
            </w:r>
          </w:p>
        </w:tc>
        <w:tc>
          <w:tcPr>
            <w:tcW w:w="1767" w:type="dxa"/>
          </w:tcPr>
          <w:p>
            <w:pPr>
              <w:pStyle w:val="TableParagraph"/>
              <w:spacing w:line="226" w:lineRule="exact"/>
              <w:ind w:right="542"/>
              <w:jc w:val="right"/>
              <w:rPr>
                <w:sz w:val="20"/>
              </w:rPr>
            </w:pPr>
            <w:r>
              <w:rPr>
                <w:w w:val="95"/>
                <w:sz w:val="20"/>
              </w:rPr>
              <w:t>495.10</w:t>
            </w:r>
          </w:p>
        </w:tc>
      </w:tr>
      <w:tr>
        <w:trPr>
          <w:trHeight w:val="248" w:hRule="exact"/>
        </w:trPr>
        <w:tc>
          <w:tcPr>
            <w:tcW w:w="1446" w:type="dxa"/>
          </w:tcPr>
          <w:p>
            <w:pPr>
              <w:pStyle w:val="TableParagraph"/>
              <w:spacing w:line="225" w:lineRule="exact"/>
              <w:ind w:left="233" w:right="167"/>
              <w:jc w:val="center"/>
              <w:rPr>
                <w:sz w:val="20"/>
              </w:rPr>
            </w:pPr>
            <w:r>
              <w:rPr>
                <w:sz w:val="20"/>
              </w:rPr>
              <w:t>37</w:t>
            </w:r>
          </w:p>
        </w:tc>
        <w:tc>
          <w:tcPr>
            <w:tcW w:w="1869" w:type="dxa"/>
          </w:tcPr>
          <w:p>
            <w:pPr>
              <w:pStyle w:val="TableParagraph"/>
              <w:spacing w:line="225" w:lineRule="exact"/>
              <w:ind w:left="673"/>
              <w:rPr>
                <w:sz w:val="20"/>
              </w:rPr>
            </w:pPr>
            <w:r>
              <w:rPr>
                <w:sz w:val="20"/>
              </w:rPr>
              <w:t>0.302</w:t>
            </w:r>
          </w:p>
        </w:tc>
        <w:tc>
          <w:tcPr>
            <w:tcW w:w="1725" w:type="dxa"/>
          </w:tcPr>
          <w:p>
            <w:pPr>
              <w:pStyle w:val="TableParagraph"/>
              <w:ind w:left="242" w:right="355"/>
              <w:jc w:val="center"/>
              <w:rPr>
                <w:b/>
                <w:sz w:val="20"/>
              </w:rPr>
            </w:pPr>
            <w:r>
              <w:rPr>
                <w:b/>
                <w:sz w:val="20"/>
              </w:rPr>
              <w:t>1.510</w:t>
            </w:r>
          </w:p>
        </w:tc>
        <w:tc>
          <w:tcPr>
            <w:tcW w:w="1496" w:type="dxa"/>
          </w:tcPr>
          <w:p>
            <w:pPr>
              <w:pStyle w:val="TableParagraph"/>
              <w:spacing w:line="225" w:lineRule="exact"/>
              <w:ind w:left="357" w:right="228"/>
              <w:jc w:val="center"/>
              <w:rPr>
                <w:sz w:val="20"/>
              </w:rPr>
            </w:pPr>
            <w:r>
              <w:rPr>
                <w:sz w:val="20"/>
              </w:rPr>
              <w:t>3.31</w:t>
            </w:r>
          </w:p>
        </w:tc>
        <w:tc>
          <w:tcPr>
            <w:tcW w:w="1767" w:type="dxa"/>
          </w:tcPr>
          <w:p>
            <w:pPr>
              <w:pStyle w:val="TableParagraph"/>
              <w:spacing w:line="225" w:lineRule="exact"/>
              <w:ind w:right="542"/>
              <w:jc w:val="right"/>
              <w:rPr>
                <w:sz w:val="20"/>
              </w:rPr>
            </w:pPr>
            <w:r>
              <w:rPr>
                <w:w w:val="95"/>
                <w:sz w:val="20"/>
              </w:rPr>
              <w:t>496.69</w:t>
            </w:r>
          </w:p>
        </w:tc>
      </w:tr>
      <w:tr>
        <w:trPr>
          <w:trHeight w:val="250" w:hRule="exact"/>
        </w:trPr>
        <w:tc>
          <w:tcPr>
            <w:tcW w:w="1446" w:type="dxa"/>
          </w:tcPr>
          <w:p>
            <w:pPr>
              <w:pStyle w:val="TableParagraph"/>
              <w:spacing w:line="226" w:lineRule="exact"/>
              <w:ind w:left="233" w:right="167"/>
              <w:jc w:val="center"/>
              <w:rPr>
                <w:sz w:val="20"/>
              </w:rPr>
            </w:pPr>
            <w:r>
              <w:rPr>
                <w:sz w:val="20"/>
              </w:rPr>
              <w:t>38</w:t>
            </w:r>
          </w:p>
        </w:tc>
        <w:tc>
          <w:tcPr>
            <w:tcW w:w="1869" w:type="dxa"/>
          </w:tcPr>
          <w:p>
            <w:pPr>
              <w:pStyle w:val="TableParagraph"/>
              <w:spacing w:line="226" w:lineRule="exact"/>
              <w:ind w:left="673"/>
              <w:rPr>
                <w:sz w:val="20"/>
              </w:rPr>
            </w:pPr>
            <w:r>
              <w:rPr>
                <w:sz w:val="20"/>
              </w:rPr>
              <w:t>0.189</w:t>
            </w:r>
          </w:p>
        </w:tc>
        <w:tc>
          <w:tcPr>
            <w:tcW w:w="1725" w:type="dxa"/>
          </w:tcPr>
          <w:p>
            <w:pPr>
              <w:pStyle w:val="TableParagraph"/>
              <w:spacing w:before="1"/>
              <w:ind w:left="242" w:right="355"/>
              <w:jc w:val="center"/>
              <w:rPr>
                <w:b/>
                <w:sz w:val="20"/>
              </w:rPr>
            </w:pPr>
            <w:r>
              <w:rPr>
                <w:b/>
                <w:sz w:val="20"/>
              </w:rPr>
              <w:t>0.945</w:t>
            </w:r>
          </w:p>
        </w:tc>
        <w:tc>
          <w:tcPr>
            <w:tcW w:w="1496" w:type="dxa"/>
          </w:tcPr>
          <w:p>
            <w:pPr>
              <w:pStyle w:val="TableParagraph"/>
              <w:spacing w:line="226" w:lineRule="exact"/>
              <w:ind w:left="357" w:right="228"/>
              <w:jc w:val="center"/>
              <w:rPr>
                <w:sz w:val="20"/>
              </w:rPr>
            </w:pPr>
            <w:r>
              <w:rPr>
                <w:sz w:val="20"/>
              </w:rPr>
              <w:t>5.29</w:t>
            </w:r>
          </w:p>
        </w:tc>
        <w:tc>
          <w:tcPr>
            <w:tcW w:w="1767" w:type="dxa"/>
          </w:tcPr>
          <w:p>
            <w:pPr>
              <w:pStyle w:val="TableParagraph"/>
              <w:spacing w:line="226" w:lineRule="exact"/>
              <w:ind w:right="542"/>
              <w:jc w:val="right"/>
              <w:rPr>
                <w:sz w:val="20"/>
              </w:rPr>
            </w:pPr>
            <w:r>
              <w:rPr>
                <w:w w:val="95"/>
                <w:sz w:val="20"/>
              </w:rPr>
              <w:t>494.71</w:t>
            </w:r>
          </w:p>
        </w:tc>
      </w:tr>
      <w:tr>
        <w:trPr>
          <w:trHeight w:val="243" w:hRule="exact"/>
        </w:trPr>
        <w:tc>
          <w:tcPr>
            <w:tcW w:w="1446" w:type="dxa"/>
            <w:tcBorders>
              <w:bottom w:val="single" w:sz="8" w:space="0" w:color="000000"/>
            </w:tcBorders>
          </w:tcPr>
          <w:p>
            <w:pPr>
              <w:pStyle w:val="TableParagraph"/>
              <w:spacing w:line="226" w:lineRule="exact"/>
              <w:ind w:left="233" w:right="167"/>
              <w:jc w:val="center"/>
              <w:rPr>
                <w:sz w:val="20"/>
              </w:rPr>
            </w:pPr>
            <w:r>
              <w:rPr>
                <w:sz w:val="20"/>
              </w:rPr>
              <w:t>39</w:t>
            </w:r>
          </w:p>
        </w:tc>
        <w:tc>
          <w:tcPr>
            <w:tcW w:w="1869" w:type="dxa"/>
            <w:tcBorders>
              <w:bottom w:val="single" w:sz="8" w:space="0" w:color="000000"/>
            </w:tcBorders>
          </w:tcPr>
          <w:p>
            <w:pPr>
              <w:pStyle w:val="TableParagraph"/>
              <w:spacing w:line="226" w:lineRule="exact"/>
              <w:ind w:left="673"/>
              <w:rPr>
                <w:sz w:val="20"/>
              </w:rPr>
            </w:pPr>
            <w:r>
              <w:rPr>
                <w:sz w:val="20"/>
              </w:rPr>
              <w:t>0.219</w:t>
            </w:r>
          </w:p>
        </w:tc>
        <w:tc>
          <w:tcPr>
            <w:tcW w:w="1725" w:type="dxa"/>
            <w:tcBorders>
              <w:bottom w:val="single" w:sz="8" w:space="0" w:color="000000"/>
            </w:tcBorders>
          </w:tcPr>
          <w:p>
            <w:pPr>
              <w:pStyle w:val="TableParagraph"/>
              <w:spacing w:before="1"/>
              <w:ind w:left="242" w:right="355"/>
              <w:jc w:val="center"/>
              <w:rPr>
                <w:b/>
                <w:sz w:val="20"/>
              </w:rPr>
            </w:pPr>
            <w:r>
              <w:rPr>
                <w:b/>
                <w:sz w:val="20"/>
              </w:rPr>
              <w:t>1.095</w:t>
            </w:r>
          </w:p>
        </w:tc>
        <w:tc>
          <w:tcPr>
            <w:tcW w:w="1496" w:type="dxa"/>
            <w:tcBorders>
              <w:bottom w:val="single" w:sz="8" w:space="0" w:color="000000"/>
            </w:tcBorders>
          </w:tcPr>
          <w:p>
            <w:pPr>
              <w:pStyle w:val="TableParagraph"/>
              <w:spacing w:line="226" w:lineRule="exact"/>
              <w:ind w:left="357" w:right="228"/>
              <w:jc w:val="center"/>
              <w:rPr>
                <w:sz w:val="20"/>
              </w:rPr>
            </w:pPr>
            <w:r>
              <w:rPr>
                <w:sz w:val="20"/>
              </w:rPr>
              <w:t>4.56</w:t>
            </w:r>
          </w:p>
        </w:tc>
        <w:tc>
          <w:tcPr>
            <w:tcW w:w="1767" w:type="dxa"/>
            <w:tcBorders>
              <w:bottom w:val="single" w:sz="8" w:space="0" w:color="000000"/>
            </w:tcBorders>
          </w:tcPr>
          <w:p>
            <w:pPr>
              <w:pStyle w:val="TableParagraph"/>
              <w:spacing w:line="226" w:lineRule="exact"/>
              <w:ind w:right="542"/>
              <w:jc w:val="right"/>
              <w:rPr>
                <w:sz w:val="20"/>
              </w:rPr>
            </w:pPr>
            <w:r>
              <w:rPr>
                <w:w w:val="95"/>
                <w:sz w:val="20"/>
              </w:rPr>
              <w:t>495.44</w:t>
            </w:r>
          </w:p>
        </w:tc>
      </w:tr>
    </w:tbl>
    <w:p>
      <w:pPr>
        <w:spacing w:after="0" w:line="226" w:lineRule="exact"/>
        <w:jc w:val="right"/>
        <w:rPr>
          <w:sz w:val="20"/>
        </w:rPr>
        <w:sectPr>
          <w:footerReference w:type="default" r:id="rId78"/>
          <w:pgSz w:w="12240" w:h="15840"/>
          <w:pgMar w:footer="1563" w:header="0" w:top="1360" w:bottom="1760" w:left="1520" w:right="1300"/>
          <w:pgNumType w:start="83"/>
        </w:sectPr>
      </w:pPr>
    </w:p>
    <w:p>
      <w:pPr>
        <w:pStyle w:val="BodyText"/>
        <w:spacing w:before="52"/>
        <w:ind w:left="122"/>
        <w:jc w:val="both"/>
      </w:pPr>
      <w:r>
        <w:rPr>
          <w:b/>
        </w:rPr>
        <w:t>Tabla 2. </w:t>
      </w:r>
      <w:r>
        <w:rPr/>
        <w:t>Componentes y concentraciones para preparar 25 µL de mezcla de reacción.</w:t>
      </w:r>
    </w:p>
    <w:p>
      <w:pPr>
        <w:pStyle w:val="BodyText"/>
        <w:spacing w:before="7"/>
        <w:rPr>
          <w:sz w:val="2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6"/>
        <w:gridCol w:w="1554"/>
        <w:gridCol w:w="1613"/>
        <w:gridCol w:w="1589"/>
        <w:gridCol w:w="1683"/>
      </w:tblGrid>
      <w:tr>
        <w:trPr>
          <w:trHeight w:val="545" w:hRule="exact"/>
        </w:trPr>
        <w:tc>
          <w:tcPr>
            <w:tcW w:w="1766" w:type="dxa"/>
            <w:tcBorders>
              <w:left w:val="nil"/>
              <w:right w:val="nil"/>
            </w:tcBorders>
          </w:tcPr>
          <w:p>
            <w:pPr>
              <w:pStyle w:val="TableParagraph"/>
              <w:spacing w:before="6"/>
              <w:rPr>
                <w:sz w:val="20"/>
              </w:rPr>
            </w:pPr>
          </w:p>
          <w:p>
            <w:pPr>
              <w:pStyle w:val="TableParagraph"/>
              <w:ind w:left="132"/>
              <w:rPr>
                <w:b/>
                <w:sz w:val="24"/>
              </w:rPr>
            </w:pPr>
            <w:r>
              <w:rPr>
                <w:b/>
                <w:sz w:val="24"/>
              </w:rPr>
              <w:t>Componentes</w:t>
            </w:r>
          </w:p>
        </w:tc>
        <w:tc>
          <w:tcPr>
            <w:tcW w:w="1554" w:type="dxa"/>
            <w:tcBorders>
              <w:left w:val="nil"/>
              <w:right w:val="nil"/>
            </w:tcBorders>
          </w:tcPr>
          <w:p>
            <w:pPr>
              <w:pStyle w:val="TableParagraph"/>
              <w:spacing w:before="6"/>
              <w:rPr>
                <w:sz w:val="20"/>
              </w:rPr>
            </w:pPr>
          </w:p>
          <w:p>
            <w:pPr>
              <w:pStyle w:val="TableParagraph"/>
              <w:ind w:left="203" w:right="349"/>
              <w:jc w:val="center"/>
              <w:rPr>
                <w:b/>
                <w:sz w:val="24"/>
              </w:rPr>
            </w:pPr>
            <w:r>
              <w:rPr>
                <w:b/>
                <w:sz w:val="24"/>
              </w:rPr>
              <w:t>[Stock]</w:t>
            </w:r>
          </w:p>
        </w:tc>
        <w:tc>
          <w:tcPr>
            <w:tcW w:w="1613" w:type="dxa"/>
            <w:tcBorders>
              <w:left w:val="nil"/>
              <w:right w:val="nil"/>
            </w:tcBorders>
          </w:tcPr>
          <w:p>
            <w:pPr>
              <w:pStyle w:val="TableParagraph"/>
              <w:spacing w:before="6"/>
              <w:rPr>
                <w:sz w:val="20"/>
              </w:rPr>
            </w:pPr>
          </w:p>
          <w:p>
            <w:pPr>
              <w:pStyle w:val="TableParagraph"/>
              <w:ind w:left="351" w:right="388"/>
              <w:jc w:val="center"/>
              <w:rPr>
                <w:b/>
                <w:sz w:val="24"/>
              </w:rPr>
            </w:pPr>
            <w:r>
              <w:rPr>
                <w:b/>
                <w:sz w:val="24"/>
              </w:rPr>
              <w:t>[Final]</w:t>
            </w:r>
          </w:p>
        </w:tc>
        <w:tc>
          <w:tcPr>
            <w:tcW w:w="1589" w:type="dxa"/>
            <w:tcBorders>
              <w:left w:val="nil"/>
              <w:right w:val="nil"/>
            </w:tcBorders>
          </w:tcPr>
          <w:p>
            <w:pPr>
              <w:pStyle w:val="TableParagraph"/>
              <w:spacing w:before="6"/>
              <w:rPr>
                <w:sz w:val="20"/>
              </w:rPr>
            </w:pPr>
          </w:p>
          <w:p>
            <w:pPr>
              <w:pStyle w:val="TableParagraph"/>
              <w:ind w:left="387" w:right="349"/>
              <w:jc w:val="center"/>
              <w:rPr>
                <w:b/>
                <w:sz w:val="24"/>
              </w:rPr>
            </w:pPr>
            <w:r>
              <w:rPr>
                <w:b/>
                <w:sz w:val="24"/>
              </w:rPr>
              <w:t>1X (µL)</w:t>
            </w:r>
          </w:p>
        </w:tc>
        <w:tc>
          <w:tcPr>
            <w:tcW w:w="1683" w:type="dxa"/>
            <w:tcBorders>
              <w:left w:val="nil"/>
              <w:right w:val="nil"/>
            </w:tcBorders>
          </w:tcPr>
          <w:p>
            <w:pPr>
              <w:pStyle w:val="TableParagraph"/>
              <w:spacing w:before="6"/>
              <w:rPr>
                <w:sz w:val="20"/>
              </w:rPr>
            </w:pPr>
          </w:p>
          <w:p>
            <w:pPr>
              <w:pStyle w:val="TableParagraph"/>
              <w:ind w:left="349" w:right="302"/>
              <w:jc w:val="center"/>
              <w:rPr>
                <w:b/>
                <w:sz w:val="24"/>
              </w:rPr>
            </w:pPr>
            <w:r>
              <w:rPr>
                <w:b/>
                <w:sz w:val="24"/>
              </w:rPr>
              <w:t>41 X (µL)</w:t>
            </w:r>
          </w:p>
        </w:tc>
      </w:tr>
      <w:tr>
        <w:trPr>
          <w:trHeight w:val="672" w:hRule="exact"/>
        </w:trPr>
        <w:tc>
          <w:tcPr>
            <w:tcW w:w="1766" w:type="dxa"/>
            <w:tcBorders>
              <w:left w:val="nil"/>
              <w:bottom w:val="nil"/>
              <w:right w:val="nil"/>
            </w:tcBorders>
          </w:tcPr>
          <w:p>
            <w:pPr>
              <w:pStyle w:val="TableParagraph"/>
              <w:spacing w:before="1"/>
              <w:rPr>
                <w:sz w:val="20"/>
              </w:rPr>
            </w:pPr>
          </w:p>
          <w:p>
            <w:pPr>
              <w:pStyle w:val="TableParagraph"/>
              <w:spacing w:before="1"/>
              <w:ind w:left="122"/>
              <w:rPr>
                <w:sz w:val="24"/>
              </w:rPr>
            </w:pPr>
            <w:r>
              <w:rPr>
                <w:sz w:val="24"/>
              </w:rPr>
              <w:t>Agua</w:t>
            </w:r>
          </w:p>
        </w:tc>
        <w:tc>
          <w:tcPr>
            <w:tcW w:w="1554" w:type="dxa"/>
            <w:tcBorders>
              <w:left w:val="nil"/>
              <w:bottom w:val="nil"/>
              <w:right w:val="nil"/>
            </w:tcBorders>
          </w:tcPr>
          <w:p>
            <w:pPr/>
          </w:p>
        </w:tc>
        <w:tc>
          <w:tcPr>
            <w:tcW w:w="1613" w:type="dxa"/>
            <w:tcBorders>
              <w:left w:val="nil"/>
              <w:bottom w:val="nil"/>
              <w:right w:val="nil"/>
            </w:tcBorders>
          </w:tcPr>
          <w:p>
            <w:pPr/>
          </w:p>
        </w:tc>
        <w:tc>
          <w:tcPr>
            <w:tcW w:w="1589" w:type="dxa"/>
            <w:tcBorders>
              <w:left w:val="nil"/>
              <w:bottom w:val="nil"/>
              <w:right w:val="nil"/>
            </w:tcBorders>
          </w:tcPr>
          <w:p>
            <w:pPr>
              <w:pStyle w:val="TableParagraph"/>
              <w:spacing w:before="1"/>
              <w:rPr>
                <w:sz w:val="20"/>
              </w:rPr>
            </w:pPr>
          </w:p>
          <w:p>
            <w:pPr>
              <w:pStyle w:val="TableParagraph"/>
              <w:spacing w:before="1"/>
              <w:ind w:left="387" w:right="347"/>
              <w:jc w:val="center"/>
              <w:rPr>
                <w:sz w:val="24"/>
              </w:rPr>
            </w:pPr>
            <w:r>
              <w:rPr>
                <w:sz w:val="24"/>
              </w:rPr>
              <w:t>5.2</w:t>
            </w:r>
          </w:p>
        </w:tc>
        <w:tc>
          <w:tcPr>
            <w:tcW w:w="1683" w:type="dxa"/>
            <w:tcBorders>
              <w:left w:val="nil"/>
              <w:bottom w:val="nil"/>
              <w:right w:val="nil"/>
            </w:tcBorders>
          </w:tcPr>
          <w:p>
            <w:pPr>
              <w:pStyle w:val="TableParagraph"/>
              <w:spacing w:before="1"/>
              <w:rPr>
                <w:sz w:val="20"/>
              </w:rPr>
            </w:pPr>
          </w:p>
          <w:p>
            <w:pPr>
              <w:pStyle w:val="TableParagraph"/>
              <w:spacing w:before="1"/>
              <w:ind w:left="349" w:right="302"/>
              <w:jc w:val="center"/>
              <w:rPr>
                <w:sz w:val="24"/>
              </w:rPr>
            </w:pPr>
            <w:r>
              <w:rPr>
                <w:sz w:val="24"/>
              </w:rPr>
              <w:t>213.2</w:t>
            </w:r>
          </w:p>
        </w:tc>
      </w:tr>
      <w:tr>
        <w:trPr>
          <w:trHeight w:val="630" w:hRule="exact"/>
        </w:trPr>
        <w:tc>
          <w:tcPr>
            <w:tcW w:w="1766" w:type="dxa"/>
            <w:tcBorders>
              <w:top w:val="nil"/>
              <w:left w:val="nil"/>
              <w:bottom w:val="nil"/>
              <w:right w:val="nil"/>
            </w:tcBorders>
          </w:tcPr>
          <w:p>
            <w:pPr>
              <w:pStyle w:val="TableParagraph"/>
              <w:spacing w:before="133"/>
              <w:ind w:left="122"/>
              <w:rPr>
                <w:sz w:val="24"/>
              </w:rPr>
            </w:pPr>
            <w:r>
              <w:rPr>
                <w:sz w:val="24"/>
              </w:rPr>
              <w:t>dNTPs</w:t>
            </w:r>
          </w:p>
        </w:tc>
        <w:tc>
          <w:tcPr>
            <w:tcW w:w="1554" w:type="dxa"/>
            <w:tcBorders>
              <w:top w:val="nil"/>
              <w:left w:val="nil"/>
              <w:bottom w:val="nil"/>
              <w:right w:val="nil"/>
            </w:tcBorders>
          </w:tcPr>
          <w:p>
            <w:pPr>
              <w:pStyle w:val="TableParagraph"/>
              <w:spacing w:before="133"/>
              <w:ind w:left="204" w:right="349"/>
              <w:jc w:val="center"/>
              <w:rPr>
                <w:sz w:val="24"/>
              </w:rPr>
            </w:pPr>
            <w:r>
              <w:rPr>
                <w:sz w:val="24"/>
              </w:rPr>
              <w:t>500 µM</w:t>
            </w:r>
          </w:p>
        </w:tc>
        <w:tc>
          <w:tcPr>
            <w:tcW w:w="1613" w:type="dxa"/>
            <w:tcBorders>
              <w:top w:val="nil"/>
              <w:left w:val="nil"/>
              <w:bottom w:val="nil"/>
              <w:right w:val="nil"/>
            </w:tcBorders>
          </w:tcPr>
          <w:p>
            <w:pPr>
              <w:pStyle w:val="TableParagraph"/>
              <w:spacing w:before="133"/>
              <w:ind w:left="354" w:right="388"/>
              <w:jc w:val="center"/>
              <w:rPr>
                <w:sz w:val="24"/>
              </w:rPr>
            </w:pPr>
            <w:r>
              <w:rPr>
                <w:sz w:val="24"/>
              </w:rPr>
              <w:t>200</w:t>
            </w:r>
            <w:r>
              <w:rPr>
                <w:spacing w:val="59"/>
                <w:sz w:val="24"/>
              </w:rPr>
              <w:t> </w:t>
            </w:r>
            <w:r>
              <w:rPr>
                <w:sz w:val="24"/>
              </w:rPr>
              <w:t>µM</w:t>
            </w:r>
          </w:p>
        </w:tc>
        <w:tc>
          <w:tcPr>
            <w:tcW w:w="1589" w:type="dxa"/>
            <w:tcBorders>
              <w:top w:val="nil"/>
              <w:left w:val="nil"/>
              <w:bottom w:val="nil"/>
              <w:right w:val="nil"/>
            </w:tcBorders>
          </w:tcPr>
          <w:p>
            <w:pPr>
              <w:pStyle w:val="TableParagraph"/>
              <w:spacing w:before="133"/>
              <w:ind w:left="387" w:right="349"/>
              <w:jc w:val="center"/>
              <w:rPr>
                <w:sz w:val="24"/>
              </w:rPr>
            </w:pPr>
            <w:r>
              <w:rPr>
                <w:sz w:val="24"/>
              </w:rPr>
              <w:t>10</w:t>
            </w:r>
          </w:p>
        </w:tc>
        <w:tc>
          <w:tcPr>
            <w:tcW w:w="1683" w:type="dxa"/>
            <w:tcBorders>
              <w:top w:val="nil"/>
              <w:left w:val="nil"/>
              <w:bottom w:val="nil"/>
              <w:right w:val="nil"/>
            </w:tcBorders>
          </w:tcPr>
          <w:p>
            <w:pPr>
              <w:pStyle w:val="TableParagraph"/>
              <w:spacing w:before="133"/>
              <w:ind w:left="346" w:right="302"/>
              <w:jc w:val="center"/>
              <w:rPr>
                <w:sz w:val="24"/>
              </w:rPr>
            </w:pPr>
            <w:r>
              <w:rPr>
                <w:sz w:val="24"/>
              </w:rPr>
              <w:t>410</w:t>
            </w:r>
          </w:p>
        </w:tc>
      </w:tr>
      <w:tr>
        <w:trPr>
          <w:trHeight w:val="696" w:hRule="exact"/>
        </w:trPr>
        <w:tc>
          <w:tcPr>
            <w:tcW w:w="1766" w:type="dxa"/>
            <w:tcBorders>
              <w:top w:val="nil"/>
              <w:left w:val="nil"/>
              <w:bottom w:val="nil"/>
              <w:right w:val="nil"/>
            </w:tcBorders>
          </w:tcPr>
          <w:p>
            <w:pPr>
              <w:pStyle w:val="TableParagraph"/>
              <w:spacing w:before="194"/>
              <w:ind w:left="122"/>
              <w:rPr>
                <w:sz w:val="24"/>
              </w:rPr>
            </w:pPr>
            <w:r>
              <w:rPr>
                <w:sz w:val="24"/>
              </w:rPr>
              <w:t>Amortiguador</w:t>
            </w:r>
          </w:p>
        </w:tc>
        <w:tc>
          <w:tcPr>
            <w:tcW w:w="1554" w:type="dxa"/>
            <w:tcBorders>
              <w:top w:val="nil"/>
              <w:left w:val="nil"/>
              <w:bottom w:val="nil"/>
              <w:right w:val="nil"/>
            </w:tcBorders>
          </w:tcPr>
          <w:p>
            <w:pPr>
              <w:pStyle w:val="TableParagraph"/>
              <w:spacing w:before="194"/>
              <w:ind w:left="205" w:right="349"/>
              <w:jc w:val="center"/>
              <w:rPr>
                <w:sz w:val="24"/>
              </w:rPr>
            </w:pPr>
            <w:r>
              <w:rPr>
                <w:sz w:val="24"/>
              </w:rPr>
              <w:t>10X</w:t>
            </w:r>
          </w:p>
        </w:tc>
        <w:tc>
          <w:tcPr>
            <w:tcW w:w="1613" w:type="dxa"/>
            <w:tcBorders>
              <w:top w:val="nil"/>
              <w:left w:val="nil"/>
              <w:bottom w:val="nil"/>
              <w:right w:val="nil"/>
            </w:tcBorders>
          </w:tcPr>
          <w:p>
            <w:pPr>
              <w:pStyle w:val="TableParagraph"/>
              <w:spacing w:before="194"/>
              <w:ind w:left="354" w:right="386"/>
              <w:jc w:val="center"/>
              <w:rPr>
                <w:sz w:val="24"/>
              </w:rPr>
            </w:pPr>
            <w:r>
              <w:rPr>
                <w:sz w:val="24"/>
              </w:rPr>
              <w:t>1X</w:t>
            </w:r>
          </w:p>
        </w:tc>
        <w:tc>
          <w:tcPr>
            <w:tcW w:w="1589" w:type="dxa"/>
            <w:tcBorders>
              <w:top w:val="nil"/>
              <w:left w:val="nil"/>
              <w:bottom w:val="nil"/>
              <w:right w:val="nil"/>
            </w:tcBorders>
          </w:tcPr>
          <w:p>
            <w:pPr>
              <w:pStyle w:val="TableParagraph"/>
              <w:spacing w:before="194"/>
              <w:ind w:left="387" w:right="347"/>
              <w:jc w:val="center"/>
              <w:rPr>
                <w:sz w:val="24"/>
              </w:rPr>
            </w:pPr>
            <w:r>
              <w:rPr>
                <w:sz w:val="24"/>
              </w:rPr>
              <w:t>2.5</w:t>
            </w:r>
          </w:p>
        </w:tc>
        <w:tc>
          <w:tcPr>
            <w:tcW w:w="1683" w:type="dxa"/>
            <w:tcBorders>
              <w:top w:val="nil"/>
              <w:left w:val="nil"/>
              <w:bottom w:val="nil"/>
              <w:right w:val="nil"/>
            </w:tcBorders>
          </w:tcPr>
          <w:p>
            <w:pPr>
              <w:pStyle w:val="TableParagraph"/>
              <w:spacing w:before="194"/>
              <w:ind w:left="349" w:right="302"/>
              <w:jc w:val="center"/>
              <w:rPr>
                <w:sz w:val="24"/>
              </w:rPr>
            </w:pPr>
            <w:r>
              <w:rPr>
                <w:sz w:val="24"/>
              </w:rPr>
              <w:t>102.5</w:t>
            </w:r>
          </w:p>
        </w:tc>
      </w:tr>
      <w:tr>
        <w:trPr>
          <w:trHeight w:val="617" w:hRule="exact"/>
        </w:trPr>
        <w:tc>
          <w:tcPr>
            <w:tcW w:w="1766" w:type="dxa"/>
            <w:tcBorders>
              <w:top w:val="nil"/>
              <w:left w:val="nil"/>
              <w:bottom w:val="nil"/>
              <w:right w:val="nil"/>
            </w:tcBorders>
          </w:tcPr>
          <w:p>
            <w:pPr>
              <w:pStyle w:val="TableParagraph"/>
              <w:spacing w:before="198"/>
              <w:ind w:left="122"/>
              <w:rPr>
                <w:sz w:val="16"/>
              </w:rPr>
            </w:pPr>
            <w:r>
              <w:rPr>
                <w:position w:val="2"/>
                <w:sz w:val="24"/>
              </w:rPr>
              <w:t>MgCl</w:t>
            </w:r>
            <w:r>
              <w:rPr>
                <w:sz w:val="16"/>
              </w:rPr>
              <w:t>2</w:t>
            </w:r>
          </w:p>
        </w:tc>
        <w:tc>
          <w:tcPr>
            <w:tcW w:w="1554" w:type="dxa"/>
            <w:tcBorders>
              <w:top w:val="nil"/>
              <w:left w:val="nil"/>
              <w:bottom w:val="nil"/>
              <w:right w:val="nil"/>
            </w:tcBorders>
          </w:tcPr>
          <w:p>
            <w:pPr>
              <w:pStyle w:val="TableParagraph"/>
              <w:spacing w:before="199"/>
              <w:ind w:left="206" w:right="349"/>
              <w:jc w:val="center"/>
              <w:rPr>
                <w:sz w:val="24"/>
              </w:rPr>
            </w:pPr>
            <w:r>
              <w:rPr>
                <w:sz w:val="24"/>
              </w:rPr>
              <w:t>50mM</w:t>
            </w:r>
          </w:p>
        </w:tc>
        <w:tc>
          <w:tcPr>
            <w:tcW w:w="1613" w:type="dxa"/>
            <w:tcBorders>
              <w:top w:val="nil"/>
              <w:left w:val="nil"/>
              <w:bottom w:val="nil"/>
              <w:right w:val="nil"/>
            </w:tcBorders>
          </w:tcPr>
          <w:p>
            <w:pPr>
              <w:pStyle w:val="TableParagraph"/>
              <w:spacing w:before="199"/>
              <w:ind w:left="354" w:right="387"/>
              <w:jc w:val="center"/>
              <w:rPr>
                <w:sz w:val="24"/>
              </w:rPr>
            </w:pPr>
            <w:r>
              <w:rPr>
                <w:sz w:val="24"/>
              </w:rPr>
              <w:t>3 mM</w:t>
            </w:r>
          </w:p>
        </w:tc>
        <w:tc>
          <w:tcPr>
            <w:tcW w:w="1589" w:type="dxa"/>
            <w:tcBorders>
              <w:top w:val="nil"/>
              <w:left w:val="nil"/>
              <w:bottom w:val="nil"/>
              <w:right w:val="nil"/>
            </w:tcBorders>
          </w:tcPr>
          <w:p>
            <w:pPr>
              <w:pStyle w:val="TableParagraph"/>
              <w:spacing w:before="199"/>
              <w:ind w:left="387" w:right="347"/>
              <w:jc w:val="center"/>
              <w:rPr>
                <w:sz w:val="24"/>
              </w:rPr>
            </w:pPr>
            <w:r>
              <w:rPr>
                <w:sz w:val="24"/>
              </w:rPr>
              <w:t>1.5</w:t>
            </w:r>
          </w:p>
        </w:tc>
        <w:tc>
          <w:tcPr>
            <w:tcW w:w="1683" w:type="dxa"/>
            <w:tcBorders>
              <w:top w:val="nil"/>
              <w:left w:val="nil"/>
              <w:bottom w:val="nil"/>
              <w:right w:val="nil"/>
            </w:tcBorders>
          </w:tcPr>
          <w:p>
            <w:pPr>
              <w:pStyle w:val="TableParagraph"/>
              <w:spacing w:before="199"/>
              <w:ind w:left="349" w:right="302"/>
              <w:jc w:val="center"/>
              <w:rPr>
                <w:sz w:val="24"/>
              </w:rPr>
            </w:pPr>
            <w:r>
              <w:rPr>
                <w:sz w:val="24"/>
              </w:rPr>
              <w:t>61.5</w:t>
            </w:r>
          </w:p>
        </w:tc>
      </w:tr>
      <w:tr>
        <w:trPr>
          <w:trHeight w:val="811" w:hRule="exact"/>
        </w:trPr>
        <w:tc>
          <w:tcPr>
            <w:tcW w:w="1766" w:type="dxa"/>
            <w:tcBorders>
              <w:top w:val="nil"/>
              <w:left w:val="nil"/>
              <w:bottom w:val="nil"/>
              <w:right w:val="nil"/>
            </w:tcBorders>
          </w:tcPr>
          <w:p>
            <w:pPr>
              <w:pStyle w:val="TableParagraph"/>
              <w:tabs>
                <w:tab w:pos="1238" w:val="left" w:leader="none"/>
              </w:tabs>
              <w:spacing w:before="139"/>
              <w:ind w:left="122" w:right="223"/>
              <w:rPr>
                <w:sz w:val="24"/>
              </w:rPr>
            </w:pPr>
            <w:r>
              <w:rPr>
                <w:sz w:val="24"/>
              </w:rPr>
              <w:t>Primer</w:t>
              <w:tab/>
            </w:r>
            <w:r>
              <w:rPr>
                <w:spacing w:val="-1"/>
                <w:sz w:val="24"/>
              </w:rPr>
              <w:t>y/o</w:t>
            </w:r>
            <w:r>
              <w:rPr>
                <w:w w:val="99"/>
                <w:sz w:val="24"/>
              </w:rPr>
              <w:t> </w:t>
            </w:r>
            <w:r>
              <w:rPr>
                <w:sz w:val="24"/>
              </w:rPr>
              <w:t>iniciador</w:t>
            </w:r>
          </w:p>
        </w:tc>
        <w:tc>
          <w:tcPr>
            <w:tcW w:w="1554" w:type="dxa"/>
            <w:tcBorders>
              <w:top w:val="nil"/>
              <w:left w:val="nil"/>
              <w:bottom w:val="nil"/>
              <w:right w:val="nil"/>
            </w:tcBorders>
          </w:tcPr>
          <w:p>
            <w:pPr>
              <w:pStyle w:val="TableParagraph"/>
              <w:spacing w:before="124"/>
              <w:ind w:left="206" w:right="349"/>
              <w:jc w:val="center"/>
              <w:rPr>
                <w:sz w:val="16"/>
              </w:rPr>
            </w:pPr>
            <w:r>
              <w:rPr>
                <w:sz w:val="24"/>
              </w:rPr>
              <w:t>10 ngµL</w:t>
            </w:r>
            <w:r>
              <w:rPr>
                <w:position w:val="9"/>
                <w:sz w:val="16"/>
              </w:rPr>
              <w:t>-1</w:t>
            </w:r>
          </w:p>
        </w:tc>
        <w:tc>
          <w:tcPr>
            <w:tcW w:w="1613" w:type="dxa"/>
            <w:tcBorders>
              <w:top w:val="nil"/>
              <w:left w:val="nil"/>
              <w:bottom w:val="nil"/>
              <w:right w:val="nil"/>
            </w:tcBorders>
          </w:tcPr>
          <w:p>
            <w:pPr>
              <w:pStyle w:val="TableParagraph"/>
              <w:spacing w:before="139"/>
              <w:ind w:left="353" w:right="388"/>
              <w:jc w:val="center"/>
              <w:rPr>
                <w:sz w:val="24"/>
              </w:rPr>
            </w:pPr>
            <w:r>
              <w:rPr>
                <w:sz w:val="24"/>
              </w:rPr>
              <w:t>30 ng</w:t>
            </w:r>
          </w:p>
        </w:tc>
        <w:tc>
          <w:tcPr>
            <w:tcW w:w="1589" w:type="dxa"/>
            <w:tcBorders>
              <w:top w:val="nil"/>
              <w:left w:val="nil"/>
              <w:bottom w:val="nil"/>
              <w:right w:val="nil"/>
            </w:tcBorders>
          </w:tcPr>
          <w:p>
            <w:pPr>
              <w:pStyle w:val="TableParagraph"/>
              <w:spacing w:before="139"/>
              <w:ind w:left="387" w:right="347"/>
              <w:jc w:val="center"/>
              <w:rPr>
                <w:sz w:val="24"/>
              </w:rPr>
            </w:pPr>
            <w:r>
              <w:rPr>
                <w:sz w:val="24"/>
              </w:rPr>
              <w:t>3.0</w:t>
            </w:r>
          </w:p>
        </w:tc>
        <w:tc>
          <w:tcPr>
            <w:tcW w:w="1683" w:type="dxa"/>
            <w:tcBorders>
              <w:top w:val="nil"/>
              <w:left w:val="nil"/>
              <w:bottom w:val="nil"/>
              <w:right w:val="nil"/>
            </w:tcBorders>
          </w:tcPr>
          <w:p>
            <w:pPr>
              <w:pStyle w:val="TableParagraph"/>
              <w:spacing w:before="139"/>
              <w:ind w:left="346" w:right="302"/>
              <w:jc w:val="center"/>
              <w:rPr>
                <w:sz w:val="24"/>
              </w:rPr>
            </w:pPr>
            <w:r>
              <w:rPr>
                <w:sz w:val="24"/>
              </w:rPr>
              <w:t>123</w:t>
            </w:r>
          </w:p>
        </w:tc>
      </w:tr>
      <w:tr>
        <w:trPr>
          <w:trHeight w:val="530" w:hRule="exact"/>
        </w:trPr>
        <w:tc>
          <w:tcPr>
            <w:tcW w:w="1766" w:type="dxa"/>
            <w:tcBorders>
              <w:top w:val="nil"/>
              <w:left w:val="nil"/>
              <w:bottom w:val="nil"/>
              <w:right w:val="nil"/>
            </w:tcBorders>
          </w:tcPr>
          <w:p>
            <w:pPr>
              <w:pStyle w:val="TableParagraph"/>
              <w:spacing w:before="120"/>
              <w:ind w:left="122"/>
              <w:rPr>
                <w:sz w:val="24"/>
              </w:rPr>
            </w:pPr>
            <w:r>
              <w:rPr>
                <w:sz w:val="24"/>
              </w:rPr>
              <w:t>Enzima</w:t>
            </w:r>
          </w:p>
        </w:tc>
        <w:tc>
          <w:tcPr>
            <w:tcW w:w="1554" w:type="dxa"/>
            <w:tcBorders>
              <w:top w:val="nil"/>
              <w:left w:val="nil"/>
              <w:bottom w:val="nil"/>
              <w:right w:val="nil"/>
            </w:tcBorders>
          </w:tcPr>
          <w:p>
            <w:pPr>
              <w:pStyle w:val="TableParagraph"/>
              <w:spacing w:before="105"/>
              <w:ind w:left="204" w:right="349"/>
              <w:jc w:val="center"/>
              <w:rPr>
                <w:sz w:val="16"/>
              </w:rPr>
            </w:pPr>
            <w:r>
              <w:rPr>
                <w:sz w:val="24"/>
              </w:rPr>
              <w:t>5UµL</w:t>
            </w:r>
            <w:r>
              <w:rPr>
                <w:position w:val="9"/>
                <w:sz w:val="16"/>
              </w:rPr>
              <w:t>-1</w:t>
            </w:r>
          </w:p>
        </w:tc>
        <w:tc>
          <w:tcPr>
            <w:tcW w:w="1613" w:type="dxa"/>
            <w:tcBorders>
              <w:top w:val="nil"/>
              <w:left w:val="nil"/>
              <w:bottom w:val="nil"/>
              <w:right w:val="nil"/>
            </w:tcBorders>
          </w:tcPr>
          <w:p>
            <w:pPr>
              <w:pStyle w:val="TableParagraph"/>
              <w:spacing w:before="120"/>
              <w:ind w:left="522"/>
              <w:rPr>
                <w:sz w:val="24"/>
              </w:rPr>
            </w:pPr>
            <w:r>
              <w:rPr>
                <w:sz w:val="24"/>
              </w:rPr>
              <w:t>1.5 U</w:t>
            </w:r>
          </w:p>
        </w:tc>
        <w:tc>
          <w:tcPr>
            <w:tcW w:w="1589" w:type="dxa"/>
            <w:tcBorders>
              <w:top w:val="nil"/>
              <w:left w:val="nil"/>
              <w:bottom w:val="nil"/>
              <w:right w:val="nil"/>
            </w:tcBorders>
          </w:tcPr>
          <w:p>
            <w:pPr>
              <w:pStyle w:val="TableParagraph"/>
              <w:spacing w:before="120"/>
              <w:ind w:left="387" w:right="347"/>
              <w:jc w:val="center"/>
              <w:rPr>
                <w:sz w:val="24"/>
              </w:rPr>
            </w:pPr>
            <w:r>
              <w:rPr>
                <w:sz w:val="24"/>
              </w:rPr>
              <w:t>0.3</w:t>
            </w:r>
          </w:p>
        </w:tc>
        <w:tc>
          <w:tcPr>
            <w:tcW w:w="1683" w:type="dxa"/>
            <w:tcBorders>
              <w:top w:val="nil"/>
              <w:left w:val="nil"/>
              <w:bottom w:val="nil"/>
              <w:right w:val="nil"/>
            </w:tcBorders>
          </w:tcPr>
          <w:p>
            <w:pPr>
              <w:pStyle w:val="TableParagraph"/>
              <w:spacing w:before="120"/>
              <w:ind w:left="349" w:right="302"/>
              <w:jc w:val="center"/>
              <w:rPr>
                <w:sz w:val="24"/>
              </w:rPr>
            </w:pPr>
            <w:r>
              <w:rPr>
                <w:sz w:val="24"/>
              </w:rPr>
              <w:t>12.3</w:t>
            </w:r>
          </w:p>
        </w:tc>
      </w:tr>
      <w:tr>
        <w:trPr>
          <w:trHeight w:val="516" w:hRule="exact"/>
        </w:trPr>
        <w:tc>
          <w:tcPr>
            <w:tcW w:w="1766" w:type="dxa"/>
            <w:tcBorders>
              <w:top w:val="nil"/>
              <w:left w:val="nil"/>
              <w:bottom w:val="nil"/>
              <w:right w:val="nil"/>
            </w:tcBorders>
          </w:tcPr>
          <w:p>
            <w:pPr>
              <w:pStyle w:val="TableParagraph"/>
              <w:spacing w:before="107"/>
              <w:ind w:left="122"/>
              <w:rPr>
                <w:sz w:val="24"/>
              </w:rPr>
            </w:pPr>
            <w:r>
              <w:rPr>
                <w:sz w:val="24"/>
              </w:rPr>
              <w:t>ADN</w:t>
            </w:r>
          </w:p>
        </w:tc>
        <w:tc>
          <w:tcPr>
            <w:tcW w:w="1554" w:type="dxa"/>
            <w:tcBorders>
              <w:top w:val="nil"/>
              <w:left w:val="nil"/>
              <w:bottom w:val="nil"/>
              <w:right w:val="nil"/>
            </w:tcBorders>
          </w:tcPr>
          <w:p>
            <w:pPr/>
          </w:p>
        </w:tc>
        <w:tc>
          <w:tcPr>
            <w:tcW w:w="1613" w:type="dxa"/>
            <w:tcBorders>
              <w:top w:val="nil"/>
              <w:left w:val="nil"/>
              <w:bottom w:val="nil"/>
              <w:right w:val="nil"/>
            </w:tcBorders>
          </w:tcPr>
          <w:p>
            <w:pPr/>
          </w:p>
        </w:tc>
        <w:tc>
          <w:tcPr>
            <w:tcW w:w="1589" w:type="dxa"/>
            <w:tcBorders>
              <w:top w:val="nil"/>
              <w:left w:val="nil"/>
              <w:bottom w:val="nil"/>
              <w:right w:val="nil"/>
            </w:tcBorders>
          </w:tcPr>
          <w:p>
            <w:pPr>
              <w:pStyle w:val="TableParagraph"/>
              <w:spacing w:before="107"/>
              <w:ind w:left="387" w:right="347"/>
              <w:jc w:val="center"/>
              <w:rPr>
                <w:sz w:val="24"/>
              </w:rPr>
            </w:pPr>
            <w:r>
              <w:rPr>
                <w:sz w:val="24"/>
              </w:rPr>
              <w:t>2.5</w:t>
            </w:r>
          </w:p>
        </w:tc>
        <w:tc>
          <w:tcPr>
            <w:tcW w:w="1683" w:type="dxa"/>
            <w:tcBorders>
              <w:top w:val="nil"/>
              <w:left w:val="nil"/>
              <w:bottom w:val="nil"/>
              <w:right w:val="nil"/>
            </w:tcBorders>
          </w:tcPr>
          <w:p>
            <w:pPr/>
          </w:p>
        </w:tc>
      </w:tr>
      <w:tr>
        <w:trPr>
          <w:trHeight w:val="396" w:hRule="exact"/>
        </w:trPr>
        <w:tc>
          <w:tcPr>
            <w:tcW w:w="1766" w:type="dxa"/>
            <w:tcBorders>
              <w:top w:val="nil"/>
              <w:left w:val="nil"/>
              <w:right w:val="nil"/>
            </w:tcBorders>
          </w:tcPr>
          <w:p>
            <w:pPr>
              <w:pStyle w:val="TableParagraph"/>
              <w:spacing w:before="107"/>
              <w:ind w:left="122"/>
              <w:rPr>
                <w:sz w:val="24"/>
              </w:rPr>
            </w:pPr>
            <w:r>
              <w:rPr>
                <w:sz w:val="24"/>
              </w:rPr>
              <w:t>Total</w:t>
            </w:r>
          </w:p>
        </w:tc>
        <w:tc>
          <w:tcPr>
            <w:tcW w:w="1554" w:type="dxa"/>
            <w:tcBorders>
              <w:top w:val="nil"/>
              <w:left w:val="nil"/>
              <w:right w:val="nil"/>
            </w:tcBorders>
          </w:tcPr>
          <w:p>
            <w:pPr/>
          </w:p>
        </w:tc>
        <w:tc>
          <w:tcPr>
            <w:tcW w:w="1613" w:type="dxa"/>
            <w:tcBorders>
              <w:top w:val="nil"/>
              <w:left w:val="nil"/>
              <w:right w:val="nil"/>
            </w:tcBorders>
          </w:tcPr>
          <w:p>
            <w:pPr/>
          </w:p>
        </w:tc>
        <w:tc>
          <w:tcPr>
            <w:tcW w:w="1589" w:type="dxa"/>
            <w:tcBorders>
              <w:top w:val="nil"/>
              <w:left w:val="nil"/>
              <w:right w:val="nil"/>
            </w:tcBorders>
          </w:tcPr>
          <w:p>
            <w:pPr>
              <w:pStyle w:val="TableParagraph"/>
              <w:spacing w:before="112"/>
              <w:ind w:left="387" w:right="349"/>
              <w:jc w:val="center"/>
              <w:rPr>
                <w:b/>
                <w:sz w:val="24"/>
              </w:rPr>
            </w:pPr>
            <w:r>
              <w:rPr>
                <w:b/>
                <w:sz w:val="24"/>
              </w:rPr>
              <w:t>25</w:t>
            </w:r>
          </w:p>
        </w:tc>
        <w:tc>
          <w:tcPr>
            <w:tcW w:w="1683" w:type="dxa"/>
            <w:tcBorders>
              <w:top w:val="nil"/>
              <w:left w:val="nil"/>
              <w:right w:val="nil"/>
            </w:tcBorders>
          </w:tcPr>
          <w:p>
            <w:pPr/>
          </w:p>
        </w:tc>
      </w:tr>
    </w:tbl>
    <w:p>
      <w:pPr>
        <w:pStyle w:val="BodyText"/>
      </w:pPr>
    </w:p>
    <w:p>
      <w:pPr>
        <w:pStyle w:val="BodyText"/>
        <w:spacing w:line="480" w:lineRule="auto" w:before="138"/>
        <w:ind w:left="122" w:right="112"/>
        <w:jc w:val="both"/>
      </w:pPr>
      <w:r>
        <w:rPr/>
        <w:t>El cálculo de las concentraciones finales de los reactivos utilizados en el protocolo de la caracterización molecular se calcularon a partir de soluciones concentradas, utilizando la </w:t>
      </w:r>
      <w:r>
        <w:rPr>
          <w:position w:val="2"/>
        </w:rPr>
        <w:t>fórmula C</w:t>
      </w:r>
      <w:r>
        <w:rPr>
          <w:sz w:val="16"/>
        </w:rPr>
        <w:t>1  </w:t>
      </w:r>
      <w:r>
        <w:rPr>
          <w:position w:val="2"/>
        </w:rPr>
        <w:t>V</w:t>
      </w:r>
      <w:r>
        <w:rPr>
          <w:sz w:val="16"/>
        </w:rPr>
        <w:t>1 </w:t>
      </w:r>
      <w:r>
        <w:rPr>
          <w:position w:val="2"/>
        </w:rPr>
        <w:t>= C</w:t>
      </w:r>
      <w:r>
        <w:rPr>
          <w:sz w:val="16"/>
        </w:rPr>
        <w:t>2 </w:t>
      </w:r>
      <w:r>
        <w:rPr>
          <w:position w:val="2"/>
        </w:rPr>
        <w:t>V</w:t>
      </w:r>
      <w:r>
        <w:rPr>
          <w:sz w:val="16"/>
        </w:rPr>
        <w:t>2</w:t>
      </w:r>
      <w:r>
        <w:rPr>
          <w:position w:val="2"/>
        </w:rPr>
        <w:t>.</w:t>
      </w:r>
    </w:p>
    <w:p>
      <w:pPr>
        <w:pStyle w:val="BodyText"/>
        <w:spacing w:before="4"/>
        <w:rPr>
          <w:sz w:val="21"/>
        </w:rPr>
      </w:pPr>
    </w:p>
    <w:p>
      <w:pPr>
        <w:pStyle w:val="BodyText"/>
        <w:ind w:left="122"/>
        <w:jc w:val="both"/>
      </w:pPr>
      <w:r>
        <w:rPr/>
        <w:t>Donde:</w:t>
      </w:r>
    </w:p>
    <w:p>
      <w:pPr>
        <w:pStyle w:val="BodyText"/>
        <w:spacing w:before="10"/>
        <w:rPr>
          <w:sz w:val="20"/>
        </w:rPr>
      </w:pPr>
    </w:p>
    <w:p>
      <w:pPr>
        <w:pStyle w:val="BodyText"/>
        <w:spacing w:line="448" w:lineRule="auto"/>
        <w:ind w:left="122" w:right="6903"/>
      </w:pPr>
      <w:r>
        <w:rPr/>
        <w:t>C1 = concentración 1 V1 = Volumen 1</w:t>
      </w:r>
    </w:p>
    <w:p>
      <w:pPr>
        <w:pStyle w:val="BodyText"/>
        <w:spacing w:line="448" w:lineRule="auto" w:before="8"/>
        <w:ind w:left="122" w:right="6903"/>
      </w:pPr>
      <w:r>
        <w:rPr/>
        <w:t>C2 = Concentración 2 V2 = Volumen 2</w:t>
      </w:r>
    </w:p>
    <w:sectPr>
      <w:pgSz w:w="12240" w:h="15840"/>
      <w:pgMar w:header="0" w:footer="1563" w:top="1360" w:bottom="1940" w:left="158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5.769989pt;margin-top:702.479919pt;width:14.75pt;height:14pt;mso-position-horizontal-relative:page;mso-position-vertical-relative:page;z-index:-102712" type="#_x0000_t202" filled="false" stroked="false">
          <v:textbox inset="0,0,0,0">
            <w:txbxContent>
              <w:p>
                <w:pPr>
                  <w:spacing w:line="265" w:lineRule="exact" w:before="0"/>
                  <w:ind w:left="20" w:right="0" w:firstLine="0"/>
                  <w:jc w:val="left"/>
                  <w:rPr>
                    <w:b/>
                    <w:sz w:val="24"/>
                  </w:rPr>
                </w:pPr>
                <w:r>
                  <w:rPr>
                    <w:b/>
                    <w:sz w:val="24"/>
                  </w:rPr>
                  <w:t>vii</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179993pt;margin-top:663.243896pt;width:10pt;height:14pt;mso-position-horizontal-relative:page;mso-position-vertical-relative:page;z-index:-102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80.763916pt;width:16pt;height:16.4pt;mso-position-horizontal-relative:page;mso-position-vertical-relative:page;z-index:-102520" type="#_x0000_t202" filled="false" stroked="false">
          <v:textbox inset="0,0,0,0">
            <w:txbxContent>
              <w:p>
                <w:pPr>
                  <w:pStyle w:val="BodyText"/>
                  <w:spacing w:before="37"/>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239929pt;width:14pt;height:14pt;mso-position-horizontal-relative:page;mso-position-vertical-relative:page;z-index:-102496" type="#_x0000_t202" filled="false" stroked="false">
          <v:textbox inset="0,0,0,0">
            <w:txbxContent>
              <w:p>
                <w:pPr>
                  <w:pStyle w:val="BodyText"/>
                  <w:spacing w:line="265" w:lineRule="exact"/>
                  <w:ind w:left="20"/>
                </w:pPr>
                <w:r>
                  <w:rPr/>
                  <w:t>12</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90.839905pt;width:16pt;height:16.4pt;mso-position-horizontal-relative:page;mso-position-vertical-relative:page;z-index:-102472" type="#_x0000_t202" filled="false" stroked="false">
          <v:textbox inset="0,0,0,0">
            <w:txbxContent>
              <w:p>
                <w:pPr>
                  <w:pStyle w:val="BodyText"/>
                  <w:spacing w:before="37"/>
                  <w:ind w:left="40"/>
                </w:pPr>
                <w:r>
                  <w:rPr/>
                  <w:fldChar w:fldCharType="begin"/>
                </w:r>
                <w:r>
                  <w:rPr/>
                  <w:instrText> PAGE </w:instrText>
                </w:r>
                <w:r>
                  <w:rPr/>
                  <w:fldChar w:fldCharType="separate"/>
                </w:r>
                <w:r>
                  <w:rPr/>
                  <w:t>14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80.763916pt;width:14pt;height:14pt;mso-position-horizontal-relative:page;mso-position-vertical-relative:page;z-index:-102448" type="#_x0000_t202" filled="false" stroked="false">
          <v:textbox inset="0,0,0,0">
            <w:txbxContent>
              <w:p>
                <w:pPr>
                  <w:pStyle w:val="BodyText"/>
                  <w:spacing w:line="265" w:lineRule="exact"/>
                  <w:ind w:left="20"/>
                </w:pPr>
                <w:r>
                  <w:rPr/>
                  <w:t>16</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700.799927pt;width:14pt;height:14pt;mso-position-horizontal-relative:page;mso-position-vertical-relative:page;z-index:-102424" type="#_x0000_t202" filled="false" stroked="false">
          <v:textbox inset="0,0,0,0">
            <w:txbxContent>
              <w:p>
                <w:pPr>
                  <w:pStyle w:val="BodyText"/>
                  <w:spacing w:line="265" w:lineRule="exact"/>
                  <w:ind w:left="20"/>
                </w:pPr>
                <w:r>
                  <w:rPr/>
                  <w:t>17</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75.603943pt;width:16pt;height:21.6pt;mso-position-horizontal-relative:page;mso-position-vertical-relative:page;z-index:-102400" type="#_x0000_t202" filled="false" stroked="false">
          <v:textbox inset="0,0,0,0">
            <w:txbxContent>
              <w:p>
                <w:pPr>
                  <w:pStyle w:val="BodyText"/>
                  <w:spacing w:before="140"/>
                  <w:ind w:left="40"/>
                </w:pPr>
                <w:r>
                  <w:rPr/>
                  <w:fldChar w:fldCharType="begin"/>
                </w:r>
                <w:r>
                  <w:rPr/>
                  <w:instrText> PAGE </w:instrText>
                </w:r>
                <w:r>
                  <w:rPr/>
                  <w:fldChar w:fldCharType="separate"/>
                </w:r>
                <w:r>
                  <w:rPr/>
                  <w:t>18</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239929pt;width:14pt;height:14pt;mso-position-horizontal-relative:page;mso-position-vertical-relative:page;z-index:-102376" type="#_x0000_t202" filled="false" stroked="false">
          <v:textbox inset="0,0,0,0">
            <w:txbxContent>
              <w:p>
                <w:pPr>
                  <w:pStyle w:val="BodyText"/>
                  <w:spacing w:line="265" w:lineRule="exact"/>
                  <w:ind w:left="20"/>
                </w:pPr>
                <w:r>
                  <w:rPr/>
                  <w:t>20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65.643921pt;width:14pt;height:14pt;mso-position-horizontal-relative:page;mso-position-vertical-relative:page;z-index:-102352" type="#_x0000_t202" filled="false" stroked="false">
          <v:textbox inset="0,0,0,0">
            <w:txbxContent>
              <w:p>
                <w:pPr>
                  <w:pStyle w:val="BodyText"/>
                  <w:spacing w:line="265" w:lineRule="exact"/>
                  <w:ind w:left="20"/>
                </w:pPr>
                <w:r>
                  <w:rPr/>
                  <w:t>21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089996pt;margin-top:677.283936pt;width:18.05pt;height:14pt;mso-position-horizontal-relative:page;mso-position-vertical-relative:page;z-index:-102688" type="#_x0000_t202" filled="false" stroked="false">
          <v:textbox inset="0,0,0,0">
            <w:txbxContent>
              <w:p>
                <w:pPr>
                  <w:spacing w:line="265" w:lineRule="exact" w:before="0"/>
                  <w:ind w:left="20" w:right="0" w:firstLine="0"/>
                  <w:jc w:val="left"/>
                  <w:rPr>
                    <w:b/>
                    <w:sz w:val="24"/>
                  </w:rPr>
                </w:pPr>
                <w:r>
                  <w:rPr>
                    <w:b/>
                    <w:sz w:val="24"/>
                  </w:rPr>
                  <w:t>viii</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599915pt;width:14pt;height:14pt;mso-position-horizontal-relative:page;mso-position-vertical-relative:page;z-index:-102328" type="#_x0000_t202" filled="false" stroked="false">
          <v:textbox inset="0,0,0,0">
            <w:txbxContent>
              <w:p>
                <w:pPr>
                  <w:pStyle w:val="BodyText"/>
                  <w:spacing w:line="265" w:lineRule="exact"/>
                  <w:ind w:left="20"/>
                </w:pPr>
                <w:r>
                  <w:rPr/>
                  <w:t>22</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69.243896pt;width:14pt;height:14pt;mso-position-horizontal-relative:page;mso-position-vertical-relative:page;z-index:-102304" type="#_x0000_t202" filled="false" stroked="false">
          <v:textbox inset="0,0,0,0">
            <w:txbxContent>
              <w:p>
                <w:pPr>
                  <w:pStyle w:val="BodyText"/>
                  <w:spacing w:line="265" w:lineRule="exact"/>
                  <w:ind w:left="20"/>
                </w:pPr>
                <w:r>
                  <w:rPr/>
                  <w:t>23</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705.599915pt;width:14pt;height:14pt;mso-position-horizontal-relative:page;mso-position-vertical-relative:page;z-index:-102280" type="#_x0000_t202" filled="false" stroked="false">
          <v:textbox inset="0,0,0,0">
            <w:txbxContent>
              <w:p>
                <w:pPr>
                  <w:pStyle w:val="BodyText"/>
                  <w:spacing w:line="265" w:lineRule="exact"/>
                  <w:ind w:left="20"/>
                </w:pPr>
                <w:r>
                  <w:rPr/>
                  <w:t>24</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73.203918pt;width:14pt;height:14pt;mso-position-horizontal-relative:page;mso-position-vertical-relative:page;z-index:-102256" type="#_x0000_t202" filled="false" stroked="false">
          <v:textbox inset="0,0,0,0">
            <w:txbxContent>
              <w:p>
                <w:pPr>
                  <w:pStyle w:val="BodyText"/>
                  <w:spacing w:line="265" w:lineRule="exact"/>
                  <w:ind w:left="20"/>
                </w:pPr>
                <w:r>
                  <w:rPr>
                    <w:color w:val="212121"/>
                  </w:rPr>
                  <w:t>27</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9.239929pt;width:14pt;height:14pt;mso-position-horizontal-relative:page;mso-position-vertical-relative:page;z-index:-102232" type="#_x0000_t202" filled="false" stroked="false">
          <v:textbox inset="0,0,0,0">
            <w:txbxContent>
              <w:p>
                <w:pPr>
                  <w:pStyle w:val="BodyText"/>
                  <w:spacing w:line="265" w:lineRule="exact"/>
                  <w:ind w:left="20"/>
                </w:pPr>
                <w:r>
                  <w:rPr/>
                  <w:t>28</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86.759888pt;width:14pt;height:14pt;mso-position-horizontal-relative:page;mso-position-vertical-relative:page;z-index:-102208" type="#_x0000_t202" filled="false" stroked="false">
          <v:textbox inset="0,0,0,0">
            <w:txbxContent>
              <w:p>
                <w:pPr>
                  <w:pStyle w:val="BodyText"/>
                  <w:spacing w:line="265" w:lineRule="exact"/>
                  <w:ind w:left="20"/>
                </w:pPr>
                <w:r>
                  <w:rPr/>
                  <w:t>29</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88.19989pt;width:16pt;height:24.2pt;mso-position-horizontal-relative:page;mso-position-vertical-relative:page;z-index:-102184" type="#_x0000_t202" filled="false" stroked="false">
          <v:textbox inset="0,0,0,0">
            <w:txbxContent>
              <w:p>
                <w:pPr>
                  <w:pStyle w:val="BodyText"/>
                  <w:spacing w:before="193"/>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86.759888pt;width:16pt;height:21.35pt;mso-position-horizontal-relative:page;mso-position-vertical-relative:page;z-index:-102160" type="#_x0000_t202" filled="false" stroked="false">
          <v:textbox inset="0,0,0,0">
            <w:txbxContent>
              <w:p>
                <w:pPr>
                  <w:pStyle w:val="BodyText"/>
                  <w:spacing w:before="135"/>
                  <w:ind w:left="40"/>
                </w:pPr>
                <w:r>
                  <w:rPr/>
                  <w:fldChar w:fldCharType="begin"/>
                </w:r>
                <w:r>
                  <w:rPr/>
                  <w:instrText> PAGE </w:instrText>
                </w:r>
                <w:r>
                  <w:rPr/>
                  <w:fldChar w:fldCharType="separate"/>
                </w:r>
                <w:r>
                  <w:rPr/>
                  <w:t>32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3"/>
      </w:rPr>
    </w:pPr>
    <w:r>
      <w:rPr/>
      <w:pict>
        <v:shape style="position:absolute;margin-left:306.450012pt;margin-top:691.079895pt;width:13.4pt;height:24.7pt;mso-position-horizontal-relative:page;mso-position-vertical-relative:page;z-index:-102664" type="#_x0000_t202" filled="false" stroked="false">
          <v:textbox inset="0,0,0,0">
            <w:txbxContent>
              <w:p>
                <w:pPr>
                  <w:spacing w:before="202"/>
                  <w:ind w:left="73" w:right="0" w:firstLine="0"/>
                  <w:jc w:val="left"/>
                  <w:rPr>
                    <w:b/>
                    <w:sz w:val="24"/>
                  </w:rPr>
                </w:pPr>
                <w:r>
                  <w:rPr/>
                  <w:fldChar w:fldCharType="begin"/>
                </w:r>
                <w:r>
                  <w:rPr>
                    <w:b/>
                    <w:sz w:val="24"/>
                  </w:rPr>
                  <w:instrText> PAGE  \* roman </w:instrText>
                </w:r>
                <w:r>
                  <w:rPr/>
                  <w:fldChar w:fldCharType="separate"/>
                </w:r>
                <w:r>
                  <w:rPr/>
                  <w:t>x</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702.95990pt;width:14pt;height:14pt;mso-position-horizontal-relative:page;mso-position-vertical-relative:page;z-index:-102136" type="#_x0000_t202" filled="false" stroked="false">
          <v:textbox inset="0,0,0,0">
            <w:txbxContent>
              <w:p>
                <w:pPr>
                  <w:pStyle w:val="BodyText"/>
                  <w:spacing w:line="265" w:lineRule="exact"/>
                  <w:ind w:left="20"/>
                </w:pPr>
                <w:r>
                  <w:rPr/>
                  <w:t>34</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527.179993pt;margin-top:684.119934pt;width:16pt;height:20.4pt;mso-position-horizontal-relative:page;mso-position-vertical-relative:page;z-index:-102112" type="#_x0000_t202" filled="false" stroked="false">
          <v:textbox inset="0,0,0,0">
            <w:txbxContent>
              <w:p>
                <w:pPr>
                  <w:pStyle w:val="BodyText"/>
                  <w:spacing w:before="116"/>
                  <w:ind w:left="40"/>
                </w:pPr>
                <w:r>
                  <w:rPr/>
                  <w:fldChar w:fldCharType="begin"/>
                </w:r>
                <w:r>
                  <w:rPr>
                    <w:color w:val="212121"/>
                  </w:rPr>
                  <w:instrText> PAGE </w:instrText>
                </w:r>
                <w:r>
                  <w:rPr/>
                  <w:fldChar w:fldCharType="separate"/>
                </w:r>
                <w:r>
                  <w:rPr/>
                  <w:t>36</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8"/>
      </w:rPr>
    </w:pPr>
    <w:r>
      <w:rPr/>
      <w:pict>
        <v:shape style="position:absolute;margin-left:527.179993pt;margin-top:673.083923pt;width:16pt;height:21.8pt;mso-position-horizontal-relative:page;mso-position-vertical-relative:page;z-index:-102088" type="#_x0000_t202" filled="false" stroked="false">
          <v:textbox inset="0,0,0,0">
            <w:txbxContent>
              <w:p>
                <w:pPr>
                  <w:pStyle w:val="BodyText"/>
                  <w:spacing w:before="145"/>
                  <w:ind w:left="40"/>
                </w:pPr>
                <w:r>
                  <w:rPr/>
                  <w:fldChar w:fldCharType="begin"/>
                </w:r>
                <w:r>
                  <w:rPr/>
                  <w:instrText> PAGE </w:instrText>
                </w:r>
                <w:r>
                  <w:rPr/>
                  <w:fldChar w:fldCharType="separate"/>
                </w:r>
                <w:r>
                  <w:rPr/>
                  <w:t>39</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97.439941pt;width:16pt;height:24pt;mso-position-horizontal-relative:page;mso-position-vertical-relative:page;z-index:-102064" type="#_x0000_t202" filled="false" stroked="false">
          <v:textbox inset="0,0,0,0">
            <w:txbxContent>
              <w:p>
                <w:pPr>
                  <w:pStyle w:val="BodyText"/>
                  <w:spacing w:before="188"/>
                  <w:ind w:left="40"/>
                </w:pPr>
                <w:r>
                  <w:rPr/>
                  <w:fldChar w:fldCharType="begin"/>
                </w:r>
                <w:r>
                  <w:rPr/>
                  <w:instrText> PAGE </w:instrText>
                </w:r>
                <w:r>
                  <w:rPr/>
                  <w:fldChar w:fldCharType="separate"/>
                </w:r>
                <w:r>
                  <w:rPr/>
                  <w:t>40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2"/>
      </w:rPr>
    </w:pPr>
    <w:r>
      <w:rPr/>
      <w:pict>
        <v:shape style="position:absolute;margin-left:527.179993pt;margin-top:691.439941pt;width:16pt;height:19.8pt;mso-position-horizontal-relative:page;mso-position-vertical-relative:page;z-index:-102040" type="#_x0000_t202" filled="false" stroked="false">
          <v:textbox inset="0,0,0,0">
            <w:txbxContent>
              <w:p>
                <w:pPr>
                  <w:pStyle w:val="BodyText"/>
                  <w:spacing w:before="104"/>
                  <w:ind w:left="40"/>
                </w:pPr>
                <w:r>
                  <w:rPr/>
                  <w:fldChar w:fldCharType="begin"/>
                </w:r>
                <w:r>
                  <w:rPr/>
                  <w:instrText> PAGE </w:instrText>
                </w:r>
                <w:r>
                  <w:rPr/>
                  <w:fldChar w:fldCharType="separate"/>
                </w:r>
                <w:r>
                  <w:rPr/>
                  <w:t>43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03.19989pt;width:16pt;height:17.150pt;mso-position-horizontal-relative:page;mso-position-vertical-relative:page;z-index:-102016" type="#_x0000_t202" filled="false" stroked="false">
          <v:textbox inset="0,0,0,0">
            <w:txbxContent>
              <w:p>
                <w:pPr>
                  <w:pStyle w:val="BodyText"/>
                  <w:spacing w:before="51"/>
                  <w:ind w:left="40"/>
                </w:pPr>
                <w:r>
                  <w:rPr/>
                  <w:fldChar w:fldCharType="begin"/>
                </w:r>
                <w:r>
                  <w:rPr/>
                  <w:instrText> PAGE </w:instrText>
                </w:r>
                <w:r>
                  <w:rPr/>
                  <w:fldChar w:fldCharType="separate"/>
                </w:r>
                <w:r>
                  <w:rPr/>
                  <w:t>44</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7.439941pt;width:14pt;height:14pt;mso-position-horizontal-relative:page;mso-position-vertical-relative:page;z-index:-101992" type="#_x0000_t202" filled="false" stroked="false">
          <v:textbox inset="0,0,0,0">
            <w:txbxContent>
              <w:p>
                <w:pPr>
                  <w:pStyle w:val="BodyText"/>
                  <w:spacing w:line="265" w:lineRule="exact"/>
                  <w:ind w:left="20"/>
                </w:pPr>
                <w:r>
                  <w:rPr/>
                  <w:t>47</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7.799927pt;width:14pt;height:14pt;mso-position-horizontal-relative:page;mso-position-vertical-relative:page;z-index:-101968" type="#_x0000_t202" filled="false" stroked="false">
          <v:textbox inset="0,0,0,0">
            <w:txbxContent>
              <w:p>
                <w:pPr>
                  <w:pStyle w:val="BodyText"/>
                  <w:spacing w:line="265" w:lineRule="exact"/>
                  <w:ind w:left="20"/>
                </w:pPr>
                <w:r>
                  <w:rPr/>
                  <w:t>49</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78.243896pt;width:16pt;height:20.6pt;mso-position-horizontal-relative:page;mso-position-vertical-relative:page;z-index:-101944" type="#_x0000_t202" filled="false" stroked="false">
          <v:textbox inset="0,0,0,0">
            <w:txbxContent>
              <w:p>
                <w:pPr>
                  <w:pStyle w:val="BodyText"/>
                  <w:spacing w:before="121"/>
                  <w:ind w:left="40"/>
                </w:pPr>
                <w:r>
                  <w:rPr/>
                  <w:fldChar w:fldCharType="begin"/>
                </w:r>
                <w:r>
                  <w:rPr/>
                  <w:instrText> PAGE </w:instrText>
                </w:r>
                <w:r>
                  <w:rPr/>
                  <w:fldChar w:fldCharType="separate"/>
                </w:r>
                <w:r>
                  <w:rPr/>
                  <w:t>50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239929pt;width:14pt;height:14pt;mso-position-horizontal-relative:page;mso-position-vertical-relative:page;z-index:-101920" type="#_x0000_t202" filled="false" stroked="false">
          <v:textbox inset="0,0,0,0">
            <w:txbxContent>
              <w:p>
                <w:pPr>
                  <w:pStyle w:val="BodyText"/>
                  <w:spacing w:line="265" w:lineRule="exact"/>
                  <w:ind w:left="20"/>
                </w:pPr>
                <w:r>
                  <w:rPr/>
                  <w:t>52</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80.763916pt;width:14pt;height:14pt;mso-position-horizontal-relative:page;mso-position-vertical-relative:page;z-index:-101896" type="#_x0000_t202" filled="false" stroked="false">
          <v:textbox inset="0,0,0,0">
            <w:txbxContent>
              <w:p>
                <w:pPr>
                  <w:pStyle w:val="BodyText"/>
                  <w:spacing w:line="265" w:lineRule="exact"/>
                  <w:ind w:left="20"/>
                </w:pPr>
                <w:r>
                  <w:rPr/>
                  <w:t>53</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239929pt;width:14pt;height:14pt;mso-position-horizontal-relative:page;mso-position-vertical-relative:page;z-index:-101872" type="#_x0000_t202" filled="false" stroked="false">
          <v:textbox inset="0,0,0,0">
            <w:txbxContent>
              <w:p>
                <w:pPr>
                  <w:pStyle w:val="BodyText"/>
                  <w:spacing w:line="265" w:lineRule="exact"/>
                  <w:ind w:left="20"/>
                </w:pPr>
                <w:r>
                  <w:rPr/>
                  <w:t>54</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704.879944pt;width:14pt;height:14pt;mso-position-horizontal-relative:page;mso-position-vertical-relative:page;z-index:-101848" type="#_x0000_t202" filled="false" stroked="false">
          <v:textbox inset="0,0,0,0">
            <w:txbxContent>
              <w:p>
                <w:pPr>
                  <w:pStyle w:val="BodyText"/>
                  <w:spacing w:line="265" w:lineRule="exact"/>
                  <w:ind w:left="20"/>
                </w:pPr>
                <w:r>
                  <w:rPr/>
                  <w:t>55</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73.203918pt;width:14pt;height:14pt;mso-position-horizontal-relative:page;mso-position-vertical-relative:page;z-index:-101824" type="#_x0000_t202" filled="false" stroked="false">
          <v:textbox inset="0,0,0,0">
            <w:txbxContent>
              <w:p>
                <w:pPr>
                  <w:pStyle w:val="BodyText"/>
                  <w:spacing w:line="265" w:lineRule="exact"/>
                  <w:ind w:left="20"/>
                </w:pPr>
                <w:r>
                  <w:rPr/>
                  <w:t>56</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93.239929pt;width:14pt;height:14pt;mso-position-horizontal-relative:page;mso-position-vertical-relative:page;z-index:-101800" type="#_x0000_t202" filled="false" stroked="false">
          <v:textbox inset="0,0,0,0">
            <w:txbxContent>
              <w:p>
                <w:pPr>
                  <w:pStyle w:val="BodyText"/>
                  <w:spacing w:line="265" w:lineRule="exact"/>
                  <w:ind w:left="20"/>
                </w:pPr>
                <w:r>
                  <w:rPr/>
                  <w:t>57</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9"/>
      </w:rPr>
    </w:pPr>
    <w:r>
      <w:rPr/>
      <w:pict>
        <v:shape style="position:absolute;margin-left:527.179993pt;margin-top:673.203918pt;width:16pt;height:21.6pt;mso-position-horizontal-relative:page;mso-position-vertical-relative:page;z-index:-101776" type="#_x0000_t202" filled="false" stroked="false">
          <v:textbox inset="0,0,0,0">
            <w:txbxContent>
              <w:p>
                <w:pPr>
                  <w:pStyle w:val="BodyText"/>
                  <w:spacing w:before="140"/>
                  <w:ind w:left="40"/>
                </w:pPr>
                <w:r>
                  <w:rPr/>
                  <w:fldChar w:fldCharType="begin"/>
                </w:r>
                <w:r>
                  <w:rPr/>
                  <w:instrText> PAGE </w:instrText>
                </w:r>
                <w:r>
                  <w:rPr/>
                  <w:fldChar w:fldCharType="separate"/>
                </w:r>
                <w:r>
                  <w:rPr/>
                  <w:t>59</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4"/>
      </w:rPr>
    </w:pPr>
    <w:r>
      <w:rPr/>
      <w:pict>
        <v:shape style="position:absolute;margin-left:527.179993pt;margin-top:673.203918pt;width:16pt;height:24pt;mso-position-horizontal-relative:page;mso-position-vertical-relative:page;z-index:-101752" type="#_x0000_t202" filled="false" stroked="false">
          <v:textbox inset="0,0,0,0">
            <w:txbxContent>
              <w:p>
                <w:pPr>
                  <w:pStyle w:val="BodyText"/>
                  <w:spacing w:before="188"/>
                  <w:ind w:left="40"/>
                </w:pPr>
                <w:r>
                  <w:rPr/>
                  <w:fldChar w:fldCharType="begin"/>
                </w:r>
                <w:r>
                  <w:rPr/>
                  <w:instrText> PAGE </w:instrText>
                </w:r>
                <w:r>
                  <w:rPr/>
                  <w:fldChar w:fldCharType="separate"/>
                </w:r>
                <w:r>
                  <w:rPr/>
                  <w:t>62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9"/>
      </w:rPr>
    </w:pPr>
    <w:r>
      <w:rPr/>
      <w:pict>
        <v:shape style="position:absolute;margin-left:527.179993pt;margin-top:685.559937pt;width:16pt;height:21.7pt;mso-position-horizontal-relative:page;mso-position-vertical-relative:page;z-index:-101728" type="#_x0000_t202" filled="false" stroked="false">
          <v:textbox inset="0,0,0,0">
            <w:txbxContent>
              <w:p>
                <w:pPr>
                  <w:pStyle w:val="BodyText"/>
                  <w:spacing w:before="142"/>
                  <w:ind w:left="40"/>
                </w:pPr>
                <w:r>
                  <w:rPr/>
                  <w:fldChar w:fldCharType="begin"/>
                </w:r>
                <w:r>
                  <w:rPr/>
                  <w:instrText> PAGE </w:instrText>
                </w:r>
                <w:r>
                  <w:rPr/>
                  <w:fldChar w:fldCharType="separate"/>
                </w:r>
                <w:r>
                  <w:rPr/>
                  <w:t>65</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93.239929pt;width:16pt;height:23.5pt;mso-position-horizontal-relative:page;mso-position-vertical-relative:page;z-index:-101704" type="#_x0000_t202" filled="false" stroked="false">
          <v:textbox inset="0,0,0,0">
            <w:txbxContent>
              <w:p>
                <w:pPr>
                  <w:pStyle w:val="BodyText"/>
                  <w:spacing w:before="178"/>
                  <w:ind w:left="40"/>
                </w:pPr>
                <w:r>
                  <w:rPr/>
                  <w:fldChar w:fldCharType="begin"/>
                </w:r>
                <w:r>
                  <w:rPr/>
                  <w:instrText> PAGE </w:instrText>
                </w:r>
                <w:r>
                  <w:rPr/>
                  <w:fldChar w:fldCharType="separate"/>
                </w:r>
                <w:r>
                  <w:rPr/>
                  <w:t>66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179993pt;margin-top:688.19989pt;width:8pt;height:14pt;mso-position-horizontal-relative:page;mso-position-vertical-relative:page;z-index:-102640" type="#_x0000_t202" filled="false" stroked="false">
          <v:textbox inset="0,0,0,0">
            <w:txbxContent>
              <w:p>
                <w:pPr>
                  <w:pStyle w:val="BodyText"/>
                  <w:spacing w:line="265" w:lineRule="exact"/>
                  <w:ind w:left="20"/>
                </w:pPr>
                <w:r>
                  <w:rPr/>
                  <w:t>2</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703.19989pt;width:14pt;height:14pt;mso-position-horizontal-relative:page;mso-position-vertical-relative:page;z-index:-101680" type="#_x0000_t202" filled="false" stroked="false">
          <v:textbox inset="0,0,0,0">
            <w:txbxContent>
              <w:p>
                <w:pPr>
                  <w:pStyle w:val="BodyText"/>
                  <w:spacing w:line="265" w:lineRule="exact"/>
                  <w:ind w:left="20"/>
                </w:pPr>
                <w:r>
                  <w:rPr/>
                  <w:t>68</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71.403931pt;width:14pt;height:14pt;mso-position-horizontal-relative:page;mso-position-vertical-relative:page;z-index:-101656" type="#_x0000_t202" filled="false" stroked="false">
          <v:textbox inset="0,0,0,0">
            <w:txbxContent>
              <w:p>
                <w:pPr>
                  <w:pStyle w:val="BodyText"/>
                  <w:spacing w:line="265" w:lineRule="exact"/>
                  <w:ind w:left="20"/>
                </w:pPr>
                <w:r>
                  <w:rPr/>
                  <w:t>69</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80.523926pt;width:14pt;height:14pt;mso-position-horizontal-relative:page;mso-position-vertical-relative:page;z-index:-101632" type="#_x0000_t202" filled="false" stroked="false">
          <v:textbox inset="0,0,0,0">
            <w:txbxContent>
              <w:p>
                <w:pPr>
                  <w:pStyle w:val="BodyText"/>
                  <w:spacing w:line="265" w:lineRule="exact"/>
                  <w:ind w:left="20"/>
                </w:pPr>
                <w:r>
                  <w:rPr/>
                  <w:t>73</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527.179993pt;margin-top:702.359924pt;width:16pt;height:17.5pt;mso-position-horizontal-relative:page;mso-position-vertical-relative:page;z-index:-101608" type="#_x0000_t202" filled="false" stroked="false">
          <v:textbox inset="0,0,0,0">
            <w:txbxContent>
              <w:p>
                <w:pPr>
                  <w:pStyle w:val="BodyText"/>
                  <w:spacing w:before="58"/>
                  <w:ind w:left="40"/>
                </w:pPr>
                <w:r>
                  <w:rPr/>
                  <w:fldChar w:fldCharType="begin"/>
                </w:r>
                <w:r>
                  <w:rPr/>
                  <w:instrText> PAGE </w:instrText>
                </w:r>
                <w:r>
                  <w:rPr/>
                  <w:fldChar w:fldCharType="separate"/>
                </w:r>
                <w:r>
                  <w:rPr/>
                  <w:t>78</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75.963928pt;width:14pt;height:14pt;mso-position-horizontal-relative:page;mso-position-vertical-relative:page;z-index:-101584" type="#_x0000_t202" filled="false" stroked="false">
          <v:textbox inset="0,0,0,0">
            <w:txbxContent>
              <w:p>
                <w:pPr>
                  <w:pStyle w:val="BodyText"/>
                  <w:spacing w:line="265" w:lineRule="exact"/>
                  <w:ind w:left="20"/>
                </w:pPr>
                <w:r>
                  <w:rPr/>
                  <w:t>79</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03.19989pt;width:16pt;height:14pt;mso-position-horizontal-relative:page;mso-position-vertical-relative:page;z-index:-1015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80</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79993pt;margin-top:669.483887pt;width:14pt;height:14pt;mso-position-horizontal-relative:page;mso-position-vertical-relative:page;z-index:-101536" type="#_x0000_t202" filled="false" stroked="false">
          <v:textbox inset="0,0,0,0">
            <w:txbxContent>
              <w:p>
                <w:pPr>
                  <w:pStyle w:val="BodyText"/>
                  <w:spacing w:line="265" w:lineRule="exact"/>
                  <w:ind w:left="20"/>
                </w:pPr>
                <w:r>
                  <w:rPr/>
                  <w:t>82</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693.95990pt;width:16pt;height:22.9pt;mso-position-horizontal-relative:page;mso-position-vertical-relative:page;z-index:-101512" type="#_x0000_t202" filled="false" stroked="false">
          <v:textbox inset="0,0,0,0">
            <w:txbxContent>
              <w:p>
                <w:pPr>
                  <w:pStyle w:val="BodyText"/>
                  <w:spacing w:before="166"/>
                  <w:ind w:left="40"/>
                </w:pPr>
                <w:r>
                  <w:rPr/>
                  <w:fldChar w:fldCharType="begin"/>
                </w:r>
                <w:r>
                  <w:rPr/>
                  <w:instrText> PAGE </w:instrText>
                </w:r>
                <w:r>
                  <w:rPr/>
                  <w:fldChar w:fldCharType="separate"/>
                </w:r>
                <w:r>
                  <w:rPr/>
                  <w:t>83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179993pt;margin-top:703.19989pt;width:8pt;height:14pt;mso-position-horizontal-relative:page;mso-position-vertical-relative:page;z-index:-102616" type="#_x0000_t202" filled="false" stroked="false">
          <v:textbox inset="0,0,0,0">
            <w:txbxContent>
              <w:p>
                <w:pPr>
                  <w:pStyle w:val="BodyText"/>
                  <w:spacing w:line="265" w:lineRule="exact"/>
                  <w:ind w:left="20"/>
                </w:pPr>
                <w:r>
                  <w:rPr/>
                  <w:t>3</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179993pt;margin-top:673.203918pt;width:8pt;height:14pt;mso-position-horizontal-relative:page;mso-position-vertical-relative:page;z-index:-102592" type="#_x0000_t202" filled="false" stroked="false">
          <v:textbox inset="0,0,0,0">
            <w:txbxContent>
              <w:p>
                <w:pPr>
                  <w:pStyle w:val="BodyText"/>
                  <w:spacing w:line="265" w:lineRule="exact"/>
                  <w:ind w:left="20"/>
                </w:pPr>
                <w:r>
                  <w:rPr/>
                  <w:t>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179993pt;margin-top:690.839905pt;width:10pt;height:24pt;mso-position-horizontal-relative:page;mso-position-vertical-relative:page;z-index:-102568" type="#_x0000_t202" filled="false" stroked="false">
          <v:textbox inset="0,0,0,0">
            <w:txbxContent>
              <w:p>
                <w:pPr>
                  <w:pStyle w:val="BodyText"/>
                  <w:spacing w:before="188"/>
                  <w:ind w:left="40"/>
                </w:pPr>
                <w:r>
                  <w:rPr/>
                  <w:fldChar w:fldCharType="begin"/>
                </w:r>
                <w:r>
                  <w:rPr/>
                  <w:instrText> PAGE </w:instrText>
                </w:r>
                <w:r>
                  <w:rPr/>
                  <w:fldChar w:fldCharType="separate"/>
                </w:r>
                <w:r>
                  <w:rPr/>
                  <w:t>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52" w:hanging="360"/>
      </w:pPr>
      <w:rPr>
        <w:rFonts w:hint="default"/>
      </w:rPr>
    </w:lvl>
    <w:lvl w:ilvl="2">
      <w:start w:val="1"/>
      <w:numFmt w:val="bullet"/>
      <w:lvlText w:val="•"/>
      <w:lvlJc w:val="left"/>
      <w:pPr>
        <w:ind w:left="2404" w:hanging="360"/>
      </w:pPr>
      <w:rPr>
        <w:rFonts w:hint="default"/>
      </w:rPr>
    </w:lvl>
    <w:lvl w:ilvl="3">
      <w:start w:val="1"/>
      <w:numFmt w:val="bullet"/>
      <w:lvlText w:val="•"/>
      <w:lvlJc w:val="left"/>
      <w:pPr>
        <w:ind w:left="325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64" w:hanging="360"/>
      </w:pPr>
      <w:rPr>
        <w:rFonts w:hint="default"/>
      </w:rPr>
    </w:lvl>
    <w:lvl w:ilvl="8">
      <w:start w:val="1"/>
      <w:numFmt w:val="bullet"/>
      <w:lvlText w:val="•"/>
      <w:lvlJc w:val="left"/>
      <w:pPr>
        <w:ind w:left="7516" w:hanging="360"/>
      </w:pPr>
      <w:rPr>
        <w:rFonts w:hint="default"/>
      </w:rPr>
    </w:lvl>
  </w:abstractNum>
  <w:abstractNum w:abstractNumId="7">
    <w:multiLevelType w:val="hybridMultilevel"/>
    <w:lvl w:ilvl="0">
      <w:start w:val="13"/>
      <w:numFmt w:val="upperLetter"/>
      <w:lvlText w:val="%1."/>
      <w:lvlJc w:val="left"/>
      <w:pPr>
        <w:ind w:left="3177" w:hanging="319"/>
        <w:jc w:val="right"/>
      </w:pPr>
      <w:rPr>
        <w:rFonts w:hint="default"/>
        <w:b/>
        <w:bCs/>
        <w:w w:val="100"/>
      </w:rPr>
    </w:lvl>
    <w:lvl w:ilvl="1">
      <w:start w:val="1"/>
      <w:numFmt w:val="bullet"/>
      <w:lvlText w:val="•"/>
      <w:lvlJc w:val="left"/>
      <w:pPr>
        <w:ind w:left="3796" w:hanging="319"/>
      </w:pPr>
      <w:rPr>
        <w:rFonts w:hint="default"/>
      </w:rPr>
    </w:lvl>
    <w:lvl w:ilvl="2">
      <w:start w:val="1"/>
      <w:numFmt w:val="bullet"/>
      <w:lvlText w:val="•"/>
      <w:lvlJc w:val="left"/>
      <w:pPr>
        <w:ind w:left="4412" w:hanging="319"/>
      </w:pPr>
      <w:rPr>
        <w:rFonts w:hint="default"/>
      </w:rPr>
    </w:lvl>
    <w:lvl w:ilvl="3">
      <w:start w:val="1"/>
      <w:numFmt w:val="bullet"/>
      <w:lvlText w:val="•"/>
      <w:lvlJc w:val="left"/>
      <w:pPr>
        <w:ind w:left="5028" w:hanging="319"/>
      </w:pPr>
      <w:rPr>
        <w:rFonts w:hint="default"/>
      </w:rPr>
    </w:lvl>
    <w:lvl w:ilvl="4">
      <w:start w:val="1"/>
      <w:numFmt w:val="bullet"/>
      <w:lvlText w:val="•"/>
      <w:lvlJc w:val="left"/>
      <w:pPr>
        <w:ind w:left="5644" w:hanging="319"/>
      </w:pPr>
      <w:rPr>
        <w:rFonts w:hint="default"/>
      </w:rPr>
    </w:lvl>
    <w:lvl w:ilvl="5">
      <w:start w:val="1"/>
      <w:numFmt w:val="bullet"/>
      <w:lvlText w:val="•"/>
      <w:lvlJc w:val="left"/>
      <w:pPr>
        <w:ind w:left="6260" w:hanging="319"/>
      </w:pPr>
      <w:rPr>
        <w:rFonts w:hint="default"/>
      </w:rPr>
    </w:lvl>
    <w:lvl w:ilvl="6">
      <w:start w:val="1"/>
      <w:numFmt w:val="bullet"/>
      <w:lvlText w:val="•"/>
      <w:lvlJc w:val="left"/>
      <w:pPr>
        <w:ind w:left="6876" w:hanging="319"/>
      </w:pPr>
      <w:rPr>
        <w:rFonts w:hint="default"/>
      </w:rPr>
    </w:lvl>
    <w:lvl w:ilvl="7">
      <w:start w:val="1"/>
      <w:numFmt w:val="bullet"/>
      <w:lvlText w:val="•"/>
      <w:lvlJc w:val="left"/>
      <w:pPr>
        <w:ind w:left="7492" w:hanging="319"/>
      </w:pPr>
      <w:rPr>
        <w:rFonts w:hint="default"/>
      </w:rPr>
    </w:lvl>
    <w:lvl w:ilvl="8">
      <w:start w:val="1"/>
      <w:numFmt w:val="bullet"/>
      <w:lvlText w:val="•"/>
      <w:lvlJc w:val="left"/>
      <w:pPr>
        <w:ind w:left="8108" w:hanging="319"/>
      </w:pPr>
      <w:rPr>
        <w:rFonts w:hint="default"/>
      </w:rPr>
    </w:lvl>
  </w:abstractNum>
  <w:abstractNum w:abstractNumId="6">
    <w:multiLevelType w:val="hybridMultilevel"/>
    <w:lvl w:ilvl="0">
      <w:start w:val="3"/>
      <w:numFmt w:val="decimal"/>
      <w:lvlText w:val="%1"/>
      <w:lvlJc w:val="left"/>
      <w:pPr>
        <w:ind w:left="522" w:hanging="420"/>
        <w:jc w:val="left"/>
      </w:pPr>
      <w:rPr>
        <w:rFonts w:hint="default"/>
      </w:rPr>
    </w:lvl>
    <w:lvl w:ilvl="1">
      <w:start w:val="4"/>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20" w:hanging="600"/>
      </w:pPr>
      <w:rPr>
        <w:rFonts w:hint="default"/>
      </w:rPr>
    </w:lvl>
    <w:lvl w:ilvl="4">
      <w:start w:val="1"/>
      <w:numFmt w:val="bullet"/>
      <w:lvlText w:val="•"/>
      <w:lvlJc w:val="left"/>
      <w:pPr>
        <w:ind w:left="3580" w:hanging="600"/>
      </w:pPr>
      <w:rPr>
        <w:rFonts w:hint="default"/>
      </w:rPr>
    </w:lvl>
    <w:lvl w:ilvl="5">
      <w:start w:val="1"/>
      <w:numFmt w:val="bullet"/>
      <w:lvlText w:val="•"/>
      <w:lvlJc w:val="left"/>
      <w:pPr>
        <w:ind w:left="4540" w:hanging="600"/>
      </w:pPr>
      <w:rPr>
        <w:rFonts w:hint="default"/>
      </w:rPr>
    </w:lvl>
    <w:lvl w:ilvl="6">
      <w:start w:val="1"/>
      <w:numFmt w:val="bullet"/>
      <w:lvlText w:val="•"/>
      <w:lvlJc w:val="left"/>
      <w:pPr>
        <w:ind w:left="5500" w:hanging="600"/>
      </w:pPr>
      <w:rPr>
        <w:rFonts w:hint="default"/>
      </w:rPr>
    </w:lvl>
    <w:lvl w:ilvl="7">
      <w:start w:val="1"/>
      <w:numFmt w:val="bullet"/>
      <w:lvlText w:val="•"/>
      <w:lvlJc w:val="left"/>
      <w:pPr>
        <w:ind w:left="6460" w:hanging="600"/>
      </w:pPr>
      <w:rPr>
        <w:rFonts w:hint="default"/>
      </w:rPr>
    </w:lvl>
    <w:lvl w:ilvl="8">
      <w:start w:val="1"/>
      <w:numFmt w:val="bullet"/>
      <w:lvlText w:val="•"/>
      <w:lvlJc w:val="left"/>
      <w:pPr>
        <w:ind w:left="7420" w:hanging="600"/>
      </w:pPr>
      <w:rPr>
        <w:rFonts w:hint="default"/>
      </w:rPr>
    </w:lvl>
  </w:abstractNum>
  <w:abstractNum w:abstractNumId="5">
    <w:multiLevelType w:val="hybridMultilevel"/>
    <w:lvl w:ilvl="0">
      <w:start w:val="3"/>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w w:val="100"/>
        <w:sz w:val="24"/>
        <w:szCs w:val="24"/>
      </w:rPr>
    </w:lvl>
    <w:lvl w:ilvl="3">
      <w:start w:val="1"/>
      <w:numFmt w:val="decimal"/>
      <w:lvlText w:val="%1.%2.%3.%4."/>
      <w:lvlJc w:val="left"/>
      <w:pPr>
        <w:ind w:left="882" w:hanging="780"/>
        <w:jc w:val="left"/>
      </w:pPr>
      <w:rPr>
        <w:rFonts w:hint="default" w:ascii="Times New Roman" w:hAnsi="Times New Roman" w:eastAsia="Times New Roman" w:cs="Times New Roman"/>
        <w:b/>
        <w:bCs/>
        <w:w w:val="100"/>
        <w:sz w:val="24"/>
        <w:szCs w:val="24"/>
      </w:rPr>
    </w:lvl>
    <w:lvl w:ilvl="4">
      <w:start w:val="1"/>
      <w:numFmt w:val="bullet"/>
      <w:lvlText w:val="•"/>
      <w:lvlJc w:val="left"/>
      <w:pPr>
        <w:ind w:left="2995" w:hanging="780"/>
      </w:pPr>
      <w:rPr>
        <w:rFonts w:hint="default"/>
      </w:rPr>
    </w:lvl>
    <w:lvl w:ilvl="5">
      <w:start w:val="1"/>
      <w:numFmt w:val="bullet"/>
      <w:lvlText w:val="•"/>
      <w:lvlJc w:val="left"/>
      <w:pPr>
        <w:ind w:left="4052" w:hanging="780"/>
      </w:pPr>
      <w:rPr>
        <w:rFonts w:hint="default"/>
      </w:rPr>
    </w:lvl>
    <w:lvl w:ilvl="6">
      <w:start w:val="1"/>
      <w:numFmt w:val="bullet"/>
      <w:lvlText w:val="•"/>
      <w:lvlJc w:val="left"/>
      <w:pPr>
        <w:ind w:left="5110" w:hanging="780"/>
      </w:pPr>
      <w:rPr>
        <w:rFonts w:hint="default"/>
      </w:rPr>
    </w:lvl>
    <w:lvl w:ilvl="7">
      <w:start w:val="1"/>
      <w:numFmt w:val="bullet"/>
      <w:lvlText w:val="•"/>
      <w:lvlJc w:val="left"/>
      <w:pPr>
        <w:ind w:left="6167" w:hanging="780"/>
      </w:pPr>
      <w:rPr>
        <w:rFonts w:hint="default"/>
      </w:rPr>
    </w:lvl>
    <w:lvl w:ilvl="8">
      <w:start w:val="1"/>
      <w:numFmt w:val="bullet"/>
      <w:lvlText w:val="•"/>
      <w:lvlJc w:val="left"/>
      <w:pPr>
        <w:ind w:left="7225" w:hanging="780"/>
      </w:pPr>
      <w:rPr>
        <w:rFonts w:hint="default"/>
      </w:rPr>
    </w:lvl>
  </w:abstractNum>
  <w:abstractNum w:abstractNumId="4">
    <w:multiLevelType w:val="hybridMultilevel"/>
    <w:lvl w:ilvl="0">
      <w:start w:val="5"/>
      <w:numFmt w:val="upperRoman"/>
      <w:lvlText w:val="%1."/>
      <w:lvlJc w:val="left"/>
      <w:pPr>
        <w:ind w:left="102" w:hanging="339"/>
        <w:jc w:val="left"/>
      </w:pPr>
      <w:rPr>
        <w:rFonts w:hint="default" w:ascii="Times New Roman" w:hAnsi="Times New Roman" w:eastAsia="Times New Roman" w:cs="Times New Roman"/>
        <w:w w:val="99"/>
        <w:sz w:val="24"/>
        <w:szCs w:val="24"/>
      </w:rPr>
    </w:lvl>
    <w:lvl w:ilvl="1">
      <w:start w:val="3"/>
      <w:numFmt w:val="upperRoman"/>
      <w:lvlText w:val="%2."/>
      <w:lvlJc w:val="left"/>
      <w:pPr>
        <w:ind w:left="4353" w:hanging="401"/>
        <w:jc w:val="right"/>
      </w:pPr>
      <w:rPr>
        <w:rFonts w:hint="default"/>
        <w:b/>
        <w:bCs/>
        <w:w w:val="99"/>
      </w:rPr>
    </w:lvl>
    <w:lvl w:ilvl="2">
      <w:start w:val="1"/>
      <w:numFmt w:val="bullet"/>
      <w:lvlText w:val="•"/>
      <w:lvlJc w:val="left"/>
      <w:pPr>
        <w:ind w:left="4913" w:hanging="401"/>
      </w:pPr>
      <w:rPr>
        <w:rFonts w:hint="default"/>
      </w:rPr>
    </w:lvl>
    <w:lvl w:ilvl="3">
      <w:start w:val="1"/>
      <w:numFmt w:val="bullet"/>
      <w:lvlText w:val="•"/>
      <w:lvlJc w:val="left"/>
      <w:pPr>
        <w:ind w:left="5466" w:hanging="401"/>
      </w:pPr>
      <w:rPr>
        <w:rFonts w:hint="default"/>
      </w:rPr>
    </w:lvl>
    <w:lvl w:ilvl="4">
      <w:start w:val="1"/>
      <w:numFmt w:val="bullet"/>
      <w:lvlText w:val="•"/>
      <w:lvlJc w:val="left"/>
      <w:pPr>
        <w:ind w:left="6020" w:hanging="401"/>
      </w:pPr>
      <w:rPr>
        <w:rFonts w:hint="default"/>
      </w:rPr>
    </w:lvl>
    <w:lvl w:ilvl="5">
      <w:start w:val="1"/>
      <w:numFmt w:val="bullet"/>
      <w:lvlText w:val="•"/>
      <w:lvlJc w:val="left"/>
      <w:pPr>
        <w:ind w:left="6573" w:hanging="401"/>
      </w:pPr>
      <w:rPr>
        <w:rFonts w:hint="default"/>
      </w:rPr>
    </w:lvl>
    <w:lvl w:ilvl="6">
      <w:start w:val="1"/>
      <w:numFmt w:val="bullet"/>
      <w:lvlText w:val="•"/>
      <w:lvlJc w:val="left"/>
      <w:pPr>
        <w:ind w:left="7126" w:hanging="401"/>
      </w:pPr>
      <w:rPr>
        <w:rFonts w:hint="default"/>
      </w:rPr>
    </w:lvl>
    <w:lvl w:ilvl="7">
      <w:start w:val="1"/>
      <w:numFmt w:val="bullet"/>
      <w:lvlText w:val="•"/>
      <w:lvlJc w:val="left"/>
      <w:pPr>
        <w:ind w:left="7680" w:hanging="401"/>
      </w:pPr>
      <w:rPr>
        <w:rFonts w:hint="default"/>
      </w:rPr>
    </w:lvl>
    <w:lvl w:ilvl="8">
      <w:start w:val="1"/>
      <w:numFmt w:val="bullet"/>
      <w:lvlText w:val="•"/>
      <w:lvlJc w:val="left"/>
      <w:pPr>
        <w:ind w:left="8233" w:hanging="401"/>
      </w:pPr>
      <w:rPr>
        <w:rFonts w:hint="default"/>
      </w:rPr>
    </w:lvl>
  </w:abstractNum>
  <w:abstractNum w:abstractNumId="3">
    <w:multiLevelType w:val="hybridMultilevel"/>
    <w:lvl w:ilvl="0">
      <w:start w:val="2"/>
      <w:numFmt w:val="decimal"/>
      <w:lvlText w:val="%1"/>
      <w:lvlJc w:val="left"/>
      <w:pPr>
        <w:ind w:left="522" w:hanging="420"/>
        <w:jc w:val="left"/>
      </w:pPr>
      <w:rPr>
        <w:rFonts w:hint="default"/>
      </w:rPr>
    </w:lvl>
    <w:lvl w:ilvl="1">
      <w:start w:val="1"/>
      <w:numFmt w:val="decimal"/>
      <w:lvlText w:val="%1.%2."/>
      <w:lvlJc w:val="left"/>
      <w:pPr>
        <w:ind w:left="522" w:hanging="42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284" w:hanging="420"/>
      </w:pPr>
      <w:rPr>
        <w:rFonts w:hint="default"/>
      </w:rPr>
    </w:lvl>
    <w:lvl w:ilvl="3">
      <w:start w:val="1"/>
      <w:numFmt w:val="bullet"/>
      <w:lvlText w:val="•"/>
      <w:lvlJc w:val="left"/>
      <w:pPr>
        <w:ind w:left="3166" w:hanging="420"/>
      </w:pPr>
      <w:rPr>
        <w:rFonts w:hint="default"/>
      </w:rPr>
    </w:lvl>
    <w:lvl w:ilvl="4">
      <w:start w:val="1"/>
      <w:numFmt w:val="bullet"/>
      <w:lvlText w:val="•"/>
      <w:lvlJc w:val="left"/>
      <w:pPr>
        <w:ind w:left="4048" w:hanging="420"/>
      </w:pPr>
      <w:rPr>
        <w:rFonts w:hint="default"/>
      </w:rPr>
    </w:lvl>
    <w:lvl w:ilvl="5">
      <w:start w:val="1"/>
      <w:numFmt w:val="bullet"/>
      <w:lvlText w:val="•"/>
      <w:lvlJc w:val="left"/>
      <w:pPr>
        <w:ind w:left="4930" w:hanging="420"/>
      </w:pPr>
      <w:rPr>
        <w:rFonts w:hint="default"/>
      </w:rPr>
    </w:lvl>
    <w:lvl w:ilvl="6">
      <w:start w:val="1"/>
      <w:numFmt w:val="bullet"/>
      <w:lvlText w:val="•"/>
      <w:lvlJc w:val="left"/>
      <w:pPr>
        <w:ind w:left="5812" w:hanging="420"/>
      </w:pPr>
      <w:rPr>
        <w:rFonts w:hint="default"/>
      </w:rPr>
    </w:lvl>
    <w:lvl w:ilvl="7">
      <w:start w:val="1"/>
      <w:numFmt w:val="bullet"/>
      <w:lvlText w:val="•"/>
      <w:lvlJc w:val="left"/>
      <w:pPr>
        <w:ind w:left="6694" w:hanging="420"/>
      </w:pPr>
      <w:rPr>
        <w:rFonts w:hint="default"/>
      </w:rPr>
    </w:lvl>
    <w:lvl w:ilvl="8">
      <w:start w:val="1"/>
      <w:numFmt w:val="bullet"/>
      <w:lvlText w:val="•"/>
      <w:lvlJc w:val="left"/>
      <w:pPr>
        <w:ind w:left="7576" w:hanging="420"/>
      </w:pPr>
      <w:rPr>
        <w:rFonts w:hint="default"/>
      </w:rPr>
    </w:lvl>
  </w:abstractNum>
  <w:abstractNum w:abstractNumId="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7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76" w:hanging="360"/>
      </w:pPr>
      <w:rPr>
        <w:rFonts w:hint="default"/>
      </w:rPr>
    </w:lvl>
    <w:lvl w:ilvl="4">
      <w:start w:val="1"/>
      <w:numFmt w:val="bullet"/>
      <w:lvlText w:val="•"/>
      <w:lvlJc w:val="left"/>
      <w:pPr>
        <w:ind w:left="4228" w:hanging="360"/>
      </w:pPr>
      <w:rPr>
        <w:rFonts w:hint="default"/>
      </w:rPr>
    </w:lvl>
    <w:lvl w:ilvl="5">
      <w:start w:val="1"/>
      <w:numFmt w:val="bullet"/>
      <w:lvlText w:val="•"/>
      <w:lvlJc w:val="left"/>
      <w:pPr>
        <w:ind w:left="5080" w:hanging="360"/>
      </w:pPr>
      <w:rPr>
        <w:rFonts w:hint="default"/>
      </w:rPr>
    </w:lvl>
    <w:lvl w:ilvl="6">
      <w:start w:val="1"/>
      <w:numFmt w:val="bullet"/>
      <w:lvlText w:val="•"/>
      <w:lvlJc w:val="left"/>
      <w:pPr>
        <w:ind w:left="59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36" w:hanging="360"/>
      </w:pPr>
      <w:rPr>
        <w:rFonts w:hint="default"/>
      </w:rPr>
    </w:lvl>
  </w:abstractNum>
  <w:abstractNum w:abstractNumId="1">
    <w:multiLevelType w:val="hybridMultilevel"/>
    <w:lvl w:ilvl="0">
      <w:start w:val="1"/>
      <w:numFmt w:val="decimal"/>
      <w:lvlText w:val="%1"/>
      <w:lvlJc w:val="left"/>
      <w:pPr>
        <w:ind w:left="1364" w:hanging="860"/>
        <w:jc w:val="left"/>
      </w:pPr>
      <w:rPr>
        <w:rFonts w:hint="default" w:ascii="Times New Roman" w:hAnsi="Times New Roman" w:eastAsia="Times New Roman" w:cs="Times New Roman"/>
        <w:b/>
        <w:bCs/>
        <w:spacing w:val="-18"/>
        <w:w w:val="99"/>
        <w:sz w:val="24"/>
        <w:szCs w:val="24"/>
      </w:rPr>
    </w:lvl>
    <w:lvl w:ilvl="1">
      <w:start w:val="1"/>
      <w:numFmt w:val="upperRoman"/>
      <w:lvlText w:val="%2."/>
      <w:lvlJc w:val="left"/>
      <w:pPr>
        <w:ind w:left="3831" w:hanging="274"/>
        <w:jc w:val="right"/>
      </w:pPr>
      <w:rPr>
        <w:rFonts w:hint="default" w:ascii="Times New Roman" w:hAnsi="Times New Roman" w:eastAsia="Times New Roman" w:cs="Times New Roman"/>
        <w:b/>
        <w:bCs/>
        <w:w w:val="99"/>
        <w:sz w:val="24"/>
        <w:szCs w:val="24"/>
      </w:rPr>
    </w:lvl>
    <w:lvl w:ilvl="2">
      <w:start w:val="1"/>
      <w:numFmt w:val="bullet"/>
      <w:lvlText w:val="•"/>
      <w:lvlJc w:val="left"/>
      <w:pPr>
        <w:ind w:left="4431" w:hanging="274"/>
      </w:pPr>
      <w:rPr>
        <w:rFonts w:hint="default"/>
      </w:rPr>
    </w:lvl>
    <w:lvl w:ilvl="3">
      <w:start w:val="1"/>
      <w:numFmt w:val="bullet"/>
      <w:lvlText w:val="•"/>
      <w:lvlJc w:val="left"/>
      <w:pPr>
        <w:ind w:left="5022" w:hanging="274"/>
      </w:pPr>
      <w:rPr>
        <w:rFonts w:hint="default"/>
      </w:rPr>
    </w:lvl>
    <w:lvl w:ilvl="4">
      <w:start w:val="1"/>
      <w:numFmt w:val="bullet"/>
      <w:lvlText w:val="•"/>
      <w:lvlJc w:val="left"/>
      <w:pPr>
        <w:ind w:left="5613" w:hanging="274"/>
      </w:pPr>
      <w:rPr>
        <w:rFonts w:hint="default"/>
      </w:rPr>
    </w:lvl>
    <w:lvl w:ilvl="5">
      <w:start w:val="1"/>
      <w:numFmt w:val="bullet"/>
      <w:lvlText w:val="•"/>
      <w:lvlJc w:val="left"/>
      <w:pPr>
        <w:ind w:left="6204" w:hanging="274"/>
      </w:pPr>
      <w:rPr>
        <w:rFonts w:hint="default"/>
      </w:rPr>
    </w:lvl>
    <w:lvl w:ilvl="6">
      <w:start w:val="1"/>
      <w:numFmt w:val="bullet"/>
      <w:lvlText w:val="•"/>
      <w:lvlJc w:val="left"/>
      <w:pPr>
        <w:ind w:left="6795" w:hanging="274"/>
      </w:pPr>
      <w:rPr>
        <w:rFonts w:hint="default"/>
      </w:rPr>
    </w:lvl>
    <w:lvl w:ilvl="7">
      <w:start w:val="1"/>
      <w:numFmt w:val="bullet"/>
      <w:lvlText w:val="•"/>
      <w:lvlJc w:val="left"/>
      <w:pPr>
        <w:ind w:left="7386" w:hanging="274"/>
      </w:pPr>
      <w:rPr>
        <w:rFonts w:hint="default"/>
      </w:rPr>
    </w:lvl>
    <w:lvl w:ilvl="8">
      <w:start w:val="1"/>
      <w:numFmt w:val="bullet"/>
      <w:lvlText w:val="•"/>
      <w:lvlJc w:val="left"/>
      <w:pPr>
        <w:ind w:left="7977" w:hanging="274"/>
      </w:pPr>
      <w:rPr>
        <w:rFonts w:hint="default"/>
      </w:rPr>
    </w:lvl>
  </w:abstractNum>
  <w:abstractNum w:abstractNumId="0">
    <w:multiLevelType w:val="hybridMultilevel"/>
    <w:lvl w:ilvl="0">
      <w:start w:val="1"/>
      <w:numFmt w:val="decimal"/>
      <w:lvlText w:val="%1"/>
      <w:lvlJc w:val="left"/>
      <w:pPr>
        <w:ind w:left="1364" w:hanging="860"/>
        <w:jc w:val="left"/>
      </w:pPr>
      <w:rPr>
        <w:rFonts w:hint="default" w:ascii="Times New Roman" w:hAnsi="Times New Roman" w:eastAsia="Times New Roman" w:cs="Times New Roman"/>
        <w:b/>
        <w:bCs/>
        <w:spacing w:val="-27"/>
        <w:w w:val="99"/>
        <w:sz w:val="24"/>
        <w:szCs w:val="24"/>
      </w:rPr>
    </w:lvl>
    <w:lvl w:ilvl="1">
      <w:start w:val="1"/>
      <w:numFmt w:val="bullet"/>
      <w:lvlText w:val="•"/>
      <w:lvlJc w:val="left"/>
      <w:pPr>
        <w:ind w:left="2140" w:hanging="860"/>
      </w:pPr>
      <w:rPr>
        <w:rFonts w:hint="default"/>
      </w:rPr>
    </w:lvl>
    <w:lvl w:ilvl="2">
      <w:start w:val="1"/>
      <w:numFmt w:val="bullet"/>
      <w:lvlText w:val="•"/>
      <w:lvlJc w:val="left"/>
      <w:pPr>
        <w:ind w:left="2920" w:hanging="860"/>
      </w:pPr>
      <w:rPr>
        <w:rFonts w:hint="default"/>
      </w:rPr>
    </w:lvl>
    <w:lvl w:ilvl="3">
      <w:start w:val="1"/>
      <w:numFmt w:val="bullet"/>
      <w:lvlText w:val="•"/>
      <w:lvlJc w:val="left"/>
      <w:pPr>
        <w:ind w:left="3700" w:hanging="860"/>
      </w:pPr>
      <w:rPr>
        <w:rFonts w:hint="default"/>
      </w:rPr>
    </w:lvl>
    <w:lvl w:ilvl="4">
      <w:start w:val="1"/>
      <w:numFmt w:val="bullet"/>
      <w:lvlText w:val="•"/>
      <w:lvlJc w:val="left"/>
      <w:pPr>
        <w:ind w:left="4480" w:hanging="860"/>
      </w:pPr>
      <w:rPr>
        <w:rFonts w:hint="default"/>
      </w:rPr>
    </w:lvl>
    <w:lvl w:ilvl="5">
      <w:start w:val="1"/>
      <w:numFmt w:val="bullet"/>
      <w:lvlText w:val="•"/>
      <w:lvlJc w:val="left"/>
      <w:pPr>
        <w:ind w:left="5260" w:hanging="860"/>
      </w:pPr>
      <w:rPr>
        <w:rFonts w:hint="default"/>
      </w:rPr>
    </w:lvl>
    <w:lvl w:ilvl="6">
      <w:start w:val="1"/>
      <w:numFmt w:val="bullet"/>
      <w:lvlText w:val="•"/>
      <w:lvlJc w:val="left"/>
      <w:pPr>
        <w:ind w:left="6040" w:hanging="860"/>
      </w:pPr>
      <w:rPr>
        <w:rFonts w:hint="default"/>
      </w:rPr>
    </w:lvl>
    <w:lvl w:ilvl="7">
      <w:start w:val="1"/>
      <w:numFmt w:val="bullet"/>
      <w:lvlText w:val="•"/>
      <w:lvlJc w:val="left"/>
      <w:pPr>
        <w:ind w:left="6820" w:hanging="860"/>
      </w:pPr>
      <w:rPr>
        <w:rFonts w:hint="default"/>
      </w:rPr>
    </w:lvl>
    <w:lvl w:ilvl="8">
      <w:start w:val="1"/>
      <w:numFmt w:val="bullet"/>
      <w:lvlText w:val="•"/>
      <w:lvlJc w:val="left"/>
      <w:pPr>
        <w:ind w:left="7600" w:hanging="860"/>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31"/>
      <w:ind w:left="3097" w:hanging="1992"/>
      <w:outlineLvl w:val="1"/>
    </w:pPr>
    <w:rPr>
      <w:rFonts w:ascii="Times New Roman" w:hAnsi="Times New Roman" w:eastAsia="Times New Roman" w:cs="Times New Roman"/>
      <w:b/>
      <w:bCs/>
      <w:sz w:val="52"/>
      <w:szCs w:val="52"/>
    </w:rPr>
  </w:style>
  <w:style w:styleId="Heading2" w:type="paragraph">
    <w:name w:val="Heading 2"/>
    <w:basedOn w:val="Normal"/>
    <w:uiPriority w:val="1"/>
    <w:qFormat/>
    <w:pPr>
      <w:spacing w:before="57"/>
      <w:ind w:left="10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57"/>
      <w:ind w:left="702" w:hanging="60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image" Target="media/image2.jpeg"/><Relationship Id="rId20" Type="http://schemas.openxmlformats.org/officeDocument/2006/relationships/image" Target="media/image3.jpeg"/><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footer" Target="footer16.xml"/><Relationship Id="rId24" Type="http://schemas.openxmlformats.org/officeDocument/2006/relationships/footer" Target="footer17.xml"/><Relationship Id="rId25" Type="http://schemas.openxmlformats.org/officeDocument/2006/relationships/footer" Target="footer18.xm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image" Target="media/image4.jpeg"/><Relationship Id="rId33" Type="http://schemas.openxmlformats.org/officeDocument/2006/relationships/footer" Target="footer25.xml"/><Relationship Id="rId34" Type="http://schemas.openxmlformats.org/officeDocument/2006/relationships/footer" Target="footer26.xml"/><Relationship Id="rId35" Type="http://schemas.openxmlformats.org/officeDocument/2006/relationships/hyperlink" Target="mailto:djperezl@uaemex.mx" TargetMode="External"/><Relationship Id="rId36" Type="http://schemas.openxmlformats.org/officeDocument/2006/relationships/footer" Target="footer27.xml"/><Relationship Id="rId37" Type="http://schemas.openxmlformats.org/officeDocument/2006/relationships/footer" Target="footer28.xml"/><Relationship Id="rId38" Type="http://schemas.openxmlformats.org/officeDocument/2006/relationships/footer" Target="footer29.xml"/><Relationship Id="rId39" Type="http://schemas.openxmlformats.org/officeDocument/2006/relationships/footer" Target="footer30.xml"/><Relationship Id="rId40" Type="http://schemas.openxmlformats.org/officeDocument/2006/relationships/footer" Target="footer31.xml"/><Relationship Id="rId41" Type="http://schemas.openxmlformats.org/officeDocument/2006/relationships/footer" Target="footer32.xml"/><Relationship Id="rId42" Type="http://schemas.openxmlformats.org/officeDocument/2006/relationships/footer" Target="footer33.xml"/><Relationship Id="rId43" Type="http://schemas.openxmlformats.org/officeDocument/2006/relationships/footer" Target="footer34.xml"/><Relationship Id="rId44" Type="http://schemas.openxmlformats.org/officeDocument/2006/relationships/footer" Target="footer35.xml"/><Relationship Id="rId45" Type="http://schemas.openxmlformats.org/officeDocument/2006/relationships/image" Target="media/image5.jpeg"/><Relationship Id="rId46" Type="http://schemas.openxmlformats.org/officeDocument/2006/relationships/image" Target="media/image6.png"/><Relationship Id="rId47" Type="http://schemas.openxmlformats.org/officeDocument/2006/relationships/footer" Target="footer36.xml"/><Relationship Id="rId48" Type="http://schemas.openxmlformats.org/officeDocument/2006/relationships/image" Target="media/image7.png"/><Relationship Id="rId49" Type="http://schemas.openxmlformats.org/officeDocument/2006/relationships/footer" Target="footer37.xml"/><Relationship Id="rId50" Type="http://schemas.openxmlformats.org/officeDocument/2006/relationships/footer" Target="footer38.xml"/><Relationship Id="rId51" Type="http://schemas.openxmlformats.org/officeDocument/2006/relationships/image" Target="media/image8.jpeg"/><Relationship Id="rId52" Type="http://schemas.openxmlformats.org/officeDocument/2006/relationships/footer" Target="footer39.xml"/><Relationship Id="rId53" Type="http://schemas.openxmlformats.org/officeDocument/2006/relationships/footer" Target="footer40.xml"/><Relationship Id="rId54" Type="http://schemas.openxmlformats.org/officeDocument/2006/relationships/footer" Target="footer41.xml"/><Relationship Id="rId55" Type="http://schemas.openxmlformats.org/officeDocument/2006/relationships/footer" Target="footer42.xml"/><Relationship Id="rId56" Type="http://schemas.openxmlformats.org/officeDocument/2006/relationships/footer" Target="footer43.xml"/><Relationship Id="rId57" Type="http://schemas.openxmlformats.org/officeDocument/2006/relationships/footer" Target="footer44.xml"/><Relationship Id="rId58" Type="http://schemas.openxmlformats.org/officeDocument/2006/relationships/footer" Target="footer45.xml"/><Relationship Id="rId59" Type="http://schemas.openxmlformats.org/officeDocument/2006/relationships/footer" Target="footer46.xml"/><Relationship Id="rId60" Type="http://schemas.openxmlformats.org/officeDocument/2006/relationships/footer" Target="footer47.xml"/><Relationship Id="rId61" Type="http://schemas.openxmlformats.org/officeDocument/2006/relationships/footer" Target="footer48.xml"/><Relationship Id="rId62" Type="http://schemas.openxmlformats.org/officeDocument/2006/relationships/footer" Target="footer49.xml"/><Relationship Id="rId63" Type="http://schemas.openxmlformats.org/officeDocument/2006/relationships/footer" Target="footer50.xml"/><Relationship Id="rId64" Type="http://schemas.openxmlformats.org/officeDocument/2006/relationships/hyperlink" Target="http://www.sagarpa.gob.mx/snics/haba.3.doc.2002" TargetMode="External"/><Relationship Id="rId65" Type="http://schemas.openxmlformats.org/officeDocument/2006/relationships/footer" Target="footer51.xml"/><Relationship Id="rId66" Type="http://schemas.openxmlformats.org/officeDocument/2006/relationships/footer" Target="footer52.xml"/><Relationship Id="rId67" Type="http://schemas.openxmlformats.org/officeDocument/2006/relationships/footer" Target="footer53.xml"/><Relationship Id="rId68" Type="http://schemas.openxmlformats.org/officeDocument/2006/relationships/image" Target="media/image9.png"/><Relationship Id="rId69" Type="http://schemas.openxmlformats.org/officeDocument/2006/relationships/image" Target="media/image10.png"/><Relationship Id="rId70" Type="http://schemas.openxmlformats.org/officeDocument/2006/relationships/image" Target="media/image11.png"/><Relationship Id="rId71" Type="http://schemas.openxmlformats.org/officeDocument/2006/relationships/image" Target="media/image12.png"/><Relationship Id="rId72" Type="http://schemas.openxmlformats.org/officeDocument/2006/relationships/image" Target="media/image13.png"/><Relationship Id="rId73" Type="http://schemas.openxmlformats.org/officeDocument/2006/relationships/image" Target="media/image14.png"/><Relationship Id="rId74" Type="http://schemas.openxmlformats.org/officeDocument/2006/relationships/footer" Target="footer54.xml"/><Relationship Id="rId75" Type="http://schemas.openxmlformats.org/officeDocument/2006/relationships/footer" Target="footer55.xml"/><Relationship Id="rId76" Type="http://schemas.openxmlformats.org/officeDocument/2006/relationships/hyperlink" Target="http://www.faostat.fao.org/.site/567" TargetMode="External"/><Relationship Id="rId77" Type="http://schemas.openxmlformats.org/officeDocument/2006/relationships/footer" Target="footer56.xml"/><Relationship Id="rId78" Type="http://schemas.openxmlformats.org/officeDocument/2006/relationships/footer" Target="footer57.xml"/><Relationship Id="rId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Andromeda</dc:creator>
  <dcterms:created xsi:type="dcterms:W3CDTF">2017-05-20T03:25:45Z</dcterms:created>
  <dcterms:modified xsi:type="dcterms:W3CDTF">2017-05-20T03:25:45Z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2014-12-04T00:00:00Z</vt:filetime>
  </property>
  <property fmtid="{D5CDD505-2E9C-101B-9397-08002B2CF9AE}" pid="3" name="Creator">
    <vt:lpwstr>Microsoft® Word 2013</vt:lpwstr>
  </property>
  <property fmtid="{D5CDD505-2E9C-101B-9397-08002B2CF9AE}" pid="4" name="LastSaved">
    <vt:filetime>2017-05-20T00:00:00Z</vt:filetime>
  </property>
</Properties>
</file>